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889" w:rsidRPr="00AC0260" w:rsidRDefault="00B80889">
      <w:pPr>
        <w:pStyle w:val="ARTICLETITLE"/>
        <w:spacing w:after="120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>A A</w:t>
      </w:r>
      <w:r w:rsidR="0092424F">
        <w:rPr>
          <w:rFonts w:ascii="Arial" w:hAnsi="Arial" w:cs="Arial"/>
          <w:lang w:val="pt-PT"/>
        </w:rPr>
        <w:t>prendizagem como</w:t>
      </w:r>
      <w:r>
        <w:rPr>
          <w:rFonts w:ascii="Arial" w:hAnsi="Arial" w:cs="Arial"/>
          <w:lang w:val="pt-PT"/>
        </w:rPr>
        <w:t xml:space="preserve"> P</w:t>
      </w:r>
      <w:r w:rsidR="0092424F">
        <w:rPr>
          <w:rFonts w:ascii="Arial" w:hAnsi="Arial" w:cs="Arial"/>
          <w:lang w:val="pt-PT"/>
        </w:rPr>
        <w:t>rocesso de</w:t>
      </w:r>
      <w:r>
        <w:rPr>
          <w:rFonts w:ascii="Arial" w:hAnsi="Arial" w:cs="Arial"/>
          <w:lang w:val="pt-PT"/>
        </w:rPr>
        <w:t xml:space="preserve"> A</w:t>
      </w:r>
      <w:r w:rsidR="0092424F">
        <w:rPr>
          <w:rFonts w:ascii="Arial" w:hAnsi="Arial" w:cs="Arial"/>
          <w:lang w:val="pt-PT"/>
        </w:rPr>
        <w:t>quisição</w:t>
      </w:r>
      <w:r>
        <w:rPr>
          <w:rFonts w:ascii="Arial" w:hAnsi="Arial" w:cs="Arial"/>
          <w:lang w:val="pt-PT"/>
        </w:rPr>
        <w:t xml:space="preserve"> </w:t>
      </w:r>
      <w:r w:rsidR="0092424F">
        <w:rPr>
          <w:rFonts w:ascii="Arial" w:hAnsi="Arial" w:cs="Arial"/>
          <w:lang w:val="pt-PT"/>
        </w:rPr>
        <w:t>e</w:t>
      </w:r>
      <w:r>
        <w:rPr>
          <w:rFonts w:ascii="Arial" w:hAnsi="Arial" w:cs="Arial"/>
          <w:lang w:val="pt-PT"/>
        </w:rPr>
        <w:t xml:space="preserve"> C</w:t>
      </w:r>
      <w:r w:rsidR="0092424F">
        <w:rPr>
          <w:rFonts w:ascii="Arial" w:hAnsi="Arial" w:cs="Arial"/>
          <w:lang w:val="pt-PT"/>
        </w:rPr>
        <w:t>onstrução do</w:t>
      </w:r>
      <w:r>
        <w:rPr>
          <w:rFonts w:ascii="Arial" w:hAnsi="Arial" w:cs="Arial"/>
          <w:lang w:val="pt-PT"/>
        </w:rPr>
        <w:t xml:space="preserve"> C</w:t>
      </w:r>
      <w:r w:rsidR="0092424F">
        <w:rPr>
          <w:rFonts w:ascii="Arial" w:hAnsi="Arial" w:cs="Arial"/>
          <w:lang w:val="pt-PT"/>
        </w:rPr>
        <w:t>onhecimento</w:t>
      </w:r>
      <w:r>
        <w:rPr>
          <w:rFonts w:ascii="Arial" w:hAnsi="Arial" w:cs="Arial"/>
          <w:lang w:val="pt-PT"/>
        </w:rPr>
        <w:t xml:space="preserve"> e a Capacidade de Absorção da Organização com </w:t>
      </w:r>
      <w:r w:rsidR="0092424F">
        <w:rPr>
          <w:rFonts w:ascii="Arial" w:hAnsi="Arial" w:cs="Arial"/>
          <w:lang w:val="pt-PT"/>
        </w:rPr>
        <w:t>B</w:t>
      </w:r>
      <w:r>
        <w:rPr>
          <w:rFonts w:ascii="Arial" w:hAnsi="Arial" w:cs="Arial"/>
          <w:lang w:val="pt-PT"/>
        </w:rPr>
        <w:t>ase nas Novas Tecnologias</w:t>
      </w:r>
    </w:p>
    <w:p w:rsidR="00B80889" w:rsidRPr="00AC0260" w:rsidRDefault="00B80889">
      <w:pPr>
        <w:pStyle w:val="AUTHOR"/>
        <w:spacing w:before="80" w:after="360"/>
        <w:rPr>
          <w:rFonts w:ascii="Arial" w:hAnsi="Arial" w:cs="Arial"/>
          <w:sz w:val="24"/>
          <w:lang w:val="pt-PT"/>
        </w:rPr>
      </w:pPr>
      <w:r>
        <w:rPr>
          <w:rFonts w:ascii="Arial" w:hAnsi="Arial" w:cs="Arial"/>
          <w:lang w:val="pt-PT"/>
        </w:rPr>
        <w:t>Rui Franganito</w:t>
      </w:r>
    </w:p>
    <w:p w:rsidR="00B80889" w:rsidRDefault="00B80889">
      <w:pPr>
        <w:pStyle w:val="ABSTRACT"/>
        <w:ind w:left="0" w:right="-33"/>
        <w:jc w:val="both"/>
        <w:rPr>
          <w:rFonts w:ascii="Arial" w:hAnsi="Arial" w:cs="Arial"/>
          <w:lang w:val="pt-PT"/>
        </w:rPr>
      </w:pPr>
      <w:r w:rsidRPr="00AC0260">
        <w:rPr>
          <w:rFonts w:ascii="Arial" w:hAnsi="Arial" w:cs="Arial"/>
          <w:b/>
          <w:lang w:val="pt-PT"/>
        </w:rPr>
        <w:t xml:space="preserve">Resumo </w:t>
      </w:r>
      <w:r w:rsidRPr="00AC0260">
        <w:rPr>
          <w:rFonts w:ascii="Arial" w:hAnsi="Arial" w:cs="Arial"/>
          <w:lang w:val="pt-PT"/>
        </w:rPr>
        <w:t xml:space="preserve">— </w:t>
      </w:r>
      <w:r>
        <w:rPr>
          <w:rFonts w:ascii="Arial" w:hAnsi="Arial" w:cs="Arial"/>
          <w:lang w:val="pt-PT"/>
        </w:rPr>
        <w:t>A importância da capacidade de absorção do conhecimento das organizações tem sido uma matéria muito importante, mas que no campo prático não tem correspondido às expectativas devido à amplitude e cobertura da sua temática. Estudar e apresentar os principais agentes que participam no processo de capacidade de absorção da organização é o objectivo deste artigo, nomeadamente identificar a importância do capital social na sua ampla dicotomia, interno vs. externo e o papel integrador das novas tecnologias como elemento integrador do conhecimento e capacidade de aprendizagem da organização que permite uma maior capacidade de inovação.</w:t>
      </w:r>
    </w:p>
    <w:p w:rsidR="00B80889" w:rsidRPr="007F5E8E" w:rsidRDefault="00B80889" w:rsidP="007F5E8E">
      <w:pPr>
        <w:pStyle w:val="KEYWORD"/>
        <w:ind w:left="0" w:right="-33"/>
        <w:jc w:val="both"/>
        <w:rPr>
          <w:lang w:val="pt-PT"/>
        </w:rPr>
      </w:pPr>
      <w:r w:rsidRPr="00AC0260">
        <w:rPr>
          <w:rFonts w:ascii="Arial" w:hAnsi="Arial" w:cs="Arial"/>
          <w:b/>
          <w:lang w:val="pt-PT"/>
        </w:rPr>
        <w:t xml:space="preserve">Palavras-Chave </w:t>
      </w:r>
      <w:r w:rsidRPr="00AC0260">
        <w:rPr>
          <w:rFonts w:ascii="Arial" w:hAnsi="Arial" w:cs="Arial"/>
          <w:lang w:val="pt-PT"/>
        </w:rPr>
        <w:t xml:space="preserve">— </w:t>
      </w:r>
      <w:r>
        <w:rPr>
          <w:rFonts w:ascii="Arial" w:hAnsi="Arial" w:cs="Arial"/>
          <w:lang w:val="pt-PT"/>
        </w:rPr>
        <w:t xml:space="preserve">Capacidade de </w:t>
      </w:r>
      <w:r w:rsidR="0092424F">
        <w:rPr>
          <w:rFonts w:ascii="Arial" w:hAnsi="Arial" w:cs="Arial"/>
          <w:lang w:val="pt-PT"/>
        </w:rPr>
        <w:t>A</w:t>
      </w:r>
      <w:r>
        <w:rPr>
          <w:rFonts w:ascii="Arial" w:hAnsi="Arial" w:cs="Arial"/>
          <w:lang w:val="pt-PT"/>
        </w:rPr>
        <w:t xml:space="preserve">bsorção, Capital Social, </w:t>
      </w:r>
      <w:r w:rsidR="0092424F">
        <w:rPr>
          <w:rFonts w:ascii="Arial" w:hAnsi="Arial" w:cs="Arial"/>
          <w:lang w:val="pt-PT"/>
        </w:rPr>
        <w:t xml:space="preserve">Conhecimento, </w:t>
      </w:r>
      <w:r>
        <w:rPr>
          <w:rFonts w:ascii="Arial" w:hAnsi="Arial" w:cs="Arial"/>
          <w:lang w:val="pt-PT"/>
        </w:rPr>
        <w:t>Cooperação Empresarial, Inteligência Social, Tecnologia e Inovação</w:t>
      </w:r>
    </w:p>
    <w:p w:rsidR="0092424F" w:rsidRPr="00AC0260" w:rsidRDefault="0092424F" w:rsidP="0092424F"/>
    <w:p w:rsidR="0092424F" w:rsidRPr="00AC0260" w:rsidRDefault="0092424F" w:rsidP="0092424F">
      <w:pPr>
        <w:jc w:val="center"/>
      </w:pPr>
      <w:r w:rsidRPr="00AC0260">
        <w:rPr>
          <w:color w:val="000000"/>
        </w:rPr>
        <w:t>——————————</w:t>
      </w:r>
      <w:r w:rsidRPr="00AC0260">
        <w:rPr>
          <w:color w:val="000000"/>
          <w:position w:val="-2"/>
        </w:rPr>
        <w:t xml:space="preserve">   </w:t>
      </w:r>
      <w:r w:rsidRPr="00AC0260">
        <w:rPr>
          <w:rFonts w:ascii="Wingdings" w:hAnsi="Wingdings"/>
          <w:color w:val="000000"/>
          <w:position w:val="-2"/>
        </w:rPr>
        <w:sym w:font="Wingdings" w:char="F075"/>
      </w:r>
      <w:r w:rsidRPr="00AC0260">
        <w:rPr>
          <w:color w:val="000000"/>
          <w:position w:val="-2"/>
        </w:rPr>
        <w:t xml:space="preserve">   </w:t>
      </w:r>
      <w:r w:rsidRPr="00AC0260">
        <w:rPr>
          <w:color w:val="000000"/>
        </w:rPr>
        <w:t>——————————</w:t>
      </w:r>
    </w:p>
    <w:p w:rsidR="0092424F" w:rsidRPr="00AC0260" w:rsidRDefault="0092424F" w:rsidP="0092424F">
      <w:pPr>
        <w:jc w:val="both"/>
      </w:pPr>
    </w:p>
    <w:p w:rsidR="00B80889" w:rsidRPr="00AC0260" w:rsidRDefault="00B80889">
      <w:pPr>
        <w:jc w:val="both"/>
        <w:sectPr w:rsidR="00B80889" w:rsidRPr="00AC0260" w:rsidSect="00BF397E">
          <w:headerReference w:type="even" r:id="rId7"/>
          <w:headerReference w:type="default" r:id="rId8"/>
          <w:footerReference w:type="even" r:id="rId9"/>
          <w:footerReference w:type="default" r:id="rId10"/>
          <w:footerReference w:type="first" r:id="rId11"/>
          <w:pgSz w:w="11906" w:h="16838" w:code="9"/>
          <w:pgMar w:top="1418" w:right="1418" w:bottom="1418" w:left="1701" w:header="709" w:footer="709" w:gutter="0"/>
          <w:pgNumType w:start="262"/>
          <w:cols w:space="708"/>
          <w:titlePg/>
          <w:docGrid w:linePitch="360"/>
        </w:sectPr>
      </w:pPr>
    </w:p>
    <w:p w:rsidR="00B80889" w:rsidRPr="00AC0260" w:rsidRDefault="00B80889">
      <w:pPr>
        <w:pStyle w:val="Ttulo1"/>
        <w:spacing w:before="0" w:after="200" w:line="240" w:lineRule="auto"/>
        <w:ind w:left="284" w:hanging="284"/>
        <w:jc w:val="both"/>
        <w:rPr>
          <w:rFonts w:ascii="Arial" w:hAnsi="Arial" w:cs="Arial"/>
          <w:sz w:val="20"/>
          <w:lang w:val="pt-PT"/>
        </w:rPr>
      </w:pPr>
      <w:r w:rsidRPr="00AC0260">
        <w:rPr>
          <w:rFonts w:ascii="Arial" w:hAnsi="Arial" w:cs="Arial"/>
          <w:sz w:val="20"/>
          <w:lang w:val="pt-PT"/>
        </w:rPr>
        <w:lastRenderedPageBreak/>
        <w:t>1</w:t>
      </w:r>
      <w:r w:rsidRPr="00AC0260">
        <w:rPr>
          <w:rFonts w:ascii="Arial" w:hAnsi="Arial" w:cs="Arial"/>
          <w:sz w:val="20"/>
          <w:lang w:val="pt-PT"/>
        </w:rPr>
        <w:tab/>
        <w:t>Introdução</w:t>
      </w:r>
    </w:p>
    <w:p w:rsidR="00B80889" w:rsidRPr="00AC0260" w:rsidRDefault="00B80889">
      <w:pPr>
        <w:pStyle w:val="Text"/>
        <w:keepNext/>
        <w:framePr w:dropCap="drop" w:lines="4" w:h="688" w:hRule="exact" w:wrap="auto" w:vAnchor="text" w:hAnchor="text"/>
        <w:autoSpaceDE/>
        <w:autoSpaceDN/>
        <w:spacing w:line="688" w:lineRule="exact"/>
        <w:ind w:firstLine="0"/>
        <w:textAlignment w:val="baseline"/>
        <w:rPr>
          <w:rFonts w:ascii="Palatino" w:hAnsi="Palatino"/>
          <w:spacing w:val="-2"/>
          <w:position w:val="-9"/>
          <w:sz w:val="86"/>
          <w:szCs w:val="56"/>
          <w:lang w:val="pt-PT"/>
        </w:rPr>
      </w:pPr>
      <w:r w:rsidRPr="00AC0260">
        <w:rPr>
          <w:rFonts w:ascii="Palatino" w:hAnsi="Palatino"/>
          <w:spacing w:val="-2"/>
          <w:position w:val="-9"/>
          <w:sz w:val="86"/>
          <w:szCs w:val="56"/>
          <w:lang w:val="pt-PT"/>
        </w:rPr>
        <w:t>E</w:t>
      </w:r>
    </w:p>
    <w:p w:rsidR="00B80889" w:rsidRDefault="00B80889" w:rsidP="0090585B">
      <w:pPr>
        <w:pStyle w:val="PARAGRAPHnoindent"/>
        <w:rPr>
          <w:rFonts w:ascii="Arial" w:hAnsi="Arial" w:cs="Arial"/>
          <w:sz w:val="20"/>
          <w:lang w:val="pt-PT"/>
        </w:rPr>
      </w:pPr>
      <w:r w:rsidRPr="00AC0260">
        <w:rPr>
          <w:rFonts w:ascii="Arial" w:hAnsi="Arial" w:cs="Arial"/>
          <w:sz w:val="20"/>
          <w:lang w:val="pt-PT"/>
        </w:rPr>
        <w:t xml:space="preserve">ste </w:t>
      </w:r>
      <w:r>
        <w:rPr>
          <w:rFonts w:ascii="Arial" w:hAnsi="Arial" w:cs="Arial"/>
          <w:sz w:val="20"/>
          <w:lang w:val="pt-PT"/>
        </w:rPr>
        <w:t>artigo reforça a importância de a organização apresentar uma estratégia para a definição e identificação da rede em que está integrada para tirar partido do conhecimento existente no seu universo organizacional. A teoria dos recursos e capacidades não explica a origem das rendas adquiridas na rede o que permite a importância da teoria do capital social, da teoria da agência e seus consequentes desenvolvimentos. A actualidade das redes e cooperação empresarial obriga desde logo a uma redefinição dos principais enfoques teóricos.</w:t>
      </w:r>
    </w:p>
    <w:p w:rsidR="00B80889" w:rsidRPr="0092424F" w:rsidRDefault="00B80889" w:rsidP="009A33E0">
      <w:pPr>
        <w:pStyle w:val="PARAGRAPH"/>
        <w:rPr>
          <w:rFonts w:ascii="Arial" w:hAnsi="Arial"/>
          <w:sz w:val="20"/>
          <w:lang w:val="pt-PT"/>
        </w:rPr>
      </w:pPr>
      <w:r w:rsidRPr="0092424F">
        <w:rPr>
          <w:rFonts w:ascii="Arial" w:hAnsi="Arial"/>
          <w:sz w:val="20"/>
          <w:lang w:val="pt-PT"/>
        </w:rPr>
        <w:t xml:space="preserve">Cohen e Levinthal </w:t>
      </w:r>
      <w:r w:rsidR="00AF7676">
        <w:rPr>
          <w:rFonts w:ascii="Arial" w:hAnsi="Arial"/>
          <w:sz w:val="20"/>
          <w:lang w:val="pt-PT"/>
        </w:rPr>
        <w:t>[1]</w:t>
      </w:r>
      <w:r w:rsidRPr="0092424F">
        <w:rPr>
          <w:rFonts w:ascii="Arial" w:hAnsi="Arial"/>
          <w:sz w:val="20"/>
          <w:lang w:val="pt-PT"/>
        </w:rPr>
        <w:t xml:space="preserve"> apresentaram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pela primeira vez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de forma concisa e com o respectivo suporte teórico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a necessidade de repensar a questão da capacidade de absorção das empresas e o seu relacionamento com parceiros estratégicos de forma a potenciar a capacidade inovadora da organização e permitir através de capacidade de complementaridades existentes tirar o maior partido e assim optimizar as relações existentes no universo organizacional.</w:t>
      </w:r>
    </w:p>
    <w:p w:rsidR="00BF397E" w:rsidRPr="006200A8" w:rsidRDefault="00BF397E" w:rsidP="00BF397E">
      <w:pPr>
        <w:pStyle w:val="AUTHORAFFILIATION"/>
        <w:framePr w:w="4147" w:vSpace="0" w:wrap="auto" w:vAnchor="page" w:hAnchor="page" w:x="1342" w:y="14379"/>
        <w:spacing w:before="120" w:after="60"/>
        <w:rPr>
          <w:rFonts w:ascii="Arial" w:hAnsi="Arial" w:cs="Arial"/>
          <w:i w:val="0"/>
          <w:lang w:val="pt-PT"/>
        </w:rPr>
      </w:pPr>
      <w:r w:rsidRPr="006200A8">
        <w:rPr>
          <w:rFonts w:ascii="Arial" w:hAnsi="Arial" w:cs="Arial"/>
          <w:i w:val="0"/>
          <w:lang w:val="pt-PT"/>
        </w:rPr>
        <w:t>————————————————</w:t>
      </w:r>
    </w:p>
    <w:p w:rsidR="00BF397E" w:rsidRPr="006200A8" w:rsidRDefault="00BF397E" w:rsidP="00BF397E">
      <w:pPr>
        <w:pStyle w:val="AUTHORAFFILIATION"/>
        <w:framePr w:w="4147" w:vSpace="0" w:wrap="auto" w:vAnchor="page" w:hAnchor="page" w:x="1342" w:y="14379"/>
        <w:numPr>
          <w:ilvl w:val="0"/>
          <w:numId w:val="4"/>
        </w:numPr>
        <w:tabs>
          <w:tab w:val="clear" w:pos="363"/>
          <w:tab w:val="num" w:pos="180"/>
        </w:tabs>
        <w:ind w:left="180" w:hanging="180"/>
        <w:rPr>
          <w:rFonts w:ascii="Arial" w:hAnsi="Arial" w:cs="Arial"/>
          <w:i w:val="0"/>
          <w:lang w:val="pt-PT"/>
        </w:rPr>
      </w:pPr>
      <w:r w:rsidRPr="006200A8">
        <w:rPr>
          <w:rFonts w:ascii="Arial" w:hAnsi="Arial" w:cs="Arial"/>
          <w:lang w:val="pt-PT"/>
        </w:rPr>
        <w:t>Rui Franganito pertence ao Departamento de Ciências Empresariais do Instituto Politécnico de Beja.</w:t>
      </w:r>
      <w:r>
        <w:rPr>
          <w:rFonts w:ascii="Arial" w:hAnsi="Arial" w:cs="Arial"/>
          <w:lang w:val="pt-PT"/>
        </w:rPr>
        <w:t xml:space="preserve"> E-mail: rui.franganito@estig.ipbeja.pt</w:t>
      </w:r>
    </w:p>
    <w:p w:rsidR="00B80889" w:rsidRPr="0092424F" w:rsidRDefault="00B80889" w:rsidP="009A33E0">
      <w:pPr>
        <w:pStyle w:val="PARAGRAPH"/>
        <w:rPr>
          <w:rFonts w:ascii="Arial" w:hAnsi="Arial"/>
          <w:sz w:val="20"/>
          <w:lang w:val="pt-PT"/>
        </w:rPr>
      </w:pPr>
      <w:r w:rsidRPr="0092424F">
        <w:rPr>
          <w:rFonts w:ascii="Arial" w:hAnsi="Arial"/>
          <w:sz w:val="20"/>
          <w:lang w:val="pt-PT"/>
        </w:rPr>
        <w:t xml:space="preserve">A problemática em questão é que as </w:t>
      </w:r>
      <w:r w:rsidRPr="0092424F">
        <w:rPr>
          <w:rFonts w:ascii="Arial" w:hAnsi="Arial"/>
          <w:sz w:val="20"/>
          <w:lang w:val="pt-PT"/>
        </w:rPr>
        <w:lastRenderedPageBreak/>
        <w:t>organizações apresentam uma grande dificuldade em identificar e aplicar o conhecimento existente nas suas estruturas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o que leva a um consequente desperdício de recursos e à não identificação do repositório de conhecimento existente e a uma tendência para duplicar a informação existente. Os mapas de conhecimento e a sua esquematização permitem identificar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com rapidez e eficiência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os principais mecanismos e agentes do conhecimento da organização através de uma visualização apresentada com base nas novas tecnologias. As formas de acessibilidade e a eficiência ao reconhecer o património de conhecimento existente permite a organização reforçar o seu </w:t>
      </w:r>
      <w:r w:rsidRPr="00816103">
        <w:rPr>
          <w:rFonts w:ascii="Arial" w:hAnsi="Arial"/>
          <w:i/>
          <w:sz w:val="20"/>
          <w:lang w:val="pt-PT"/>
        </w:rPr>
        <w:t>Know</w:t>
      </w:r>
      <w:r w:rsidR="00816103" w:rsidRPr="00816103">
        <w:rPr>
          <w:rFonts w:ascii="Arial" w:hAnsi="Arial"/>
          <w:i/>
          <w:sz w:val="20"/>
          <w:lang w:val="pt-PT"/>
        </w:rPr>
        <w:t>-</w:t>
      </w:r>
      <w:r w:rsidRPr="00816103">
        <w:rPr>
          <w:rFonts w:ascii="Arial" w:hAnsi="Arial"/>
          <w:i/>
          <w:sz w:val="20"/>
          <w:lang w:val="pt-PT"/>
        </w:rPr>
        <w:t>How</w:t>
      </w:r>
      <w:r w:rsidRPr="0092424F">
        <w:rPr>
          <w:rFonts w:ascii="Arial" w:hAnsi="Arial"/>
          <w:sz w:val="20"/>
          <w:lang w:val="pt-PT"/>
        </w:rPr>
        <w:t xml:space="preserve"> e repensar a aplicação e introdução de novos produtos e serviços no mercado.</w:t>
      </w:r>
    </w:p>
    <w:p w:rsidR="00B80889" w:rsidRPr="0092424F" w:rsidRDefault="00B80889" w:rsidP="009A33E0">
      <w:pPr>
        <w:pStyle w:val="PARAGRAPH"/>
        <w:rPr>
          <w:rFonts w:ascii="Arial" w:hAnsi="Arial"/>
          <w:sz w:val="20"/>
          <w:lang w:val="pt-PT"/>
        </w:rPr>
      </w:pPr>
      <w:r w:rsidRPr="0092424F">
        <w:rPr>
          <w:rFonts w:ascii="Arial" w:hAnsi="Arial"/>
          <w:sz w:val="20"/>
          <w:lang w:val="pt-PT"/>
        </w:rPr>
        <w:t>Nesta fase é necessário referir a diferenciação existente entre conhecimento tácito e conhecimento explícito, em que o primeiro se refere a um conjunto de valores difíceis de transcrever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devido </w:t>
      </w:r>
      <w:r w:rsidR="00816103">
        <w:rPr>
          <w:rFonts w:ascii="Arial" w:hAnsi="Arial"/>
          <w:sz w:val="20"/>
          <w:lang w:val="pt-PT"/>
        </w:rPr>
        <w:t>à</w:t>
      </w:r>
      <w:r w:rsidRPr="0092424F">
        <w:rPr>
          <w:rFonts w:ascii="Arial" w:hAnsi="Arial"/>
          <w:sz w:val="20"/>
          <w:lang w:val="pt-PT"/>
        </w:rPr>
        <w:t xml:space="preserve"> sua su</w:t>
      </w:r>
      <w:r w:rsidR="00816103">
        <w:rPr>
          <w:rFonts w:ascii="Arial" w:hAnsi="Arial"/>
          <w:sz w:val="20"/>
          <w:lang w:val="pt-PT"/>
        </w:rPr>
        <w:t>bjectividade,</w:t>
      </w:r>
      <w:r w:rsidRPr="0092424F">
        <w:rPr>
          <w:rFonts w:ascii="Arial" w:hAnsi="Arial"/>
          <w:sz w:val="20"/>
          <w:lang w:val="pt-PT"/>
        </w:rPr>
        <w:t xml:space="preserve"> pelo facto de ser individualizado e </w:t>
      </w:r>
      <w:r w:rsidR="00816103">
        <w:rPr>
          <w:rFonts w:ascii="Arial" w:hAnsi="Arial"/>
          <w:sz w:val="20"/>
          <w:lang w:val="pt-PT"/>
        </w:rPr>
        <w:t xml:space="preserve">pela </w:t>
      </w:r>
      <w:r w:rsidRPr="0092424F">
        <w:rPr>
          <w:rFonts w:ascii="Arial" w:hAnsi="Arial"/>
          <w:sz w:val="20"/>
          <w:lang w:val="pt-PT"/>
        </w:rPr>
        <w:t>pertença protegida do indivíduo</w:t>
      </w:r>
      <w:r w:rsidR="00816103">
        <w:rPr>
          <w:rFonts w:ascii="Arial" w:hAnsi="Arial"/>
          <w:sz w:val="20"/>
          <w:lang w:val="pt-PT"/>
        </w:rPr>
        <w:t>.</w:t>
      </w:r>
      <w:r w:rsidRPr="0092424F">
        <w:rPr>
          <w:rFonts w:ascii="Arial" w:hAnsi="Arial"/>
          <w:sz w:val="20"/>
          <w:lang w:val="pt-PT"/>
        </w:rPr>
        <w:t xml:space="preserve"> </w:t>
      </w:r>
      <w:r w:rsidR="00816103">
        <w:rPr>
          <w:rFonts w:ascii="Arial" w:hAnsi="Arial"/>
          <w:sz w:val="20"/>
          <w:lang w:val="pt-PT"/>
        </w:rPr>
        <w:t>P</w:t>
      </w:r>
      <w:r w:rsidRPr="0092424F">
        <w:rPr>
          <w:rFonts w:ascii="Arial" w:hAnsi="Arial"/>
          <w:sz w:val="20"/>
          <w:lang w:val="pt-PT"/>
        </w:rPr>
        <w:t>or outro lado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o segundo tipo de conhecimento permite a transcrição para normas e regras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porque está visível e faz parte integrante da organização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pode</w:t>
      </w:r>
      <w:r w:rsidR="00816103">
        <w:rPr>
          <w:rFonts w:ascii="Arial" w:hAnsi="Arial"/>
          <w:sz w:val="20"/>
          <w:lang w:val="pt-PT"/>
        </w:rPr>
        <w:t>ndo</w:t>
      </w:r>
      <w:r w:rsidRPr="0092424F">
        <w:rPr>
          <w:rFonts w:ascii="Arial" w:hAnsi="Arial"/>
          <w:sz w:val="20"/>
          <w:lang w:val="pt-PT"/>
        </w:rPr>
        <w:t xml:space="preserve"> ser facilmente consultado e aplicado. Assim, é de extrema importância transferir o conhecimento tácito para conhecimento </w:t>
      </w:r>
      <w:r w:rsidRPr="0092424F">
        <w:rPr>
          <w:rFonts w:ascii="Arial" w:hAnsi="Arial"/>
          <w:sz w:val="20"/>
          <w:lang w:val="pt-PT"/>
        </w:rPr>
        <w:lastRenderedPageBreak/>
        <w:t xml:space="preserve">explícito de forma a democratizar e permitir que o conhecimento seja de todos e negar </w:t>
      </w:r>
      <w:r w:rsidR="00F11AEC">
        <w:rPr>
          <w:noProof/>
          <w:lang w:val="pt-PT" w:eastAsia="pt-PT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114300</wp:posOffset>
            </wp:positionH>
            <wp:positionV relativeFrom="paragraph">
              <wp:posOffset>0</wp:posOffset>
            </wp:positionV>
            <wp:extent cx="5363845" cy="5789295"/>
            <wp:effectExtent l="19050" t="0" r="8255" b="0"/>
            <wp:wrapSquare wrapText="bothSides"/>
            <wp:docPr id="2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23474" t="15590" r="21643" b="59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845" cy="5789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2424F">
        <w:rPr>
          <w:rFonts w:ascii="Arial" w:hAnsi="Arial"/>
          <w:sz w:val="20"/>
          <w:lang w:val="pt-PT"/>
        </w:rPr>
        <w:t xml:space="preserve">conceitos como o </w:t>
      </w:r>
      <w:r w:rsidRPr="00816103">
        <w:rPr>
          <w:rFonts w:ascii="Arial" w:hAnsi="Arial"/>
          <w:i/>
          <w:sz w:val="20"/>
          <w:lang w:val="pt-PT"/>
        </w:rPr>
        <w:t>“not invented here”</w:t>
      </w:r>
      <w:r w:rsidR="00816103" w:rsidRP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que se apresenta</w:t>
      </w:r>
      <w:r w:rsidR="00816103">
        <w:rPr>
          <w:rFonts w:ascii="Arial" w:hAnsi="Arial"/>
          <w:sz w:val="20"/>
          <w:lang w:val="pt-PT"/>
        </w:rPr>
        <w:t>m</w:t>
      </w:r>
      <w:r w:rsidRPr="0092424F">
        <w:rPr>
          <w:rFonts w:ascii="Arial" w:hAnsi="Arial"/>
          <w:sz w:val="20"/>
          <w:lang w:val="pt-PT"/>
        </w:rPr>
        <w:t xml:space="preserve"> como a negação de um sistema de gestão e inovação aberto.</w:t>
      </w:r>
    </w:p>
    <w:p w:rsidR="00B80889" w:rsidRPr="0092424F" w:rsidRDefault="00B80889" w:rsidP="009A33E0">
      <w:pPr>
        <w:pStyle w:val="PARAGRAPH"/>
        <w:rPr>
          <w:rFonts w:ascii="Arial" w:hAnsi="Arial"/>
          <w:sz w:val="20"/>
          <w:lang w:val="pt-PT"/>
        </w:rPr>
      </w:pPr>
      <w:r w:rsidRPr="0092424F">
        <w:rPr>
          <w:rFonts w:ascii="Arial" w:hAnsi="Arial"/>
          <w:sz w:val="20"/>
          <w:lang w:val="pt-PT"/>
        </w:rPr>
        <w:t>As políticas de formação da organização devem obedecer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em primeiro lugar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a esta partilha e promover na comunidade organizacional a necessidade de troca de experiências profissionais e académicas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como forma de adquirir maior valor acrescentado para a organização. </w:t>
      </w:r>
    </w:p>
    <w:p w:rsidR="00B80889" w:rsidRPr="0092424F" w:rsidRDefault="009D6490" w:rsidP="009A33E0">
      <w:pPr>
        <w:pStyle w:val="PARAGRAPH"/>
        <w:rPr>
          <w:rFonts w:ascii="Arial" w:hAnsi="Arial"/>
          <w:sz w:val="20"/>
          <w:lang w:val="pt-PT"/>
        </w:rPr>
      </w:pPr>
      <w:r>
        <w:rPr>
          <w:rFonts w:ascii="Arial" w:hAnsi="Arial"/>
          <w:noProof/>
          <w:sz w:val="20"/>
          <w:lang w:val="pt-PT"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34pt;margin-top:-201.85pt;width:162pt;height:18pt;z-index:251657728" stroked="f">
            <v:textbox>
              <w:txbxContent>
                <w:p w:rsidR="00EB710F" w:rsidRPr="00EB710F" w:rsidRDefault="00EB710F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B710F">
                    <w:rPr>
                      <w:rFonts w:ascii="Arial" w:hAnsi="Arial" w:cs="Arial"/>
                      <w:sz w:val="16"/>
                      <w:szCs w:val="16"/>
                    </w:rPr>
                    <w:t>Fig. 1. Modelo conceptual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desenvolvido</w:t>
                  </w:r>
                </w:p>
              </w:txbxContent>
            </v:textbox>
          </v:shape>
        </w:pict>
      </w:r>
      <w:r w:rsidR="00B80889" w:rsidRPr="0092424F">
        <w:rPr>
          <w:rFonts w:ascii="Arial" w:hAnsi="Arial"/>
          <w:sz w:val="20"/>
          <w:lang w:val="pt-PT"/>
        </w:rPr>
        <w:t>Outra questão a referir é a importância da distinção entre conhecimento potencial e conhecimento realizado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de forma a determinar e avaliar a capacidade de inovação da organização no lançamento de novos produtos e serviços, o que levanta a dicotomia existente entre as organizações que t</w:t>
      </w:r>
      <w:r w:rsidR="00816103">
        <w:rPr>
          <w:rFonts w:ascii="Arial" w:hAnsi="Arial"/>
          <w:sz w:val="20"/>
          <w:lang w:val="pt-PT"/>
        </w:rPr>
        <w:t>ê</w:t>
      </w:r>
      <w:r w:rsidR="00B80889" w:rsidRPr="0092424F">
        <w:rPr>
          <w:rFonts w:ascii="Arial" w:hAnsi="Arial"/>
          <w:sz w:val="20"/>
          <w:lang w:val="pt-PT"/>
        </w:rPr>
        <w:t>m saber mas não o aplicam e as organizações que t</w:t>
      </w:r>
      <w:r w:rsidR="00816103">
        <w:rPr>
          <w:rFonts w:ascii="Arial" w:hAnsi="Arial"/>
          <w:sz w:val="20"/>
          <w:lang w:val="pt-PT"/>
        </w:rPr>
        <w:t>ê</w:t>
      </w:r>
      <w:r w:rsidR="00B80889" w:rsidRPr="0092424F">
        <w:rPr>
          <w:rFonts w:ascii="Arial" w:hAnsi="Arial"/>
          <w:sz w:val="20"/>
          <w:lang w:val="pt-PT"/>
        </w:rPr>
        <w:t>m saber e o aplicam com resultados positivos na</w:t>
      </w:r>
      <w:r w:rsidR="00816103">
        <w:rPr>
          <w:rFonts w:ascii="Arial" w:hAnsi="Arial"/>
          <w:sz w:val="20"/>
          <w:lang w:val="pt-PT"/>
        </w:rPr>
        <w:t xml:space="preserve"> sua estratégia. Isto significa</w:t>
      </w:r>
      <w:r w:rsidR="00B80889" w:rsidRPr="0092424F">
        <w:rPr>
          <w:rFonts w:ascii="Arial" w:hAnsi="Arial"/>
          <w:sz w:val="20"/>
          <w:lang w:val="pt-PT"/>
        </w:rPr>
        <w:t xml:space="preserve"> que não basta ter conhecimento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mas que é preciso transformá-lo e aplicá-lo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tirando partido do conhecimento da rede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que é colectivo e não deve ser individualizado, porque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devido </w:t>
      </w:r>
      <w:r w:rsidR="00816103">
        <w:rPr>
          <w:rFonts w:ascii="Arial" w:hAnsi="Arial"/>
          <w:sz w:val="20"/>
          <w:lang w:val="pt-PT"/>
        </w:rPr>
        <w:t>à</w:t>
      </w:r>
      <w:r w:rsidR="00B80889" w:rsidRPr="0092424F">
        <w:rPr>
          <w:rFonts w:ascii="Arial" w:hAnsi="Arial"/>
          <w:sz w:val="20"/>
          <w:lang w:val="pt-PT"/>
        </w:rPr>
        <w:t xml:space="preserve"> crescente complexidade dos mercados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o conhecimento ma</w:t>
      </w:r>
      <w:r w:rsidR="00816103">
        <w:rPr>
          <w:rFonts w:ascii="Arial" w:hAnsi="Arial"/>
          <w:sz w:val="20"/>
          <w:lang w:val="pt-PT"/>
        </w:rPr>
        <w:t>i</w:t>
      </w:r>
      <w:r w:rsidR="00B80889" w:rsidRPr="0092424F">
        <w:rPr>
          <w:rFonts w:ascii="Arial" w:hAnsi="Arial"/>
          <w:sz w:val="20"/>
          <w:lang w:val="pt-PT"/>
        </w:rPr>
        <w:t>s eficaz não reside somente na organização</w:t>
      </w:r>
      <w:r w:rsidR="00816103">
        <w:rPr>
          <w:rFonts w:ascii="Arial" w:hAnsi="Arial"/>
          <w:sz w:val="20"/>
          <w:lang w:val="pt-PT"/>
        </w:rPr>
        <w:t>,</w:t>
      </w:r>
      <w:r w:rsidR="00B80889" w:rsidRPr="0092424F">
        <w:rPr>
          <w:rFonts w:ascii="Arial" w:hAnsi="Arial"/>
          <w:sz w:val="20"/>
          <w:lang w:val="pt-PT"/>
        </w:rPr>
        <w:t xml:space="preserve"> mas está latente na rede e nas formas da cooperação empresarial.</w:t>
      </w:r>
    </w:p>
    <w:p w:rsidR="00B80889" w:rsidRDefault="00B80889" w:rsidP="00E64EB1">
      <w:pPr>
        <w:pStyle w:val="Ttulo1"/>
        <w:spacing w:before="400" w:after="200" w:line="240" w:lineRule="auto"/>
        <w:ind w:left="284" w:hanging="284"/>
        <w:jc w:val="both"/>
        <w:rPr>
          <w:rFonts w:ascii="Arial" w:hAnsi="Arial" w:cs="Arial"/>
          <w:sz w:val="20"/>
          <w:lang w:val="pt-PT"/>
        </w:rPr>
      </w:pPr>
      <w:r>
        <w:rPr>
          <w:rFonts w:ascii="Arial" w:hAnsi="Arial" w:cs="Arial"/>
          <w:sz w:val="20"/>
          <w:lang w:val="pt-PT"/>
        </w:rPr>
        <w:t>2</w:t>
      </w:r>
      <w:r w:rsidR="00E64EB1">
        <w:rPr>
          <w:rFonts w:ascii="Arial" w:hAnsi="Arial" w:cs="Arial"/>
          <w:sz w:val="20"/>
          <w:lang w:val="pt-PT"/>
        </w:rPr>
        <w:tab/>
      </w:r>
      <w:r>
        <w:rPr>
          <w:rFonts w:ascii="Arial" w:hAnsi="Arial" w:cs="Arial"/>
          <w:sz w:val="20"/>
          <w:lang w:val="pt-PT"/>
        </w:rPr>
        <w:t>Capital Social Interno e Externo</w:t>
      </w:r>
    </w:p>
    <w:p w:rsidR="00B80889" w:rsidRPr="00C25C48" w:rsidRDefault="00B80889" w:rsidP="00BD4796">
      <w:pPr>
        <w:pStyle w:val="PARAGRAPH"/>
        <w:ind w:firstLine="0"/>
        <w:rPr>
          <w:rFonts w:ascii="Arial" w:hAnsi="Arial"/>
          <w:sz w:val="20"/>
          <w:lang w:val="pt-PT"/>
        </w:rPr>
      </w:pPr>
      <w:r w:rsidRPr="0092424F">
        <w:rPr>
          <w:rFonts w:ascii="Arial" w:hAnsi="Arial"/>
          <w:sz w:val="20"/>
          <w:lang w:val="pt-PT"/>
        </w:rPr>
        <w:t>A valorização dos elementos intangíveis é hoje uma realidade porque os mesmos reflectem</w:t>
      </w:r>
      <w:r w:rsidR="0092424F" w:rsidRPr="0092424F">
        <w:rPr>
          <w:rFonts w:ascii="Arial" w:hAnsi="Arial"/>
          <w:sz w:val="20"/>
          <w:lang w:val="pt-PT"/>
        </w:rPr>
        <w:t xml:space="preserve"> </w:t>
      </w:r>
      <w:r w:rsidR="00816103">
        <w:rPr>
          <w:rFonts w:ascii="Arial" w:hAnsi="Arial"/>
          <w:sz w:val="20"/>
          <w:lang w:val="pt-PT"/>
        </w:rPr>
        <w:t>u</w:t>
      </w:r>
      <w:r w:rsidRPr="0092424F">
        <w:rPr>
          <w:rFonts w:ascii="Arial" w:hAnsi="Arial"/>
          <w:sz w:val="20"/>
          <w:lang w:val="pt-PT"/>
        </w:rPr>
        <w:t>ma parcela significativa do valor da organização, o qual deve ser avaliado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não só na perspectiva económica</w:t>
      </w:r>
      <w:r w:rsidR="00816103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mas também na perspectiva de comportamento organizacional. </w:t>
      </w:r>
      <w:r w:rsidRPr="00C25C48">
        <w:rPr>
          <w:rFonts w:ascii="Arial" w:hAnsi="Arial"/>
          <w:sz w:val="20"/>
          <w:lang w:val="pt-PT"/>
        </w:rPr>
        <w:t xml:space="preserve">O capital social interno </w:t>
      </w:r>
      <w:r w:rsidRPr="00C25C48">
        <w:rPr>
          <w:rFonts w:ascii="Arial" w:hAnsi="Arial"/>
          <w:sz w:val="20"/>
          <w:lang w:val="pt-PT"/>
        </w:rPr>
        <w:lastRenderedPageBreak/>
        <w:t xml:space="preserve">(individuo, grupo e organização) e o capital social externo (consumidores, fornecedores, distribuidores, universidades/consultores e concorrentes) são agentes principais na estratégia da organização e é necessário efectuar um levantamento sobre o valor acrescentado que a organização adquire através de parcerias com estes </w:t>
      </w:r>
      <w:r w:rsidR="00C25C48" w:rsidRPr="00C25C48">
        <w:rPr>
          <w:rFonts w:ascii="Arial" w:hAnsi="Arial"/>
          <w:sz w:val="20"/>
          <w:lang w:val="pt-PT"/>
        </w:rPr>
        <w:t>agent</w:t>
      </w:r>
      <w:r w:rsidR="00C25C48">
        <w:rPr>
          <w:rFonts w:ascii="Arial" w:hAnsi="Arial"/>
          <w:sz w:val="20"/>
          <w:lang w:val="pt-PT"/>
        </w:rPr>
        <w:t>e</w:t>
      </w:r>
      <w:r w:rsidR="00C25C48" w:rsidRPr="00C25C48">
        <w:rPr>
          <w:rFonts w:ascii="Arial" w:hAnsi="Arial"/>
          <w:sz w:val="20"/>
          <w:lang w:val="pt-PT"/>
        </w:rPr>
        <w:t xml:space="preserve">s (ver </w:t>
      </w:r>
      <w:r w:rsidR="00C25C48">
        <w:rPr>
          <w:rFonts w:ascii="Arial" w:hAnsi="Arial"/>
          <w:sz w:val="20"/>
          <w:lang w:val="pt-PT"/>
        </w:rPr>
        <w:t>F</w:t>
      </w:r>
      <w:r w:rsidR="00C25C48" w:rsidRPr="00C25C48">
        <w:rPr>
          <w:rFonts w:ascii="Arial" w:hAnsi="Arial"/>
          <w:sz w:val="20"/>
          <w:lang w:val="pt-PT"/>
        </w:rPr>
        <w:t>igura 1)</w:t>
      </w:r>
      <w:r w:rsidRPr="00C25C48">
        <w:rPr>
          <w:rFonts w:ascii="Arial" w:hAnsi="Arial"/>
          <w:sz w:val="20"/>
          <w:lang w:val="pt-PT"/>
        </w:rPr>
        <w:t>.</w:t>
      </w:r>
    </w:p>
    <w:p w:rsidR="00B80889" w:rsidRDefault="00E64EB1" w:rsidP="00E64EB1">
      <w:pPr>
        <w:pStyle w:val="Ttulo1"/>
        <w:spacing w:before="400" w:after="200" w:line="240" w:lineRule="auto"/>
        <w:ind w:left="284" w:hanging="284"/>
        <w:jc w:val="both"/>
        <w:rPr>
          <w:rFonts w:ascii="Arial" w:hAnsi="Arial" w:cs="Arial"/>
          <w:sz w:val="20"/>
          <w:lang w:val="pt-PT"/>
        </w:rPr>
      </w:pPr>
      <w:r>
        <w:rPr>
          <w:rFonts w:ascii="Arial" w:hAnsi="Arial" w:cs="Arial"/>
          <w:sz w:val="20"/>
          <w:lang w:val="pt-PT"/>
        </w:rPr>
        <w:t>3</w:t>
      </w:r>
      <w:r>
        <w:rPr>
          <w:rFonts w:ascii="Arial" w:hAnsi="Arial" w:cs="Arial"/>
          <w:sz w:val="20"/>
          <w:lang w:val="pt-PT"/>
        </w:rPr>
        <w:tab/>
      </w:r>
      <w:r w:rsidR="00B80889">
        <w:rPr>
          <w:rFonts w:ascii="Arial" w:hAnsi="Arial" w:cs="Arial"/>
          <w:sz w:val="20"/>
          <w:lang w:val="pt-PT"/>
        </w:rPr>
        <w:t>A Tecnologia</w:t>
      </w:r>
    </w:p>
    <w:p w:rsidR="00B80889" w:rsidRPr="0092424F" w:rsidRDefault="00B80889" w:rsidP="0092424F">
      <w:pPr>
        <w:jc w:val="both"/>
        <w:rPr>
          <w:rFonts w:ascii="Arial" w:hAnsi="Arial"/>
          <w:kern w:val="16"/>
          <w:sz w:val="20"/>
          <w:szCs w:val="20"/>
        </w:rPr>
      </w:pPr>
      <w:r w:rsidRPr="0092424F">
        <w:rPr>
          <w:rFonts w:ascii="Arial" w:hAnsi="Arial"/>
          <w:kern w:val="16"/>
          <w:sz w:val="20"/>
          <w:szCs w:val="20"/>
        </w:rPr>
        <w:t>A Tecnologia tem um papel importante porque permite estabelecer a relação entre o capital social interno e o capital social externo, através de mecanismos de gestão do conhecimento e processos de aprendizagem.</w:t>
      </w:r>
    </w:p>
    <w:p w:rsidR="00B80889" w:rsidRPr="0092424F" w:rsidRDefault="00B80889" w:rsidP="00C25C48">
      <w:pPr>
        <w:pStyle w:val="PARAGRAPHnoindent"/>
        <w:ind w:firstLine="238"/>
        <w:rPr>
          <w:rFonts w:ascii="Arial" w:hAnsi="Arial"/>
          <w:sz w:val="20"/>
          <w:lang w:val="pt-PT"/>
        </w:rPr>
      </w:pPr>
      <w:r w:rsidRPr="0092424F">
        <w:rPr>
          <w:rFonts w:ascii="Arial" w:hAnsi="Arial"/>
          <w:sz w:val="20"/>
          <w:lang w:val="pt-PT"/>
        </w:rPr>
        <w:t>A Intranet é uma ferramenta obrigatória para a empresa porque é um poderoso instrumento de comunicação interna e que deve ser aproveitada para a dinamização das comunidades locais e permitir a partilha</w:t>
      </w:r>
      <w:r w:rsidR="00C25C48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em tempo real</w:t>
      </w:r>
      <w:r w:rsidR="00C25C48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do conhecimento existente. Assim, a necessidade de um portal actualizado e interactivo</w:t>
      </w:r>
      <w:r w:rsidR="00C25C48">
        <w:rPr>
          <w:rFonts w:ascii="Arial" w:hAnsi="Arial"/>
          <w:sz w:val="20"/>
          <w:lang w:val="pt-PT"/>
        </w:rPr>
        <w:t>, que permita</w:t>
      </w:r>
      <w:r w:rsidRPr="0092424F">
        <w:rPr>
          <w:rFonts w:ascii="Arial" w:hAnsi="Arial"/>
          <w:sz w:val="20"/>
          <w:lang w:val="pt-PT"/>
        </w:rPr>
        <w:t xml:space="preserve"> aos diferentes agentes aceder em tempo real a informação</w:t>
      </w:r>
      <w:r w:rsidR="00C25C48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e uma intranet que permita</w:t>
      </w:r>
      <w:r w:rsidR="00C25C48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também em tempo real</w:t>
      </w:r>
      <w:r w:rsidR="00C25C48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a comunicação efectiva entre as diferentes comunidades dentro da organização</w:t>
      </w:r>
      <w:r w:rsidR="00C25C48">
        <w:rPr>
          <w:rFonts w:ascii="Arial" w:hAnsi="Arial"/>
          <w:sz w:val="20"/>
          <w:lang w:val="pt-PT"/>
        </w:rPr>
        <w:t>,</w:t>
      </w:r>
      <w:r w:rsidRPr="0092424F">
        <w:rPr>
          <w:rFonts w:ascii="Arial" w:hAnsi="Arial"/>
          <w:sz w:val="20"/>
          <w:lang w:val="pt-PT"/>
        </w:rPr>
        <w:t xml:space="preserve"> são pontos obrigatórios e decisivos para a organização estabelecer uma interactividade entre os seus respectivos agentes que fazem parte da sua rede social.</w:t>
      </w:r>
    </w:p>
    <w:p w:rsidR="00C136FE" w:rsidRPr="00E64EB1" w:rsidRDefault="00E64EB1" w:rsidP="00E64EB1">
      <w:pPr>
        <w:pStyle w:val="Ttulo1"/>
        <w:spacing w:before="400" w:after="200" w:line="240" w:lineRule="auto"/>
        <w:ind w:left="284" w:hanging="284"/>
        <w:jc w:val="both"/>
        <w:rPr>
          <w:rFonts w:ascii="Arial" w:hAnsi="Arial" w:cs="Arial"/>
          <w:sz w:val="20"/>
          <w:lang w:val="pt-PT"/>
        </w:rPr>
      </w:pPr>
      <w:r>
        <w:rPr>
          <w:rFonts w:ascii="Arial" w:hAnsi="Arial" w:cs="Arial"/>
          <w:sz w:val="20"/>
          <w:lang w:val="pt-PT"/>
        </w:rPr>
        <w:t>4</w:t>
      </w:r>
      <w:r>
        <w:rPr>
          <w:rFonts w:ascii="Arial" w:hAnsi="Arial" w:cs="Arial"/>
          <w:sz w:val="20"/>
          <w:lang w:val="pt-PT"/>
        </w:rPr>
        <w:tab/>
      </w:r>
      <w:r w:rsidR="00C136FE" w:rsidRPr="00E64EB1">
        <w:rPr>
          <w:rFonts w:ascii="Arial" w:hAnsi="Arial" w:cs="Arial"/>
          <w:sz w:val="20"/>
          <w:lang w:val="pt-PT"/>
        </w:rPr>
        <w:t xml:space="preserve">Estudo no </w:t>
      </w:r>
      <w:r>
        <w:rPr>
          <w:rFonts w:ascii="Arial" w:hAnsi="Arial" w:cs="Arial"/>
          <w:sz w:val="20"/>
          <w:lang w:val="pt-PT"/>
        </w:rPr>
        <w:t>S</w:t>
      </w:r>
      <w:r w:rsidR="00C136FE" w:rsidRPr="00E64EB1">
        <w:rPr>
          <w:rFonts w:ascii="Arial" w:hAnsi="Arial" w:cs="Arial"/>
          <w:sz w:val="20"/>
          <w:lang w:val="pt-PT"/>
        </w:rPr>
        <w:t xml:space="preserve">ector </w:t>
      </w:r>
      <w:r>
        <w:rPr>
          <w:rFonts w:ascii="Arial" w:hAnsi="Arial" w:cs="Arial"/>
          <w:sz w:val="20"/>
          <w:lang w:val="pt-PT"/>
        </w:rPr>
        <w:t>T</w:t>
      </w:r>
      <w:r w:rsidR="00C136FE" w:rsidRPr="00E64EB1">
        <w:rPr>
          <w:rFonts w:ascii="Arial" w:hAnsi="Arial" w:cs="Arial"/>
          <w:sz w:val="20"/>
          <w:lang w:val="pt-PT"/>
        </w:rPr>
        <w:t xml:space="preserve">êxtil e de </w:t>
      </w:r>
      <w:r>
        <w:rPr>
          <w:rFonts w:ascii="Arial" w:hAnsi="Arial" w:cs="Arial"/>
          <w:sz w:val="20"/>
          <w:lang w:val="pt-PT"/>
        </w:rPr>
        <w:t>V</w:t>
      </w:r>
      <w:r w:rsidR="00C136FE" w:rsidRPr="00E64EB1">
        <w:rPr>
          <w:rFonts w:ascii="Arial" w:hAnsi="Arial" w:cs="Arial"/>
          <w:sz w:val="20"/>
          <w:lang w:val="pt-PT"/>
        </w:rPr>
        <w:t>estuário em Portugal</w:t>
      </w:r>
    </w:p>
    <w:p w:rsidR="00B80889" w:rsidRPr="00BD4796" w:rsidRDefault="00B80889" w:rsidP="00BD4796">
      <w:pPr>
        <w:pStyle w:val="PARAGRAPH"/>
        <w:ind w:firstLine="0"/>
        <w:rPr>
          <w:rFonts w:ascii="Arial" w:hAnsi="Arial"/>
          <w:sz w:val="20"/>
          <w:lang w:val="pt-PT"/>
        </w:rPr>
      </w:pPr>
      <w:r w:rsidRPr="00BD4796">
        <w:rPr>
          <w:rFonts w:ascii="Arial" w:hAnsi="Arial"/>
          <w:sz w:val="20"/>
          <w:lang w:val="pt-PT"/>
        </w:rPr>
        <w:t>Do estudo realizado no sector Têxtil e de Vestuário em Portugal, em inquérito realizado durante Janeiro e Agosto de 2007, num total de 223 respostas, a análise e os principai</w:t>
      </w:r>
      <w:r w:rsidR="00BD4796" w:rsidRPr="00BD4796">
        <w:rPr>
          <w:rFonts w:ascii="Arial" w:hAnsi="Arial"/>
          <w:sz w:val="20"/>
          <w:lang w:val="pt-PT"/>
        </w:rPr>
        <w:t>s comentários são os seguintes:</w:t>
      </w:r>
    </w:p>
    <w:p w:rsidR="00BD4796" w:rsidRPr="00BD4796" w:rsidRDefault="00BD4796" w:rsidP="00BD4796">
      <w:pPr>
        <w:pStyle w:val="PARAGRAPH"/>
        <w:ind w:firstLine="0"/>
        <w:rPr>
          <w:rFonts w:ascii="Arial" w:hAnsi="Arial"/>
          <w:sz w:val="20"/>
          <w:lang w:val="pt-PT"/>
        </w:rPr>
      </w:pPr>
    </w:p>
    <w:p w:rsidR="00B80889" w:rsidRPr="00BD4796" w:rsidRDefault="00B80889" w:rsidP="00BD4796">
      <w:pPr>
        <w:pStyle w:val="PargrafodaLista1"/>
        <w:numPr>
          <w:ilvl w:val="0"/>
          <w:numId w:val="46"/>
        </w:numPr>
        <w:spacing w:line="230" w:lineRule="exact"/>
        <w:ind w:left="397" w:hanging="284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O conhecimento (atributos) e aprendizagem (atributos) são duas variáveis explicativas para o desempenho do modelo de capacidade de absorção.</w:t>
      </w:r>
    </w:p>
    <w:p w:rsidR="00BD4796" w:rsidRPr="00BD4796" w:rsidRDefault="00BD4796" w:rsidP="00BD4796">
      <w:pPr>
        <w:pStyle w:val="PargrafodaLista1"/>
        <w:spacing w:line="230" w:lineRule="exact"/>
        <w:ind w:left="0"/>
        <w:rPr>
          <w:rFonts w:ascii="Arial" w:hAnsi="Arial"/>
          <w:kern w:val="16"/>
          <w:sz w:val="20"/>
          <w:szCs w:val="20"/>
        </w:rPr>
      </w:pPr>
    </w:p>
    <w:p w:rsidR="00B80889" w:rsidRPr="00BD4796" w:rsidRDefault="00BD4796" w:rsidP="00BD4796">
      <w:pPr>
        <w:pStyle w:val="PargrafodaLista1"/>
        <w:spacing w:line="230" w:lineRule="exact"/>
        <w:ind w:left="794" w:hanging="340"/>
        <w:rPr>
          <w:rFonts w:ascii="Arial" w:hAnsi="Arial" w:cs="Arial"/>
          <w:kern w:val="16"/>
          <w:sz w:val="20"/>
          <w:szCs w:val="20"/>
        </w:rPr>
      </w:pPr>
      <w:r w:rsidRPr="00BD4796">
        <w:rPr>
          <w:rFonts w:ascii="Arial" w:hAnsi="Arial" w:cs="Arial"/>
          <w:kern w:val="16"/>
          <w:sz w:val="20"/>
          <w:szCs w:val="20"/>
        </w:rPr>
        <w:t>1.</w:t>
      </w:r>
      <w:r w:rsidRPr="00BD4796">
        <w:rPr>
          <w:rFonts w:ascii="Arial" w:hAnsi="Arial" w:cs="Arial"/>
          <w:kern w:val="16"/>
          <w:sz w:val="20"/>
          <w:szCs w:val="20"/>
        </w:rPr>
        <w:tab/>
      </w:r>
      <w:r w:rsidR="00B80889" w:rsidRPr="00BD4796">
        <w:rPr>
          <w:rFonts w:ascii="Arial" w:hAnsi="Arial" w:cs="Arial"/>
          <w:kern w:val="16"/>
          <w:sz w:val="20"/>
          <w:szCs w:val="20"/>
        </w:rPr>
        <w:t xml:space="preserve">A aprendizagem apresenta uma relação mais forte e positiva do que o conhecimento na sua relação com o modelo de capacidade de absorção, em virtude de a aprendizagem se definir com o processo de aquisição e construção do conhecimento e apresentar um </w:t>
      </w:r>
      <w:r w:rsidR="00B80889" w:rsidRPr="00BD4796">
        <w:rPr>
          <w:rFonts w:ascii="Arial" w:hAnsi="Arial" w:cs="Arial"/>
          <w:kern w:val="16"/>
          <w:sz w:val="20"/>
          <w:szCs w:val="20"/>
        </w:rPr>
        <w:lastRenderedPageBreak/>
        <w:t>índice mais reduzido de conhecimento tácito.</w:t>
      </w:r>
    </w:p>
    <w:p w:rsidR="00B80889" w:rsidRPr="00BD4796" w:rsidRDefault="00BD4796" w:rsidP="00BD4796">
      <w:pPr>
        <w:pStyle w:val="PargrafodaLista1"/>
        <w:spacing w:line="230" w:lineRule="exact"/>
        <w:ind w:left="794" w:hanging="340"/>
        <w:rPr>
          <w:rFonts w:ascii="Arial" w:hAnsi="Arial" w:cs="Arial"/>
          <w:kern w:val="16"/>
          <w:sz w:val="20"/>
          <w:szCs w:val="20"/>
        </w:rPr>
      </w:pPr>
      <w:r w:rsidRPr="00BD4796">
        <w:rPr>
          <w:rFonts w:ascii="Arial" w:hAnsi="Arial" w:cs="Arial"/>
          <w:kern w:val="16"/>
          <w:sz w:val="20"/>
          <w:szCs w:val="20"/>
        </w:rPr>
        <w:t>2.</w:t>
      </w:r>
      <w:r w:rsidRPr="00BD4796">
        <w:rPr>
          <w:rFonts w:ascii="Arial" w:hAnsi="Arial" w:cs="Arial"/>
          <w:kern w:val="16"/>
          <w:sz w:val="20"/>
          <w:szCs w:val="20"/>
        </w:rPr>
        <w:tab/>
      </w:r>
      <w:r w:rsidR="00B80889" w:rsidRPr="00BD4796">
        <w:rPr>
          <w:rFonts w:ascii="Arial" w:hAnsi="Arial" w:cs="Arial"/>
          <w:kern w:val="16"/>
          <w:sz w:val="20"/>
          <w:szCs w:val="20"/>
        </w:rPr>
        <w:t>O conhecimento apresenta uma componente mais potencial (conhecimento tácito) e a aprendizagem uma componente mais realizada (conhecimento explícito), na perspectiva de distinção entre potencial (criação/aquisição) e realizado (transformação/aplicação).</w:t>
      </w:r>
    </w:p>
    <w:p w:rsidR="00B80889" w:rsidRPr="00BD4796" w:rsidRDefault="00BD4796" w:rsidP="00BD4796">
      <w:pPr>
        <w:pStyle w:val="PargrafodaLista1"/>
        <w:spacing w:line="230" w:lineRule="exact"/>
        <w:ind w:left="794" w:hanging="340"/>
        <w:rPr>
          <w:rFonts w:ascii="Arial" w:hAnsi="Arial" w:cs="Arial"/>
          <w:kern w:val="16"/>
          <w:sz w:val="20"/>
          <w:szCs w:val="20"/>
        </w:rPr>
      </w:pPr>
      <w:r w:rsidRPr="00BD4796">
        <w:rPr>
          <w:rFonts w:ascii="Arial" w:hAnsi="Arial" w:cs="Arial"/>
          <w:kern w:val="16"/>
          <w:sz w:val="20"/>
          <w:szCs w:val="20"/>
        </w:rPr>
        <w:t>3.</w:t>
      </w:r>
      <w:r w:rsidRPr="00BD4796">
        <w:rPr>
          <w:rFonts w:ascii="Arial" w:hAnsi="Arial" w:cs="Arial"/>
          <w:kern w:val="16"/>
          <w:sz w:val="20"/>
          <w:szCs w:val="20"/>
        </w:rPr>
        <w:tab/>
      </w:r>
      <w:r w:rsidR="00B80889" w:rsidRPr="00BD4796">
        <w:rPr>
          <w:rFonts w:ascii="Arial" w:hAnsi="Arial" w:cs="Arial"/>
          <w:kern w:val="16"/>
          <w:sz w:val="20"/>
          <w:szCs w:val="20"/>
        </w:rPr>
        <w:t xml:space="preserve">A capacidade de aquisição de conhecimento/aprendizagem é superior </w:t>
      </w:r>
      <w:r w:rsidR="00C25C48">
        <w:rPr>
          <w:rFonts w:ascii="Arial" w:hAnsi="Arial" w:cs="Arial"/>
          <w:kern w:val="16"/>
          <w:sz w:val="20"/>
          <w:szCs w:val="20"/>
        </w:rPr>
        <w:t>à</w:t>
      </w:r>
      <w:r w:rsidR="00B80889" w:rsidRPr="00BD4796">
        <w:rPr>
          <w:rFonts w:ascii="Arial" w:hAnsi="Arial" w:cs="Arial"/>
          <w:kern w:val="16"/>
          <w:sz w:val="20"/>
          <w:szCs w:val="20"/>
        </w:rPr>
        <w:t xml:space="preserve"> capacidade de criação de conhecimento/aprendizagem da organização.</w:t>
      </w:r>
    </w:p>
    <w:p w:rsidR="00B80889" w:rsidRPr="00BD4796" w:rsidRDefault="00BD4796" w:rsidP="00BD4796">
      <w:pPr>
        <w:pStyle w:val="PargrafodaLista1"/>
        <w:spacing w:line="230" w:lineRule="exact"/>
        <w:ind w:left="794" w:hanging="340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4.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C25C48">
        <w:rPr>
          <w:rFonts w:ascii="Arial" w:hAnsi="Arial"/>
          <w:kern w:val="16"/>
          <w:sz w:val="20"/>
          <w:szCs w:val="20"/>
        </w:rPr>
        <w:t>Na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passagem do processo de transformação para o processo de aplicação,</w:t>
      </w:r>
      <w:r w:rsidR="00C25C48">
        <w:rPr>
          <w:rFonts w:ascii="Arial" w:hAnsi="Arial"/>
          <w:kern w:val="16"/>
          <w:sz w:val="20"/>
          <w:szCs w:val="20"/>
        </w:rPr>
        <w:t xml:space="preserve"> a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capacidade de absorção realizada é sempre negativa, entre o indivíduo, o grupo e a organização no mecanismo de</w:t>
      </w:r>
      <w:r w:rsidR="005004E2" w:rsidRPr="00BD4796">
        <w:rPr>
          <w:rFonts w:ascii="Arial" w:hAnsi="Arial"/>
          <w:kern w:val="16"/>
          <w:sz w:val="20"/>
          <w:szCs w:val="20"/>
        </w:rPr>
        <w:t xml:space="preserve"> aprendizagem/conhecimento.</w:t>
      </w:r>
    </w:p>
    <w:p w:rsidR="005004E2" w:rsidRPr="00BD4796" w:rsidRDefault="005004E2" w:rsidP="005004E2">
      <w:pPr>
        <w:pStyle w:val="PargrafodaLista1"/>
        <w:spacing w:line="230" w:lineRule="exact"/>
        <w:ind w:left="0"/>
        <w:rPr>
          <w:rFonts w:ascii="Arial" w:hAnsi="Arial"/>
          <w:kern w:val="16"/>
          <w:sz w:val="20"/>
          <w:szCs w:val="20"/>
        </w:rPr>
      </w:pPr>
    </w:p>
    <w:p w:rsidR="00B80889" w:rsidRPr="00BD4796" w:rsidRDefault="00B80889" w:rsidP="00BD4796">
      <w:pPr>
        <w:pStyle w:val="PargrafodaLista1"/>
        <w:numPr>
          <w:ilvl w:val="0"/>
          <w:numId w:val="46"/>
        </w:numPr>
        <w:spacing w:line="230" w:lineRule="exact"/>
        <w:ind w:left="397" w:hanging="284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O Capital Social Interno da organização (indivíduo, grupo e organização) e respectiva ligação, são elementos que apresentam comportamentos diferenciados a nível da realidade do conhecimento e da aprendizagem.</w:t>
      </w:r>
    </w:p>
    <w:p w:rsidR="00BD4796" w:rsidRPr="00BD4796" w:rsidRDefault="00BD4796" w:rsidP="00BD4796">
      <w:pPr>
        <w:pStyle w:val="PargrafodaLista1"/>
        <w:spacing w:line="230" w:lineRule="exact"/>
        <w:ind w:left="0"/>
        <w:rPr>
          <w:rFonts w:ascii="Arial" w:hAnsi="Arial"/>
          <w:kern w:val="16"/>
          <w:sz w:val="20"/>
          <w:szCs w:val="20"/>
        </w:rPr>
      </w:pP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5.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 xml:space="preserve">O indivíduo (conhecimento) apresenta um grande índice de conhecimento tácito e considera esse conhecimento “propriedade pessoal” e não o transmite </w:t>
      </w:r>
      <w:r w:rsidR="00C25C48">
        <w:rPr>
          <w:rFonts w:ascii="Arial" w:hAnsi="Arial"/>
          <w:kern w:val="16"/>
          <w:sz w:val="20"/>
          <w:szCs w:val="20"/>
        </w:rPr>
        <w:t>n</w:t>
      </w:r>
      <w:r w:rsidR="00B80889" w:rsidRPr="00BD4796">
        <w:rPr>
          <w:rFonts w:ascii="Arial" w:hAnsi="Arial"/>
          <w:kern w:val="16"/>
          <w:sz w:val="20"/>
          <w:szCs w:val="20"/>
        </w:rPr>
        <w:t>e</w:t>
      </w:r>
      <w:r w:rsidR="00C25C48">
        <w:rPr>
          <w:rFonts w:ascii="Arial" w:hAnsi="Arial"/>
          <w:kern w:val="16"/>
          <w:sz w:val="20"/>
          <w:szCs w:val="20"/>
        </w:rPr>
        <w:t>m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partilha com o grupo </w:t>
      </w:r>
      <w:r w:rsidR="00C25C48">
        <w:rPr>
          <w:rFonts w:ascii="Arial" w:hAnsi="Arial"/>
          <w:kern w:val="16"/>
          <w:sz w:val="20"/>
          <w:szCs w:val="20"/>
        </w:rPr>
        <w:t>ou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</w:t>
      </w:r>
      <w:r w:rsidR="00C25C48">
        <w:rPr>
          <w:rFonts w:ascii="Arial" w:hAnsi="Arial"/>
          <w:kern w:val="16"/>
          <w:sz w:val="20"/>
          <w:szCs w:val="20"/>
        </w:rPr>
        <w:t xml:space="preserve">com </w:t>
      </w:r>
      <w:r w:rsidR="00B80889" w:rsidRPr="00BD4796">
        <w:rPr>
          <w:rFonts w:ascii="Arial" w:hAnsi="Arial"/>
          <w:kern w:val="16"/>
          <w:sz w:val="20"/>
          <w:szCs w:val="20"/>
        </w:rPr>
        <w:t>a organização, no domínio da capacidade de absorção potencial (criação/aquisição). Na capacidade de absorção realizada (transformação/aplicação) o indivíduo apresenta maior conhecimento explícito e tem uma maior facilidade de comuni</w:t>
      </w:r>
      <w:r w:rsidR="00C25C48">
        <w:rPr>
          <w:rFonts w:ascii="Arial" w:hAnsi="Arial"/>
          <w:kern w:val="16"/>
          <w:sz w:val="20"/>
          <w:szCs w:val="20"/>
        </w:rPr>
        <w:t>cação e partilha com o grupo e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</w:t>
      </w:r>
      <w:r w:rsidR="00C25C48">
        <w:rPr>
          <w:rFonts w:ascii="Arial" w:hAnsi="Arial"/>
          <w:kern w:val="16"/>
          <w:sz w:val="20"/>
          <w:szCs w:val="20"/>
        </w:rPr>
        <w:t xml:space="preserve">com a </w:t>
      </w:r>
      <w:r w:rsidR="00B80889" w:rsidRPr="00BD4796">
        <w:rPr>
          <w:rFonts w:ascii="Arial" w:hAnsi="Arial"/>
          <w:kern w:val="16"/>
          <w:sz w:val="20"/>
          <w:szCs w:val="20"/>
        </w:rPr>
        <w:t>o</w:t>
      </w:r>
      <w:r w:rsidR="00C25C48">
        <w:rPr>
          <w:rFonts w:ascii="Arial" w:hAnsi="Arial"/>
          <w:kern w:val="16"/>
          <w:sz w:val="20"/>
          <w:szCs w:val="20"/>
        </w:rPr>
        <w:t>rganização.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6.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O Indivíduo (aprendizagem) apresenta um grande índice de conhecimento explícito, o que significa que tem melhor desempenho na capacidade de absorção realizada (transformação/aplicação) do que na capacidade de absorção potencial (criação/aquisição), embora a transmissão e partilha seja positiva em ambas as situações.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7.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 xml:space="preserve">O grupo (conhecimento) é mais relevante na capacidade de </w:t>
      </w:r>
      <w:r w:rsidR="00B80889" w:rsidRPr="00BD4796">
        <w:rPr>
          <w:rFonts w:ascii="Arial" w:hAnsi="Arial"/>
          <w:kern w:val="16"/>
          <w:sz w:val="20"/>
          <w:szCs w:val="20"/>
        </w:rPr>
        <w:lastRenderedPageBreak/>
        <w:t xml:space="preserve">absorção potencial (criação/aquisição), é mais activo na aquisição de conhecimento do que na sua criação e na capacidade de absorção realizada (transformação/aplicação) apresenta uma maior facilidade de transmissão e partilha para a organização. 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8.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O grupo (aprendizagem) é mais relevante na capacidade de absorção realizada (transformação/aplicação), é mais activo na aquisição de conhecimento do que na sua criação, embora na transmissão/partilha para a organização seja melhor o desempenho na capacidade de absorção potencial (criação/aquisição).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9.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organização apresenta uma sinergia positiva na capacidade de absorção potencial (criação/aquisição) na aprendizagem e capacidade de absorção realizada (transformação/aplicação) no conhecimento. De notar que o conhecimento da organização não é necessariamente a soma das partes do conhecimento individual e do grupo, mas sim as sinergias totais que surgem.</w:t>
      </w:r>
    </w:p>
    <w:p w:rsidR="00B80889" w:rsidRPr="00BD4796" w:rsidRDefault="00B80889" w:rsidP="005004E2">
      <w:pPr>
        <w:spacing w:line="230" w:lineRule="exact"/>
        <w:jc w:val="both"/>
        <w:rPr>
          <w:rFonts w:ascii="Arial" w:hAnsi="Arial"/>
          <w:kern w:val="16"/>
          <w:sz w:val="20"/>
          <w:szCs w:val="20"/>
        </w:rPr>
      </w:pPr>
    </w:p>
    <w:p w:rsidR="00B80889" w:rsidRPr="00BD4796" w:rsidRDefault="00B80889" w:rsidP="00BD4796">
      <w:pPr>
        <w:pStyle w:val="PargrafodaLista1"/>
        <w:numPr>
          <w:ilvl w:val="0"/>
          <w:numId w:val="46"/>
        </w:numPr>
        <w:spacing w:line="230" w:lineRule="exact"/>
        <w:ind w:left="397" w:hanging="284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 xml:space="preserve">A Tecnologia </w:t>
      </w:r>
      <w:r w:rsidR="00C25C48">
        <w:rPr>
          <w:rFonts w:ascii="Arial" w:hAnsi="Arial"/>
          <w:kern w:val="16"/>
          <w:sz w:val="20"/>
          <w:szCs w:val="20"/>
        </w:rPr>
        <w:t xml:space="preserve">como património da organização – </w:t>
      </w:r>
      <w:r w:rsidRPr="00BD4796">
        <w:rPr>
          <w:rFonts w:ascii="Arial" w:hAnsi="Arial"/>
          <w:kern w:val="16"/>
          <w:sz w:val="20"/>
          <w:szCs w:val="20"/>
        </w:rPr>
        <w:t>solução, experime</w:t>
      </w:r>
      <w:r w:rsidR="00C25C48">
        <w:rPr>
          <w:rFonts w:ascii="Arial" w:hAnsi="Arial"/>
          <w:kern w:val="16"/>
          <w:sz w:val="20"/>
          <w:szCs w:val="20"/>
        </w:rPr>
        <w:t>ntação, integração e importação –</w:t>
      </w:r>
      <w:r w:rsidRPr="00BD4796">
        <w:rPr>
          <w:rFonts w:ascii="Arial" w:hAnsi="Arial"/>
          <w:kern w:val="16"/>
          <w:sz w:val="20"/>
          <w:szCs w:val="20"/>
        </w:rPr>
        <w:t>, as três primeiras de carácter interno e a última de carácter externo, são elementos que apresentam comportamentos diferenciados a nível da realidade do conhecimento e da aprendizagem.</w:t>
      </w:r>
    </w:p>
    <w:p w:rsidR="00BD4796" w:rsidRPr="00BD4796" w:rsidRDefault="00BD4796" w:rsidP="00BD4796">
      <w:pPr>
        <w:pStyle w:val="PargrafodaLista1"/>
        <w:spacing w:line="230" w:lineRule="exact"/>
        <w:ind w:left="0"/>
        <w:rPr>
          <w:rFonts w:ascii="Arial" w:hAnsi="Arial"/>
          <w:kern w:val="16"/>
          <w:sz w:val="20"/>
          <w:szCs w:val="20"/>
        </w:rPr>
      </w:pP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10.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Solução (conhecimento) é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das componentes em análise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a que apresenta uma menor influência e impacto na estratégia global da organização</w:t>
      </w:r>
      <w:r w:rsidR="00DC6399">
        <w:rPr>
          <w:rFonts w:ascii="Arial" w:hAnsi="Arial"/>
          <w:kern w:val="16"/>
          <w:sz w:val="20"/>
          <w:szCs w:val="20"/>
        </w:rPr>
        <w:t>;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a capacidade de absorção potencial (criação/aquisição) é superior </w:t>
      </w:r>
      <w:r w:rsidR="00DC6399">
        <w:rPr>
          <w:rFonts w:ascii="Arial" w:hAnsi="Arial"/>
          <w:kern w:val="16"/>
          <w:sz w:val="20"/>
          <w:szCs w:val="20"/>
        </w:rPr>
        <w:t>à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capacidade de absorção realizada (transformação/aplicação), em que predomina o conhecimento tácito.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11.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Solução (aprendizagem) apresenta uma capacidade de absorção realizada (transformação/aplicação) superior à capacidade de absorção potencial (criação/aquisição).</w:t>
      </w:r>
    </w:p>
    <w:p w:rsidR="00B80889" w:rsidRPr="00BD4796" w:rsidRDefault="00B80889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12.</w:t>
      </w:r>
      <w:r w:rsidR="00BD4796" w:rsidRPr="00BD4796">
        <w:rPr>
          <w:rFonts w:ascii="Arial" w:hAnsi="Arial"/>
          <w:kern w:val="16"/>
          <w:sz w:val="20"/>
          <w:szCs w:val="20"/>
        </w:rPr>
        <w:tab/>
      </w:r>
      <w:r w:rsidRPr="00BD4796">
        <w:rPr>
          <w:rFonts w:ascii="Arial" w:hAnsi="Arial"/>
          <w:kern w:val="16"/>
          <w:sz w:val="20"/>
          <w:szCs w:val="20"/>
        </w:rPr>
        <w:t xml:space="preserve">A Experimentação (conhecimento), embora apresente um índice superior à solução, não é uma prática corrente nas organizações, a </w:t>
      </w:r>
      <w:r w:rsidRPr="00BD4796">
        <w:rPr>
          <w:rFonts w:ascii="Arial" w:hAnsi="Arial"/>
          <w:kern w:val="16"/>
          <w:sz w:val="20"/>
          <w:szCs w:val="20"/>
        </w:rPr>
        <w:lastRenderedPageBreak/>
        <w:t xml:space="preserve">capacidade de absorção potencial (criação/aquisição) é superior </w:t>
      </w:r>
      <w:r w:rsidR="00DC6399">
        <w:rPr>
          <w:rFonts w:ascii="Arial" w:hAnsi="Arial"/>
          <w:kern w:val="16"/>
          <w:sz w:val="20"/>
          <w:szCs w:val="20"/>
        </w:rPr>
        <w:t>à</w:t>
      </w:r>
      <w:r w:rsidRPr="00BD4796">
        <w:rPr>
          <w:rFonts w:ascii="Arial" w:hAnsi="Arial"/>
          <w:kern w:val="16"/>
          <w:sz w:val="20"/>
          <w:szCs w:val="20"/>
        </w:rPr>
        <w:t xml:space="preserve"> capacidade de absorção realizada (transformação/aplicação), em que predomina o conhecimento tácito.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13.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Experimentação (aprendizagem), apresenta uma capacidade de absorção realizada (transformação/aplicação) superior à capacidade de absorção potencial (criação/aquisição).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14.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Integração (conhecimento) é fundamental e decisiva para a dinâmica tecnológica da organização e respectiva capacidade competitiva e promotora da diferenciação. O padrão existente, será uma tendência para se verificar uma maior importância da capacidade de absorção potencial (criação/aquisição) do que a capacidade de absorção realizada (transformação/aplicação).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15.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DC6399">
        <w:rPr>
          <w:rFonts w:ascii="Arial" w:hAnsi="Arial"/>
          <w:kern w:val="16"/>
          <w:sz w:val="20"/>
          <w:szCs w:val="20"/>
        </w:rPr>
        <w:t>Na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Integração (aprendizagem)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o padrão de comportamento será </w:t>
      </w:r>
      <w:r w:rsidR="00DC6399">
        <w:rPr>
          <w:rFonts w:ascii="Arial" w:hAnsi="Arial"/>
          <w:kern w:val="16"/>
          <w:sz w:val="20"/>
          <w:szCs w:val="20"/>
        </w:rPr>
        <w:t>o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de se verificar que a capacidade de absorção realizada (transformação/aplicação) é superior à capacidade de absorção potencial (criação/aquisição).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16.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Importação (conhecimento) surge como a forma mais típica e comum de adquirir conhecimento, criar conhecimento em parcerias com outros agentes e depois importar ou adquirir conhecimento através de imitação e cópia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entre outros mecanismos, em que se verifica a tendência de a capacidade de absorção potencial (criação/aquisição) ser superior à capacidade de absorção realizada (transformação/aplicação).</w:t>
      </w: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17.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A Importação (aprendizagem)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juntamente com a integração (aprendizagem)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="00B80889" w:rsidRPr="00BD4796">
        <w:rPr>
          <w:rFonts w:ascii="Arial" w:hAnsi="Arial"/>
          <w:kern w:val="16"/>
          <w:sz w:val="20"/>
          <w:szCs w:val="20"/>
        </w:rPr>
        <w:t xml:space="preserve"> são os dois mecanismos mais importantes para reforçar o património tecnológico da organização. O padrão será o de verificar se a capacidade de absorção realizada (transformação/aplicação) é superior à capacidade de absorção potencial (criação/aquisição).</w:t>
      </w:r>
    </w:p>
    <w:p w:rsidR="00B80889" w:rsidRPr="00BD4796" w:rsidRDefault="00B80889" w:rsidP="005004E2">
      <w:pPr>
        <w:spacing w:line="230" w:lineRule="exact"/>
        <w:jc w:val="both"/>
        <w:rPr>
          <w:rFonts w:ascii="Arial" w:hAnsi="Arial"/>
          <w:kern w:val="16"/>
          <w:sz w:val="20"/>
          <w:szCs w:val="20"/>
        </w:rPr>
      </w:pPr>
    </w:p>
    <w:p w:rsidR="00B80889" w:rsidRPr="00BD4796" w:rsidRDefault="00B80889" w:rsidP="00BD4796">
      <w:pPr>
        <w:pStyle w:val="PargrafodaLista1"/>
        <w:numPr>
          <w:ilvl w:val="0"/>
          <w:numId w:val="46"/>
        </w:numPr>
        <w:spacing w:line="230" w:lineRule="exact"/>
        <w:ind w:left="397" w:hanging="284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O Capital Social Externo da organização</w:t>
      </w:r>
      <w:r w:rsidR="00DC6399">
        <w:rPr>
          <w:rFonts w:ascii="Arial" w:hAnsi="Arial"/>
          <w:kern w:val="16"/>
          <w:sz w:val="20"/>
          <w:szCs w:val="20"/>
        </w:rPr>
        <w:t>,</w:t>
      </w:r>
      <w:r w:rsidRPr="00BD4796">
        <w:rPr>
          <w:rFonts w:ascii="Arial" w:hAnsi="Arial"/>
          <w:kern w:val="16"/>
          <w:sz w:val="20"/>
          <w:szCs w:val="20"/>
        </w:rPr>
        <w:t xml:space="preserve"> </w:t>
      </w:r>
      <w:r w:rsidR="00DC6399">
        <w:rPr>
          <w:rFonts w:ascii="Arial" w:hAnsi="Arial"/>
          <w:kern w:val="16"/>
          <w:sz w:val="20"/>
          <w:szCs w:val="20"/>
        </w:rPr>
        <w:t xml:space="preserve">traduzido nos </w:t>
      </w:r>
      <w:r w:rsidRPr="00BD4796">
        <w:rPr>
          <w:rFonts w:ascii="Arial" w:hAnsi="Arial"/>
          <w:kern w:val="16"/>
          <w:sz w:val="20"/>
          <w:szCs w:val="20"/>
        </w:rPr>
        <w:t>consumidores, fornecedores, distribuidore</w:t>
      </w:r>
      <w:r w:rsidR="00DC6399">
        <w:rPr>
          <w:rFonts w:ascii="Arial" w:hAnsi="Arial"/>
          <w:kern w:val="16"/>
          <w:sz w:val="20"/>
          <w:szCs w:val="20"/>
        </w:rPr>
        <w:t>s, universidades e concorrentes,</w:t>
      </w:r>
      <w:r w:rsidRPr="00BD4796">
        <w:rPr>
          <w:rFonts w:ascii="Arial" w:hAnsi="Arial"/>
          <w:kern w:val="16"/>
          <w:sz w:val="20"/>
          <w:szCs w:val="20"/>
        </w:rPr>
        <w:t xml:space="preserve"> são os </w:t>
      </w:r>
      <w:r w:rsidRPr="00BD4796">
        <w:rPr>
          <w:rFonts w:ascii="Arial" w:hAnsi="Arial"/>
          <w:kern w:val="16"/>
          <w:sz w:val="20"/>
          <w:szCs w:val="20"/>
        </w:rPr>
        <w:lastRenderedPageBreak/>
        <w:t>agentes que fazem parte integrante da estratégia da organização.</w:t>
      </w:r>
    </w:p>
    <w:p w:rsidR="00BD4796" w:rsidRPr="00BD4796" w:rsidRDefault="00BD4796" w:rsidP="00BD4796">
      <w:pPr>
        <w:pStyle w:val="PargrafodaLista1"/>
        <w:spacing w:line="230" w:lineRule="exact"/>
        <w:ind w:left="0"/>
        <w:rPr>
          <w:rFonts w:ascii="Arial" w:hAnsi="Arial"/>
          <w:kern w:val="16"/>
          <w:sz w:val="20"/>
          <w:szCs w:val="20"/>
        </w:rPr>
      </w:pPr>
    </w:p>
    <w:p w:rsidR="00B80889" w:rsidRPr="00BD4796" w:rsidRDefault="00EB710F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>
        <w:rPr>
          <w:rFonts w:ascii="Arial" w:hAnsi="Arial"/>
          <w:kern w:val="16"/>
          <w:sz w:val="20"/>
          <w:szCs w:val="20"/>
        </w:rPr>
        <w:t>18.</w:t>
      </w:r>
      <w:r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Na perspectiva do conhecimento predomina a capacidade de absorção potencial (criação/aquisição) sobre a capacidade de absorção realizada (transformação/aplicação).</w:t>
      </w:r>
    </w:p>
    <w:p w:rsidR="00B80889" w:rsidRPr="00BD4796" w:rsidRDefault="00EB710F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>
        <w:rPr>
          <w:rFonts w:ascii="Arial" w:hAnsi="Arial"/>
          <w:kern w:val="16"/>
          <w:sz w:val="20"/>
          <w:szCs w:val="20"/>
        </w:rPr>
        <w:t>19.</w:t>
      </w:r>
      <w:r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>Na perspectiva da aprendizagem predomina a capacidade de absorção realizada (transformação/aplicação) sobre a capacidade de absorção potencial (criação/aquisição) em que os mecanismos de transmissão e partilha serão superiores aos da perspectiva do conhecimento.</w:t>
      </w:r>
    </w:p>
    <w:p w:rsidR="00B80889" w:rsidRPr="00BD4796" w:rsidRDefault="00B80889" w:rsidP="005004E2">
      <w:pPr>
        <w:spacing w:line="230" w:lineRule="exact"/>
        <w:jc w:val="both"/>
        <w:rPr>
          <w:rFonts w:ascii="Arial" w:hAnsi="Arial"/>
          <w:kern w:val="16"/>
          <w:sz w:val="20"/>
          <w:szCs w:val="20"/>
        </w:rPr>
      </w:pPr>
    </w:p>
    <w:p w:rsidR="00B80889" w:rsidRPr="00BD4796" w:rsidRDefault="00B80889" w:rsidP="00BD4796">
      <w:pPr>
        <w:pStyle w:val="PargrafodaLista1"/>
        <w:numPr>
          <w:ilvl w:val="0"/>
          <w:numId w:val="46"/>
        </w:numPr>
        <w:spacing w:line="230" w:lineRule="exact"/>
        <w:ind w:left="397" w:hanging="284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A cooperação vertical (consumidores, fornecedores e distribuidores) será a forma por excelência para a transmissão e partilha de conhecimento/</w:t>
      </w:r>
      <w:r w:rsidR="00BD4796" w:rsidRPr="00BD4796">
        <w:rPr>
          <w:rFonts w:ascii="Arial" w:hAnsi="Arial"/>
          <w:kern w:val="16"/>
          <w:sz w:val="20"/>
          <w:szCs w:val="20"/>
        </w:rPr>
        <w:t xml:space="preserve"> /</w:t>
      </w:r>
      <w:r w:rsidRPr="00BD4796">
        <w:rPr>
          <w:rFonts w:ascii="Arial" w:hAnsi="Arial"/>
          <w:kern w:val="16"/>
          <w:sz w:val="20"/>
          <w:szCs w:val="20"/>
        </w:rPr>
        <w:t>aprendizagem, relativamente à cooperação horizontal (concorrentes) e à cooperação institucional (universidades).</w:t>
      </w:r>
    </w:p>
    <w:p w:rsidR="00BD4796" w:rsidRPr="00BD4796" w:rsidRDefault="00BD4796" w:rsidP="00BD4796">
      <w:pPr>
        <w:pStyle w:val="PargrafodaLista1"/>
        <w:spacing w:line="230" w:lineRule="exact"/>
        <w:ind w:left="0"/>
        <w:rPr>
          <w:rFonts w:ascii="Arial" w:hAnsi="Arial"/>
          <w:kern w:val="16"/>
          <w:sz w:val="20"/>
          <w:szCs w:val="20"/>
        </w:rPr>
      </w:pPr>
    </w:p>
    <w:p w:rsidR="00B80889" w:rsidRPr="00BD4796" w:rsidRDefault="00BD4796" w:rsidP="00BD4796">
      <w:pPr>
        <w:spacing w:line="230" w:lineRule="exact"/>
        <w:ind w:left="794" w:hanging="340"/>
        <w:jc w:val="both"/>
        <w:rPr>
          <w:rFonts w:ascii="Arial" w:hAnsi="Arial"/>
          <w:kern w:val="16"/>
          <w:sz w:val="20"/>
          <w:szCs w:val="20"/>
        </w:rPr>
      </w:pPr>
      <w:r w:rsidRPr="00BD4796">
        <w:rPr>
          <w:rFonts w:ascii="Arial" w:hAnsi="Arial"/>
          <w:kern w:val="16"/>
          <w:sz w:val="20"/>
          <w:szCs w:val="20"/>
        </w:rPr>
        <w:t>20.</w:t>
      </w:r>
      <w:r w:rsidRPr="00BD4796">
        <w:rPr>
          <w:rFonts w:ascii="Arial" w:hAnsi="Arial"/>
          <w:kern w:val="16"/>
          <w:sz w:val="20"/>
          <w:szCs w:val="20"/>
        </w:rPr>
        <w:tab/>
      </w:r>
      <w:r w:rsidR="00B80889" w:rsidRPr="00BD4796">
        <w:rPr>
          <w:rFonts w:ascii="Arial" w:hAnsi="Arial"/>
          <w:kern w:val="16"/>
          <w:sz w:val="20"/>
          <w:szCs w:val="20"/>
        </w:rPr>
        <w:t xml:space="preserve">O Capital Social Interno, a Tecnologia e o Capital Social Externo, apresentam uma dinâmica superior nos processos de aprendizagens em todas as tipologias de cooperação do que os </w:t>
      </w:r>
      <w:r w:rsidR="00C136FE" w:rsidRPr="00BD4796">
        <w:rPr>
          <w:rFonts w:ascii="Arial" w:hAnsi="Arial"/>
          <w:kern w:val="16"/>
          <w:sz w:val="20"/>
          <w:szCs w:val="20"/>
        </w:rPr>
        <w:t>mecanismos de conhecimento.</w:t>
      </w:r>
    </w:p>
    <w:p w:rsidR="00B80889" w:rsidRPr="00E64EB1" w:rsidRDefault="00B80889" w:rsidP="00E64EB1">
      <w:pPr>
        <w:pStyle w:val="Ttulo1"/>
        <w:spacing w:before="400" w:after="200" w:line="240" w:lineRule="auto"/>
        <w:ind w:left="284" w:hanging="284"/>
        <w:jc w:val="both"/>
        <w:rPr>
          <w:rFonts w:ascii="Arial" w:hAnsi="Arial" w:cs="Arial"/>
          <w:sz w:val="20"/>
          <w:lang w:val="pt-PT"/>
        </w:rPr>
      </w:pPr>
      <w:r w:rsidRPr="00E64EB1">
        <w:rPr>
          <w:rFonts w:ascii="Arial" w:hAnsi="Arial" w:cs="Arial"/>
          <w:sz w:val="20"/>
          <w:lang w:val="pt-PT"/>
        </w:rPr>
        <w:t>Conclusão</w:t>
      </w:r>
    </w:p>
    <w:p w:rsidR="00B80889" w:rsidRPr="005004E2" w:rsidRDefault="00F11AEC" w:rsidP="00BD4796">
      <w:pPr>
        <w:pStyle w:val="PARAGRAPH"/>
        <w:ind w:firstLine="0"/>
        <w:rPr>
          <w:rFonts w:ascii="Arial" w:hAnsi="Arial" w:cs="Arial"/>
          <w:sz w:val="20"/>
          <w:lang w:val="pt-PT"/>
        </w:rPr>
      </w:pPr>
      <w:r>
        <w:rPr>
          <w:b/>
          <w:noProof/>
          <w:lang w:val="pt-PT" w:eastAsia="pt-PT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3810</wp:posOffset>
            </wp:positionV>
            <wp:extent cx="1023620" cy="1113790"/>
            <wp:effectExtent l="19050" t="0" r="5080" b="0"/>
            <wp:wrapSquare wrapText="bothSides"/>
            <wp:docPr id="4" name="Imagem 1" descr="frangani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franganito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252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3620" cy="1113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6399">
        <w:rPr>
          <w:rFonts w:ascii="Arial" w:hAnsi="Arial" w:cs="Arial"/>
          <w:sz w:val="20"/>
          <w:lang w:val="pt-PT"/>
        </w:rPr>
        <w:t>A</w:t>
      </w:r>
      <w:r w:rsidR="00B80889" w:rsidRPr="005004E2">
        <w:rPr>
          <w:rFonts w:ascii="Arial" w:hAnsi="Arial" w:cs="Arial"/>
          <w:sz w:val="20"/>
          <w:lang w:val="pt-PT"/>
        </w:rPr>
        <w:t>valiar a capacidade de absorção da organização</w:t>
      </w:r>
      <w:r w:rsidR="00DC6399">
        <w:rPr>
          <w:rFonts w:ascii="Arial" w:hAnsi="Arial" w:cs="Arial"/>
          <w:sz w:val="20"/>
          <w:lang w:val="pt-PT"/>
        </w:rPr>
        <w:t>,</w:t>
      </w:r>
      <w:r w:rsidR="00B80889" w:rsidRPr="005004E2">
        <w:rPr>
          <w:rFonts w:ascii="Arial" w:hAnsi="Arial" w:cs="Arial"/>
          <w:sz w:val="20"/>
          <w:lang w:val="pt-PT"/>
        </w:rPr>
        <w:t xml:space="preserve"> através da avaliação do capital social interno e do capital social externo</w:t>
      </w:r>
      <w:r w:rsidR="00DC6399">
        <w:rPr>
          <w:rFonts w:ascii="Arial" w:hAnsi="Arial" w:cs="Arial"/>
          <w:sz w:val="20"/>
          <w:lang w:val="pt-PT"/>
        </w:rPr>
        <w:t>,</w:t>
      </w:r>
      <w:r w:rsidR="00B80889" w:rsidRPr="005004E2">
        <w:rPr>
          <w:rFonts w:ascii="Arial" w:hAnsi="Arial" w:cs="Arial"/>
          <w:sz w:val="20"/>
          <w:lang w:val="pt-PT"/>
        </w:rPr>
        <w:t xml:space="preserve"> </w:t>
      </w:r>
      <w:r w:rsidR="00DC6399">
        <w:rPr>
          <w:rFonts w:ascii="Arial" w:hAnsi="Arial" w:cs="Arial"/>
          <w:sz w:val="20"/>
          <w:lang w:val="pt-PT"/>
        </w:rPr>
        <w:t>com base</w:t>
      </w:r>
      <w:r w:rsidR="00B80889" w:rsidRPr="005004E2">
        <w:rPr>
          <w:rFonts w:ascii="Arial" w:hAnsi="Arial" w:cs="Arial"/>
          <w:sz w:val="20"/>
          <w:lang w:val="pt-PT"/>
        </w:rPr>
        <w:t xml:space="preserve"> </w:t>
      </w:r>
      <w:r w:rsidR="00DC6399">
        <w:rPr>
          <w:rFonts w:ascii="Arial" w:hAnsi="Arial" w:cs="Arial"/>
          <w:sz w:val="20"/>
          <w:lang w:val="pt-PT"/>
        </w:rPr>
        <w:t>n</w:t>
      </w:r>
      <w:r w:rsidR="00B80889" w:rsidRPr="005004E2">
        <w:rPr>
          <w:rFonts w:ascii="Arial" w:hAnsi="Arial" w:cs="Arial"/>
          <w:sz w:val="20"/>
          <w:lang w:val="pt-PT"/>
        </w:rPr>
        <w:t>a mediação das novas tecnologias</w:t>
      </w:r>
      <w:r w:rsidR="00DC6399">
        <w:rPr>
          <w:rFonts w:ascii="Arial" w:hAnsi="Arial" w:cs="Arial"/>
          <w:sz w:val="20"/>
          <w:lang w:val="pt-PT"/>
        </w:rPr>
        <w:t>,</w:t>
      </w:r>
      <w:r w:rsidR="00B80889" w:rsidRPr="005004E2">
        <w:rPr>
          <w:rFonts w:ascii="Arial" w:hAnsi="Arial" w:cs="Arial"/>
          <w:sz w:val="20"/>
          <w:lang w:val="pt-PT"/>
        </w:rPr>
        <w:t xml:space="preserve"> permite </w:t>
      </w:r>
      <w:r w:rsidR="00DC6399">
        <w:rPr>
          <w:rFonts w:ascii="Arial" w:hAnsi="Arial" w:cs="Arial"/>
          <w:sz w:val="20"/>
          <w:lang w:val="pt-PT"/>
        </w:rPr>
        <w:t>à</w:t>
      </w:r>
      <w:r w:rsidR="00B80889" w:rsidRPr="005004E2">
        <w:rPr>
          <w:rFonts w:ascii="Arial" w:hAnsi="Arial" w:cs="Arial"/>
          <w:sz w:val="20"/>
          <w:lang w:val="pt-PT"/>
        </w:rPr>
        <w:t xml:space="preserve"> organização identificar a totalidade do conhecimento existente e principais mecanismos de aprendizagem utilizando instrumentos de comunicação com base nas novas tecnologias</w:t>
      </w:r>
      <w:r w:rsidR="00AF7676">
        <w:rPr>
          <w:rFonts w:ascii="Arial" w:hAnsi="Arial" w:cs="Arial"/>
          <w:sz w:val="20"/>
          <w:lang w:val="pt-PT"/>
        </w:rPr>
        <w:t>,</w:t>
      </w:r>
      <w:r w:rsidR="00B80889" w:rsidRPr="005004E2">
        <w:rPr>
          <w:rFonts w:ascii="Arial" w:hAnsi="Arial" w:cs="Arial"/>
          <w:sz w:val="20"/>
          <w:lang w:val="pt-PT"/>
        </w:rPr>
        <w:t xml:space="preserve"> que permite aumentar e redefinir o espírito de comunidade e libertar o </w:t>
      </w:r>
      <w:r w:rsidR="00B80889" w:rsidRPr="005004E2">
        <w:rPr>
          <w:rFonts w:ascii="Arial" w:hAnsi="Arial" w:cs="Arial"/>
          <w:sz w:val="20"/>
          <w:lang w:val="pt-PT"/>
        </w:rPr>
        <w:lastRenderedPageBreak/>
        <w:t>co</w:t>
      </w:r>
      <w:r w:rsidR="00AF7676">
        <w:rPr>
          <w:rFonts w:ascii="Arial" w:hAnsi="Arial" w:cs="Arial"/>
          <w:sz w:val="20"/>
          <w:lang w:val="pt-PT"/>
        </w:rPr>
        <w:t>nhecimento tácito e transformá-</w:t>
      </w:r>
      <w:r w:rsidR="00B80889" w:rsidRPr="005004E2">
        <w:rPr>
          <w:rFonts w:ascii="Arial" w:hAnsi="Arial" w:cs="Arial"/>
          <w:sz w:val="20"/>
          <w:lang w:val="pt-PT"/>
        </w:rPr>
        <w:t xml:space="preserve">lo em conhecimento explicito acessível e disponível a toda a comunidade. Compreender que estamos perante um sistema de inovação aberto e que a qualidade da rede social da organização é determinante para a aquisição de valor acrescentado e aumento da capacidade competitiva no mundo global. </w:t>
      </w:r>
    </w:p>
    <w:p w:rsidR="00B80889" w:rsidRDefault="00B80889" w:rsidP="00E64EB1">
      <w:pPr>
        <w:pStyle w:val="ReferenceHead"/>
        <w:spacing w:before="400" w:after="200"/>
        <w:jc w:val="both"/>
        <w:rPr>
          <w:rFonts w:ascii="Arial" w:hAnsi="Arial" w:cs="Arial"/>
          <w:b/>
          <w:bCs/>
          <w:lang w:val="pt-PT"/>
        </w:rPr>
      </w:pPr>
      <w:r w:rsidRPr="00E64EB1">
        <w:rPr>
          <w:rFonts w:ascii="Arial" w:hAnsi="Arial" w:cs="Arial"/>
          <w:b/>
          <w:bCs/>
          <w:lang w:val="pt-PT"/>
        </w:rPr>
        <w:t>R</w:t>
      </w:r>
      <w:r w:rsidRPr="00AC0260">
        <w:rPr>
          <w:rFonts w:ascii="Arial" w:hAnsi="Arial" w:cs="Arial"/>
          <w:b/>
          <w:bCs/>
          <w:lang w:val="pt-PT"/>
        </w:rPr>
        <w:t>eferências</w:t>
      </w:r>
    </w:p>
    <w:p w:rsidR="00B80889" w:rsidRPr="00C136FE" w:rsidRDefault="00B80889" w:rsidP="00C136FE">
      <w:pPr>
        <w:pStyle w:val="PARAGRAPH"/>
        <w:rPr>
          <w:rFonts w:ascii="Arial" w:hAnsi="Arial" w:cs="Arial"/>
          <w:sz w:val="20"/>
          <w:lang w:val="pt-PT"/>
        </w:rPr>
      </w:pPr>
    </w:p>
    <w:p w:rsidR="00B80889" w:rsidRPr="00E64EB1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</w:rPr>
      </w:pPr>
      <w:r w:rsidRPr="00AF7676">
        <w:rPr>
          <w:rFonts w:ascii="Arial" w:hAnsi="Arial" w:cs="Arial"/>
          <w:sz w:val="16"/>
          <w:lang w:val="en-GB"/>
        </w:rPr>
        <w:t xml:space="preserve">Cohen W., and D. Levinthal. </w:t>
      </w:r>
      <w:r w:rsidRPr="00D13BA1">
        <w:rPr>
          <w:rFonts w:ascii="Arial" w:hAnsi="Arial" w:cs="Arial"/>
          <w:sz w:val="16"/>
          <w:lang w:val="en-US"/>
        </w:rPr>
        <w:t xml:space="preserve">1990. "Absorptive capacity: a new perspective on learning and innovation." </w:t>
      </w:r>
      <w:r w:rsidRPr="00E64EB1">
        <w:rPr>
          <w:rFonts w:ascii="Arial" w:hAnsi="Arial" w:cs="Arial"/>
          <w:sz w:val="16"/>
        </w:rPr>
        <w:t>Administrative Science Quarterly 35(1) pp 128-152.</w:t>
      </w:r>
    </w:p>
    <w:p w:rsidR="00B80889" w:rsidRPr="00D13BA1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  <w:lang w:val="en-US"/>
        </w:rPr>
      </w:pPr>
      <w:r w:rsidRPr="00D13BA1">
        <w:rPr>
          <w:rFonts w:ascii="Arial" w:hAnsi="Arial" w:cs="Arial"/>
          <w:sz w:val="16"/>
          <w:lang w:val="en-US"/>
        </w:rPr>
        <w:t>Henderson, R., and Cockburn, I. “Measuring Competence? Exploring Firm Effects in Pharmaceutical Research,” Strategic Management Journal (15:8), Winter Special Issue,1994, pp. 63-84.</w:t>
      </w:r>
    </w:p>
    <w:p w:rsidR="00B80889" w:rsidRPr="00D13BA1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  <w:lang w:val="en-US"/>
        </w:rPr>
      </w:pPr>
      <w:r w:rsidRPr="00D13BA1">
        <w:rPr>
          <w:rFonts w:ascii="Arial" w:hAnsi="Arial" w:cs="Arial"/>
          <w:sz w:val="16"/>
          <w:lang w:val="en-US"/>
        </w:rPr>
        <w:t>Nonaka, I. “A Dynamic Theory of Organizational Knowledge Creation,” Organization Science (5:1), 1994, pp. 14-37.</w:t>
      </w:r>
    </w:p>
    <w:p w:rsidR="00B80889" w:rsidRPr="00D13BA1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  <w:lang w:val="en-US"/>
        </w:rPr>
      </w:pPr>
      <w:r w:rsidRPr="00D13BA1">
        <w:rPr>
          <w:rFonts w:ascii="Arial" w:hAnsi="Arial" w:cs="Arial"/>
          <w:sz w:val="16"/>
          <w:lang w:val="en-US"/>
        </w:rPr>
        <w:t>Szulanski, G. “Exploring Internal Stickiness: Impediments to the Transfer of Best Practices Within the Firm,” Strategic Management Journal (17:10), 1996, pp. 27-43.</w:t>
      </w:r>
    </w:p>
    <w:p w:rsidR="00B80889" w:rsidRPr="00E64EB1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</w:rPr>
      </w:pPr>
      <w:r w:rsidRPr="00D13BA1">
        <w:rPr>
          <w:rFonts w:ascii="Arial" w:hAnsi="Arial" w:cs="Arial"/>
          <w:sz w:val="16"/>
          <w:lang w:val="en-US"/>
        </w:rPr>
        <w:t xml:space="preserve">Bosch, F. A., Volberda, H. W., and Boer, M. D. 1999. Coevolution of Firm Absorptive Capacity and Knowledge Environment: Organizational Forms and Combinative Capabilities. </w:t>
      </w:r>
      <w:r w:rsidRPr="00E64EB1">
        <w:rPr>
          <w:rFonts w:ascii="Arial" w:hAnsi="Arial" w:cs="Arial"/>
          <w:sz w:val="16"/>
        </w:rPr>
        <w:t>Organization Science 10, 5 (May. 1999), 551-568.</w:t>
      </w:r>
    </w:p>
    <w:p w:rsidR="00B80889" w:rsidRPr="00D13BA1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  <w:lang w:val="en-US"/>
        </w:rPr>
      </w:pPr>
      <w:r w:rsidRPr="00D13BA1">
        <w:rPr>
          <w:rFonts w:ascii="Arial" w:hAnsi="Arial" w:cs="Arial"/>
          <w:sz w:val="16"/>
          <w:lang w:val="en-US"/>
        </w:rPr>
        <w:t>Zahra, S. A., and George, G. “Absorptive Capacity: A Review, Reconceptualization, and Extension,” Academy of Management Review (27:2), 2002, pp. 185-203.</w:t>
      </w:r>
    </w:p>
    <w:p w:rsidR="00B80889" w:rsidRPr="000B2708" w:rsidRDefault="00B80889" w:rsidP="00E64EB1">
      <w:pPr>
        <w:numPr>
          <w:ilvl w:val="0"/>
          <w:numId w:val="25"/>
        </w:numPr>
        <w:jc w:val="both"/>
        <w:rPr>
          <w:rFonts w:ascii="Arial" w:hAnsi="Arial" w:cs="Arial"/>
          <w:sz w:val="16"/>
          <w:lang w:val="en-GB"/>
        </w:rPr>
      </w:pPr>
      <w:r w:rsidRPr="000B2708">
        <w:rPr>
          <w:rFonts w:ascii="Arial" w:hAnsi="Arial" w:cs="Arial"/>
          <w:sz w:val="16"/>
          <w:lang w:val="en-GB"/>
        </w:rPr>
        <w:t>Mowery, D. C., Oxley, J.E. et Silverman, B. S. (1996), “Strategic alliances and interfirm knowledge transfer”, Strategic Management Journal, Winter Special Issue, 17, pp. 77-92.</w:t>
      </w:r>
    </w:p>
    <w:p w:rsidR="00B80889" w:rsidRDefault="00B80889" w:rsidP="00C136FE">
      <w:pPr>
        <w:spacing w:line="230" w:lineRule="exact"/>
        <w:jc w:val="both"/>
        <w:rPr>
          <w:rFonts w:ascii="Arial" w:hAnsi="Arial" w:cs="Arial"/>
          <w:sz w:val="16"/>
          <w:lang w:val="en-US"/>
        </w:rPr>
      </w:pPr>
    </w:p>
    <w:p w:rsidR="00E64EB1" w:rsidRDefault="00E64EB1" w:rsidP="00C136FE">
      <w:pPr>
        <w:spacing w:line="230" w:lineRule="exact"/>
        <w:jc w:val="both"/>
        <w:rPr>
          <w:rFonts w:ascii="Arial" w:hAnsi="Arial" w:cs="Arial"/>
          <w:sz w:val="16"/>
          <w:lang w:val="en-US"/>
        </w:rPr>
      </w:pPr>
    </w:p>
    <w:p w:rsidR="00D13BA1" w:rsidRDefault="00EB710F" w:rsidP="005004E2">
      <w:pPr>
        <w:jc w:val="both"/>
        <w:rPr>
          <w:rFonts w:ascii="Arial" w:hAnsi="Arial" w:cs="Arial"/>
          <w:sz w:val="16"/>
        </w:rPr>
      </w:pPr>
      <w:r w:rsidRPr="000B2708">
        <w:rPr>
          <w:rFonts w:ascii="Arial" w:hAnsi="Arial" w:cs="Arial"/>
          <w:b/>
          <w:sz w:val="16"/>
        </w:rPr>
        <w:t xml:space="preserve">Rui </w:t>
      </w:r>
      <w:r w:rsidR="000B2708" w:rsidRPr="000B2708">
        <w:rPr>
          <w:rFonts w:ascii="Arial" w:hAnsi="Arial" w:cs="Arial"/>
          <w:b/>
          <w:sz w:val="16"/>
        </w:rPr>
        <w:t xml:space="preserve">Manuel </w:t>
      </w:r>
      <w:r w:rsidRPr="000B2708">
        <w:rPr>
          <w:rFonts w:ascii="Arial" w:hAnsi="Arial" w:cs="Arial"/>
          <w:b/>
          <w:sz w:val="16"/>
        </w:rPr>
        <w:t>Fialho Franganito</w:t>
      </w:r>
      <w:r w:rsidRPr="000B2708">
        <w:rPr>
          <w:rFonts w:ascii="Arial" w:hAnsi="Arial" w:cs="Arial"/>
          <w:sz w:val="16"/>
        </w:rPr>
        <w:t xml:space="preserve"> é </w:t>
      </w:r>
      <w:r w:rsidR="000B2708">
        <w:rPr>
          <w:rFonts w:ascii="Arial" w:hAnsi="Arial" w:cs="Arial"/>
          <w:sz w:val="16"/>
        </w:rPr>
        <w:t>licenciado em Gestão de Empresas pela Cit</w:t>
      </w:r>
      <w:r w:rsidR="00676613">
        <w:rPr>
          <w:rFonts w:ascii="Arial" w:hAnsi="Arial" w:cs="Arial"/>
          <w:sz w:val="16"/>
        </w:rPr>
        <w:t>y University of New York (1993), tem</w:t>
      </w:r>
      <w:r w:rsidR="000B2708">
        <w:rPr>
          <w:rFonts w:ascii="Arial" w:hAnsi="Arial" w:cs="Arial"/>
          <w:sz w:val="16"/>
        </w:rPr>
        <w:t xml:space="preserve"> o grau de Mestre em Gestão e Estratégia In</w:t>
      </w:r>
      <w:r w:rsidR="00D13BA1">
        <w:rPr>
          <w:rFonts w:ascii="Arial" w:hAnsi="Arial" w:cs="Arial"/>
          <w:sz w:val="16"/>
        </w:rPr>
        <w:t>dustrial (1997), pelo ISEG/UTL e doutorado em Direcção de Empresas e Gestão de Marketi</w:t>
      </w:r>
      <w:r w:rsidR="00676613">
        <w:rPr>
          <w:rFonts w:ascii="Arial" w:hAnsi="Arial" w:cs="Arial"/>
          <w:sz w:val="16"/>
        </w:rPr>
        <w:t>ng pela Universidade de Sevilha (2007).</w:t>
      </w:r>
    </w:p>
    <w:p w:rsidR="000B2708" w:rsidRDefault="000B2708" w:rsidP="005004E2">
      <w:pPr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 sua principal área de interesse e investigação é o Comportamento Organizacional.</w:t>
      </w:r>
    </w:p>
    <w:p w:rsidR="000B2708" w:rsidRDefault="000B2708" w:rsidP="005004E2">
      <w:pPr>
        <w:jc w:val="both"/>
        <w:rPr>
          <w:rFonts w:ascii="Arial" w:hAnsi="Arial" w:cs="Arial"/>
          <w:sz w:val="16"/>
        </w:rPr>
        <w:sectPr w:rsidR="000B2708" w:rsidSect="005C34EB">
          <w:type w:val="continuous"/>
          <w:pgSz w:w="11906" w:h="16838" w:code="9"/>
          <w:pgMar w:top="1418" w:right="1418" w:bottom="1418" w:left="1701" w:header="709" w:footer="709" w:gutter="0"/>
          <w:cols w:num="2" w:space="567"/>
          <w:titlePg/>
          <w:docGrid w:linePitch="360"/>
        </w:sectPr>
      </w:pPr>
    </w:p>
    <w:p w:rsidR="000B2708" w:rsidRPr="000B2708" w:rsidRDefault="000B2708" w:rsidP="005004E2">
      <w:pPr>
        <w:jc w:val="both"/>
        <w:rPr>
          <w:rFonts w:ascii="Arial" w:hAnsi="Arial" w:cs="Arial"/>
          <w:sz w:val="16"/>
        </w:rPr>
      </w:pPr>
    </w:p>
    <w:sectPr w:rsidR="000B2708" w:rsidRPr="000B2708" w:rsidSect="005C34EB">
      <w:type w:val="continuous"/>
      <w:pgSz w:w="11906" w:h="16838" w:code="9"/>
      <w:pgMar w:top="1418" w:right="1418" w:bottom="1418" w:left="1701" w:header="709" w:footer="709" w:gutter="0"/>
      <w:cols w:num="2" w:space="567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79CC" w:rsidRDefault="00F379CC">
      <w:r>
        <w:separator/>
      </w:r>
    </w:p>
  </w:endnote>
  <w:endnote w:type="continuationSeparator" w:id="0">
    <w:p w:rsidR="00F379CC" w:rsidRDefault="00F379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 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10F" w:rsidRDefault="00EB710F" w:rsidP="00630D7F">
    <w:pPr>
      <w:pStyle w:val="Rodap"/>
      <w:tabs>
        <w:tab w:val="clear" w:pos="4252"/>
        <w:tab w:val="clear" w:pos="8504"/>
      </w:tabs>
      <w:rPr>
        <w:rFonts w:ascii="Arial" w:hAnsi="Arial" w:cs="Arial"/>
        <w:sz w:val="16"/>
      </w:rPr>
    </w:pPr>
    <w:r>
      <w:rPr>
        <w:rFonts w:ascii="Arial" w:hAnsi="Arial" w:cs="Arial"/>
        <w:sz w:val="16"/>
      </w:rPr>
      <w:t xml:space="preserve">- </w:t>
    </w:r>
    <w:r w:rsidR="009D6490">
      <w:rPr>
        <w:rFonts w:ascii="Arial" w:hAnsi="Arial" w:cs="Arial"/>
        <w:sz w:val="16"/>
      </w:rPr>
      <w:fldChar w:fldCharType="begin"/>
    </w:r>
    <w:r>
      <w:rPr>
        <w:rFonts w:ascii="Arial" w:hAnsi="Arial" w:cs="Arial"/>
        <w:sz w:val="16"/>
      </w:rPr>
      <w:instrText xml:space="preserve"> PAGE </w:instrText>
    </w:r>
    <w:r w:rsidR="009D6490">
      <w:rPr>
        <w:rFonts w:ascii="Arial" w:hAnsi="Arial" w:cs="Arial"/>
        <w:sz w:val="16"/>
      </w:rPr>
      <w:fldChar w:fldCharType="separate"/>
    </w:r>
    <w:r w:rsidR="00676613">
      <w:rPr>
        <w:rFonts w:ascii="Arial" w:hAnsi="Arial" w:cs="Arial"/>
        <w:noProof/>
        <w:sz w:val="16"/>
      </w:rPr>
      <w:t>266</w:t>
    </w:r>
    <w:r w:rsidR="009D6490">
      <w:rPr>
        <w:rFonts w:ascii="Arial" w:hAnsi="Arial" w:cs="Arial"/>
        <w:sz w:val="16"/>
      </w:rPr>
      <w:fldChar w:fldCharType="end"/>
    </w:r>
    <w:r>
      <w:rPr>
        <w:rFonts w:ascii="Arial" w:hAnsi="Arial" w:cs="Arial"/>
        <w:sz w:val="16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10F" w:rsidRDefault="00EB710F" w:rsidP="00BC7C33">
    <w:pPr>
      <w:pStyle w:val="Rodap"/>
      <w:tabs>
        <w:tab w:val="clear" w:pos="4252"/>
        <w:tab w:val="clear" w:pos="8504"/>
      </w:tabs>
      <w:jc w:val="right"/>
      <w:rPr>
        <w:rFonts w:ascii="Arial" w:hAnsi="Arial" w:cs="Arial"/>
        <w:sz w:val="16"/>
      </w:rPr>
    </w:pPr>
    <w:r>
      <w:rPr>
        <w:rFonts w:ascii="Arial" w:hAnsi="Arial" w:cs="Arial"/>
        <w:sz w:val="16"/>
      </w:rPr>
      <w:t xml:space="preserve">- </w:t>
    </w:r>
    <w:r w:rsidR="009D6490">
      <w:rPr>
        <w:rFonts w:ascii="Arial" w:hAnsi="Arial" w:cs="Arial"/>
        <w:sz w:val="16"/>
      </w:rPr>
      <w:fldChar w:fldCharType="begin"/>
    </w:r>
    <w:r>
      <w:rPr>
        <w:rFonts w:ascii="Arial" w:hAnsi="Arial" w:cs="Arial"/>
        <w:sz w:val="16"/>
      </w:rPr>
      <w:instrText xml:space="preserve"> PAGE </w:instrText>
    </w:r>
    <w:r w:rsidR="009D6490">
      <w:rPr>
        <w:rFonts w:ascii="Arial" w:hAnsi="Arial" w:cs="Arial"/>
        <w:sz w:val="16"/>
      </w:rPr>
      <w:fldChar w:fldCharType="separate"/>
    </w:r>
    <w:r w:rsidR="00D13BA1">
      <w:rPr>
        <w:rFonts w:ascii="Arial" w:hAnsi="Arial" w:cs="Arial"/>
        <w:noProof/>
        <w:sz w:val="16"/>
      </w:rPr>
      <w:t>265</w:t>
    </w:r>
    <w:r w:rsidR="009D6490">
      <w:rPr>
        <w:rFonts w:ascii="Arial" w:hAnsi="Arial" w:cs="Arial"/>
        <w:sz w:val="16"/>
      </w:rPr>
      <w:fldChar w:fldCharType="end"/>
    </w:r>
    <w:r>
      <w:rPr>
        <w:rFonts w:ascii="Arial" w:hAnsi="Arial" w:cs="Arial"/>
        <w:sz w:val="16"/>
      </w:rPr>
      <w:t xml:space="preserve"> -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10F" w:rsidRDefault="00EB710F" w:rsidP="00BF397E">
    <w:pPr>
      <w:pStyle w:val="Rodap"/>
      <w:tabs>
        <w:tab w:val="clear" w:pos="4252"/>
        <w:tab w:val="clear" w:pos="8504"/>
      </w:tabs>
      <w:rPr>
        <w:rFonts w:ascii="Arial" w:hAnsi="Arial" w:cs="Arial"/>
        <w:sz w:val="16"/>
      </w:rPr>
    </w:pPr>
    <w:r>
      <w:rPr>
        <w:rFonts w:ascii="Arial" w:hAnsi="Arial" w:cs="Arial"/>
        <w:sz w:val="16"/>
      </w:rPr>
      <w:t xml:space="preserve">- </w:t>
    </w:r>
    <w:r w:rsidR="009D6490">
      <w:rPr>
        <w:rFonts w:ascii="Arial" w:hAnsi="Arial" w:cs="Arial"/>
        <w:sz w:val="16"/>
      </w:rPr>
      <w:fldChar w:fldCharType="begin"/>
    </w:r>
    <w:r>
      <w:rPr>
        <w:rFonts w:ascii="Arial" w:hAnsi="Arial" w:cs="Arial"/>
        <w:sz w:val="16"/>
      </w:rPr>
      <w:instrText xml:space="preserve"> PAGE </w:instrText>
    </w:r>
    <w:r w:rsidR="009D6490">
      <w:rPr>
        <w:rFonts w:ascii="Arial" w:hAnsi="Arial" w:cs="Arial"/>
        <w:sz w:val="16"/>
      </w:rPr>
      <w:fldChar w:fldCharType="separate"/>
    </w:r>
    <w:r w:rsidR="00D13BA1">
      <w:rPr>
        <w:rFonts w:ascii="Arial" w:hAnsi="Arial" w:cs="Arial"/>
        <w:noProof/>
        <w:sz w:val="16"/>
      </w:rPr>
      <w:t>262</w:t>
    </w:r>
    <w:r w:rsidR="009D6490">
      <w:rPr>
        <w:rFonts w:ascii="Arial" w:hAnsi="Arial" w:cs="Arial"/>
        <w:sz w:val="16"/>
      </w:rPr>
      <w:fldChar w:fldCharType="end"/>
    </w:r>
    <w:r>
      <w:rPr>
        <w:rFonts w:ascii="Arial" w:hAnsi="Arial" w:cs="Arial"/>
        <w:sz w:val="16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79CC" w:rsidRDefault="00F379CC">
      <w:r>
        <w:separator/>
      </w:r>
    </w:p>
  </w:footnote>
  <w:footnote w:type="continuationSeparator" w:id="0">
    <w:p w:rsidR="00F379CC" w:rsidRDefault="00F379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10F" w:rsidRPr="005004E2" w:rsidRDefault="00EB710F">
    <w:pPr>
      <w:pStyle w:val="Cabealho"/>
      <w:rPr>
        <w:rFonts w:ascii="Arial" w:hAnsi="Arial" w:cs="Arial"/>
        <w:caps w:val="0"/>
        <w:smallCaps/>
        <w:sz w:val="16"/>
        <w:szCs w:val="16"/>
        <w:lang w:val="pt-PT"/>
      </w:rPr>
    </w:pPr>
    <w:r w:rsidRPr="005004E2">
      <w:rPr>
        <w:rFonts w:ascii="Arial" w:hAnsi="Arial" w:cs="Arial"/>
        <w:caps w:val="0"/>
        <w:smallCaps/>
        <w:sz w:val="16"/>
        <w:szCs w:val="16"/>
        <w:lang w:val="pt-PT"/>
      </w:rPr>
      <w:t>Franganito: A Aprendizagem como Processo de Aquisição e Construção do Conhecimento e a Capacidade de Absorção da Organização com Base nas Novas Tecnologias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10F" w:rsidRPr="005004E2" w:rsidRDefault="00EB710F">
    <w:pPr>
      <w:pStyle w:val="Cabealho"/>
      <w:jc w:val="right"/>
      <w:rPr>
        <w:rFonts w:ascii="Arial" w:hAnsi="Arial" w:cs="Arial"/>
        <w:caps w:val="0"/>
        <w:smallCaps/>
        <w:sz w:val="16"/>
        <w:lang w:val="pt-PT"/>
      </w:rPr>
    </w:pPr>
    <w:r>
      <w:rPr>
        <w:rFonts w:ascii="Arial" w:hAnsi="Arial" w:cs="Arial"/>
        <w:caps w:val="0"/>
        <w:smallCaps/>
        <w:sz w:val="16"/>
        <w:lang w:val="pt-PT"/>
      </w:rPr>
      <w:t>Livro de Actas / Anales IASK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2E085744"/>
    <w:lvl w:ilvl="0">
      <w:start w:val="1"/>
      <w:numFmt w:val="upperRoman"/>
      <w:lvlText w:val="%1."/>
      <w:legacy w:legacy="1" w:legacySpace="144" w:legacyIndent="144"/>
      <w:lvlJc w:val="left"/>
      <w:rPr>
        <w:rFonts w:cs="Times New Roman"/>
      </w:rPr>
    </w:lvl>
    <w:lvl w:ilvl="1">
      <w:start w:val="1"/>
      <w:numFmt w:val="upperLetter"/>
      <w:lvlText w:val="%2."/>
      <w:legacy w:legacy="1" w:legacySpace="144" w:legacyIndent="144"/>
      <w:lvlJc w:val="left"/>
      <w:rPr>
        <w:rFonts w:cs="Times New Roman"/>
      </w:rPr>
    </w:lvl>
    <w:lvl w:ilvl="2">
      <w:start w:val="1"/>
      <w:numFmt w:val="decimal"/>
      <w:lvlText w:val="%3)"/>
      <w:legacy w:legacy="1" w:legacySpace="144" w:legacyIndent="144"/>
      <w:lvlJc w:val="left"/>
      <w:rPr>
        <w:rFonts w:cs="Times New Roman"/>
      </w:rPr>
    </w:lvl>
    <w:lvl w:ilvl="3">
      <w:start w:val="1"/>
      <w:numFmt w:val="lowerLetter"/>
      <w:lvlText w:val="%4)"/>
      <w:legacy w:legacy="1" w:legacySpace="0" w:legacyIndent="720"/>
      <w:lvlJc w:val="left"/>
      <w:pPr>
        <w:ind w:left="1152" w:hanging="720"/>
      </w:pPr>
      <w:rPr>
        <w:rFonts w:cs="Times New Roman"/>
      </w:rPr>
    </w:lvl>
    <w:lvl w:ilvl="4">
      <w:start w:val="1"/>
      <w:numFmt w:val="decimal"/>
      <w:lvlText w:val="(%5)"/>
      <w:legacy w:legacy="1" w:legacySpace="0" w:legacyIndent="720"/>
      <w:lvlJc w:val="left"/>
      <w:pPr>
        <w:ind w:left="1872" w:hanging="720"/>
      </w:pPr>
      <w:rPr>
        <w:rFonts w:cs="Times New Roman"/>
      </w:rPr>
    </w:lvl>
    <w:lvl w:ilvl="5">
      <w:start w:val="1"/>
      <w:numFmt w:val="lowerLetter"/>
      <w:lvlText w:val="(%6)"/>
      <w:legacy w:legacy="1" w:legacySpace="0" w:legacyIndent="720"/>
      <w:lvlJc w:val="left"/>
      <w:pPr>
        <w:ind w:left="2592" w:hanging="720"/>
      </w:pPr>
      <w:rPr>
        <w:rFonts w:cs="Times New Roman"/>
      </w:rPr>
    </w:lvl>
    <w:lvl w:ilvl="6">
      <w:start w:val="1"/>
      <w:numFmt w:val="lowerRoman"/>
      <w:lvlText w:val="(%7)"/>
      <w:legacy w:legacy="1" w:legacySpace="0" w:legacyIndent="720"/>
      <w:lvlJc w:val="left"/>
      <w:pPr>
        <w:ind w:left="3312" w:hanging="720"/>
      </w:pPr>
      <w:rPr>
        <w:rFonts w:cs="Times New Roman"/>
      </w:rPr>
    </w:lvl>
    <w:lvl w:ilvl="7">
      <w:start w:val="1"/>
      <w:numFmt w:val="lowerLetter"/>
      <w:lvlText w:val="(%8)"/>
      <w:legacy w:legacy="1" w:legacySpace="0" w:legacyIndent="720"/>
      <w:lvlJc w:val="left"/>
      <w:pPr>
        <w:ind w:left="4032" w:hanging="720"/>
      </w:pPr>
      <w:rPr>
        <w:rFonts w:cs="Times New Roman"/>
      </w:rPr>
    </w:lvl>
    <w:lvl w:ilvl="8">
      <w:start w:val="1"/>
      <w:numFmt w:val="lowerRoman"/>
      <w:lvlText w:val="(%9)"/>
      <w:legacy w:legacy="1" w:legacySpace="0" w:legacyIndent="720"/>
      <w:lvlJc w:val="left"/>
      <w:pPr>
        <w:ind w:left="4752" w:hanging="720"/>
      </w:pPr>
      <w:rPr>
        <w:rFonts w:cs="Times New Roman"/>
      </w:r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>
    <w:nsid w:val="018D2F3B"/>
    <w:multiLevelType w:val="multilevel"/>
    <w:tmpl w:val="482ABFB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04"/>
        </w:tabs>
        <w:ind w:left="504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08"/>
        </w:tabs>
        <w:ind w:left="100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152"/>
        </w:tabs>
        <w:ind w:left="1152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296"/>
        </w:tabs>
        <w:ind w:left="1296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944"/>
        </w:tabs>
        <w:ind w:left="1944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448"/>
        </w:tabs>
        <w:ind w:left="2448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2"/>
        </w:tabs>
        <w:ind w:left="2592" w:hanging="1440"/>
      </w:pPr>
      <w:rPr>
        <w:rFonts w:cs="Times New Roman" w:hint="default"/>
      </w:rPr>
    </w:lvl>
  </w:abstractNum>
  <w:abstractNum w:abstractNumId="3">
    <w:nsid w:val="041B2138"/>
    <w:multiLevelType w:val="multilevel"/>
    <w:tmpl w:val="2D24087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4">
    <w:nsid w:val="04DD431A"/>
    <w:multiLevelType w:val="hybridMultilevel"/>
    <w:tmpl w:val="7EBC94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80C6375"/>
    <w:multiLevelType w:val="hybridMultilevel"/>
    <w:tmpl w:val="0DFA94E2"/>
    <w:lvl w:ilvl="0" w:tplc="FD7AE74C">
      <w:start w:val="1"/>
      <w:numFmt w:val="bullet"/>
      <w:lvlText w:val="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  <w:sz w:val="16"/>
        <w:u w:val="none"/>
      </w:rPr>
    </w:lvl>
    <w:lvl w:ilvl="1" w:tplc="08160003">
      <w:start w:val="1"/>
      <w:numFmt w:val="bullet"/>
      <w:lvlText w:val="o"/>
      <w:lvlJc w:val="left"/>
      <w:pPr>
        <w:tabs>
          <w:tab w:val="num" w:pos="660"/>
        </w:tabs>
        <w:ind w:left="660" w:hanging="360"/>
      </w:pPr>
      <w:rPr>
        <w:rFonts w:ascii="Courier New" w:hAnsi="Courier New" w:hint="default"/>
      </w:rPr>
    </w:lvl>
    <w:lvl w:ilvl="2" w:tplc="08160005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tabs>
          <w:tab w:val="num" w:pos="2820"/>
        </w:tabs>
        <w:ind w:left="2820" w:hanging="360"/>
      </w:pPr>
      <w:rPr>
        <w:rFonts w:ascii="Courier New" w:hAnsi="Courier New" w:hint="default"/>
      </w:rPr>
    </w:lvl>
    <w:lvl w:ilvl="5" w:tplc="08160005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8" w:tplc="08160005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</w:abstractNum>
  <w:abstractNum w:abstractNumId="6">
    <w:nsid w:val="0DD84D33"/>
    <w:multiLevelType w:val="multilevel"/>
    <w:tmpl w:val="E7DC840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0E8543A3"/>
    <w:multiLevelType w:val="multilevel"/>
    <w:tmpl w:val="FC32BBB4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8">
    <w:nsid w:val="115E07A2"/>
    <w:multiLevelType w:val="hybridMultilevel"/>
    <w:tmpl w:val="08F2A6FE"/>
    <w:lvl w:ilvl="0" w:tplc="07848F94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902EA3C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6D4EB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578CE8B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7934263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DB2A5A3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5DA0521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7EC058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8556B41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9">
    <w:nsid w:val="136E0503"/>
    <w:multiLevelType w:val="singleLevel"/>
    <w:tmpl w:val="DBFAAC04"/>
    <w:lvl w:ilvl="0">
      <w:start w:val="1"/>
      <w:numFmt w:val="bullet"/>
      <w:lvlText w:val=""/>
      <w:lvlJc w:val="left"/>
      <w:pPr>
        <w:tabs>
          <w:tab w:val="num" w:pos="576"/>
        </w:tabs>
        <w:ind w:left="504" w:hanging="288"/>
      </w:pPr>
      <w:rPr>
        <w:rFonts w:ascii="Symbol" w:hAnsi="Symbol" w:hint="default"/>
        <w:b w:val="0"/>
        <w:i w:val="0"/>
        <w:sz w:val="18"/>
      </w:rPr>
    </w:lvl>
  </w:abstractNum>
  <w:abstractNum w:abstractNumId="10">
    <w:nsid w:val="154700A2"/>
    <w:multiLevelType w:val="singleLevel"/>
    <w:tmpl w:val="832E08D8"/>
    <w:lvl w:ilvl="0">
      <w:start w:val="1"/>
      <w:numFmt w:val="decimal"/>
      <w:lvlText w:val="%1)"/>
      <w:legacy w:legacy="1" w:legacySpace="0" w:legacyIndent="216"/>
      <w:lvlJc w:val="left"/>
      <w:pPr>
        <w:ind w:left="456" w:hanging="216"/>
      </w:pPr>
      <w:rPr>
        <w:rFonts w:cs="Times New Roman"/>
      </w:rPr>
    </w:lvl>
  </w:abstractNum>
  <w:abstractNum w:abstractNumId="11">
    <w:nsid w:val="1A783236"/>
    <w:multiLevelType w:val="singleLevel"/>
    <w:tmpl w:val="832E08D8"/>
    <w:lvl w:ilvl="0">
      <w:start w:val="1"/>
      <w:numFmt w:val="decimal"/>
      <w:lvlText w:val="%1)"/>
      <w:legacy w:legacy="1" w:legacySpace="0" w:legacyIndent="216"/>
      <w:lvlJc w:val="left"/>
      <w:pPr>
        <w:ind w:left="456" w:hanging="216"/>
      </w:pPr>
      <w:rPr>
        <w:rFonts w:cs="Times New Roman"/>
      </w:rPr>
    </w:lvl>
  </w:abstractNum>
  <w:abstractNum w:abstractNumId="12">
    <w:nsid w:val="1B0B1D66"/>
    <w:multiLevelType w:val="singleLevel"/>
    <w:tmpl w:val="0BEC9FB0"/>
    <w:lvl w:ilvl="0">
      <w:start w:val="1"/>
      <w:numFmt w:val="none"/>
      <w:lvlText w:val=""/>
      <w:legacy w:legacy="1" w:legacySpace="0" w:legacyIndent="0"/>
      <w:lvlJc w:val="left"/>
      <w:pPr>
        <w:ind w:left="288"/>
      </w:pPr>
      <w:rPr>
        <w:rFonts w:cs="Times New Roman"/>
      </w:rPr>
    </w:lvl>
  </w:abstractNum>
  <w:abstractNum w:abstractNumId="13">
    <w:nsid w:val="2517274C"/>
    <w:multiLevelType w:val="singleLevel"/>
    <w:tmpl w:val="040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2D234D8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2DAB3B96"/>
    <w:multiLevelType w:val="multilevel"/>
    <w:tmpl w:val="5C72E33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6">
    <w:nsid w:val="2F2E2B21"/>
    <w:multiLevelType w:val="singleLevel"/>
    <w:tmpl w:val="832E08D8"/>
    <w:lvl w:ilvl="0">
      <w:start w:val="1"/>
      <w:numFmt w:val="decimal"/>
      <w:lvlText w:val="%1)"/>
      <w:legacy w:legacy="1" w:legacySpace="0" w:legacyIndent="216"/>
      <w:lvlJc w:val="left"/>
      <w:pPr>
        <w:ind w:left="456" w:hanging="216"/>
      </w:pPr>
      <w:rPr>
        <w:rFonts w:cs="Times New Roman"/>
      </w:rPr>
    </w:lvl>
  </w:abstractNum>
  <w:abstractNum w:abstractNumId="17">
    <w:nsid w:val="2F8B23F8"/>
    <w:multiLevelType w:val="singleLevel"/>
    <w:tmpl w:val="12CEED98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rFonts w:cs="Times New Roman"/>
      </w:rPr>
    </w:lvl>
  </w:abstractNum>
  <w:abstractNum w:abstractNumId="18">
    <w:nsid w:val="32465C74"/>
    <w:multiLevelType w:val="singleLevel"/>
    <w:tmpl w:val="832E08D8"/>
    <w:lvl w:ilvl="0">
      <w:start w:val="1"/>
      <w:numFmt w:val="decimal"/>
      <w:lvlText w:val="%1)"/>
      <w:legacy w:legacy="1" w:legacySpace="0" w:legacyIndent="216"/>
      <w:lvlJc w:val="left"/>
      <w:pPr>
        <w:ind w:left="456" w:hanging="216"/>
      </w:pPr>
      <w:rPr>
        <w:rFonts w:cs="Times New Roman"/>
      </w:rPr>
    </w:lvl>
  </w:abstractNum>
  <w:abstractNum w:abstractNumId="19">
    <w:nsid w:val="34EC77D0"/>
    <w:multiLevelType w:val="hybridMultilevel"/>
    <w:tmpl w:val="1BD29BE2"/>
    <w:lvl w:ilvl="0" w:tplc="A6302E52">
      <w:start w:val="1"/>
      <w:numFmt w:val="decimal"/>
      <w:lvlText w:val="%1."/>
      <w:lvlJc w:val="left"/>
      <w:pPr>
        <w:ind w:left="840" w:hanging="360"/>
      </w:pPr>
      <w:rPr>
        <w:rFonts w:cs="Times New Roman" w:hint="default"/>
      </w:rPr>
    </w:lvl>
    <w:lvl w:ilvl="1" w:tplc="08160019">
      <w:start w:val="1"/>
      <w:numFmt w:val="lowerLetter"/>
      <w:lvlText w:val="%2."/>
      <w:lvlJc w:val="left"/>
      <w:pPr>
        <w:ind w:left="1560" w:hanging="360"/>
      </w:pPr>
      <w:rPr>
        <w:rFonts w:cs="Times New Roman"/>
      </w:rPr>
    </w:lvl>
    <w:lvl w:ilvl="2" w:tplc="0816001B">
      <w:start w:val="1"/>
      <w:numFmt w:val="lowerRoman"/>
      <w:lvlText w:val="%3."/>
      <w:lvlJc w:val="right"/>
      <w:pPr>
        <w:ind w:left="2280" w:hanging="180"/>
      </w:pPr>
      <w:rPr>
        <w:rFonts w:cs="Times New Roman"/>
      </w:rPr>
    </w:lvl>
    <w:lvl w:ilvl="3" w:tplc="0816000F">
      <w:start w:val="1"/>
      <w:numFmt w:val="decimal"/>
      <w:lvlText w:val="%4."/>
      <w:lvlJc w:val="left"/>
      <w:pPr>
        <w:ind w:left="3000" w:hanging="360"/>
      </w:pPr>
      <w:rPr>
        <w:rFonts w:cs="Times New Roman"/>
      </w:rPr>
    </w:lvl>
    <w:lvl w:ilvl="4" w:tplc="08160019">
      <w:start w:val="1"/>
      <w:numFmt w:val="lowerLetter"/>
      <w:lvlText w:val="%5."/>
      <w:lvlJc w:val="left"/>
      <w:pPr>
        <w:ind w:left="3720" w:hanging="360"/>
      </w:pPr>
      <w:rPr>
        <w:rFonts w:cs="Times New Roman"/>
      </w:rPr>
    </w:lvl>
    <w:lvl w:ilvl="5" w:tplc="0816001B">
      <w:start w:val="1"/>
      <w:numFmt w:val="lowerRoman"/>
      <w:lvlText w:val="%6."/>
      <w:lvlJc w:val="right"/>
      <w:pPr>
        <w:ind w:left="4440" w:hanging="180"/>
      </w:pPr>
      <w:rPr>
        <w:rFonts w:cs="Times New Roman"/>
      </w:rPr>
    </w:lvl>
    <w:lvl w:ilvl="6" w:tplc="0816000F">
      <w:start w:val="1"/>
      <w:numFmt w:val="decimal"/>
      <w:lvlText w:val="%7."/>
      <w:lvlJc w:val="left"/>
      <w:pPr>
        <w:ind w:left="5160" w:hanging="360"/>
      </w:pPr>
      <w:rPr>
        <w:rFonts w:cs="Times New Roman"/>
      </w:rPr>
    </w:lvl>
    <w:lvl w:ilvl="7" w:tplc="08160019">
      <w:start w:val="1"/>
      <w:numFmt w:val="lowerLetter"/>
      <w:lvlText w:val="%8."/>
      <w:lvlJc w:val="left"/>
      <w:pPr>
        <w:ind w:left="5880" w:hanging="360"/>
      </w:pPr>
      <w:rPr>
        <w:rFonts w:cs="Times New Roman"/>
      </w:rPr>
    </w:lvl>
    <w:lvl w:ilvl="8" w:tplc="0816001B">
      <w:start w:val="1"/>
      <w:numFmt w:val="lowerRoman"/>
      <w:lvlText w:val="%9."/>
      <w:lvlJc w:val="right"/>
      <w:pPr>
        <w:ind w:left="6600" w:hanging="180"/>
      </w:pPr>
      <w:rPr>
        <w:rFonts w:cs="Times New Roman"/>
      </w:rPr>
    </w:lvl>
  </w:abstractNum>
  <w:abstractNum w:abstractNumId="20">
    <w:nsid w:val="3A877D64"/>
    <w:multiLevelType w:val="singleLevel"/>
    <w:tmpl w:val="5DA6FC16"/>
    <w:lvl w:ilvl="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1">
    <w:nsid w:val="3AAC1CFC"/>
    <w:multiLevelType w:val="singleLevel"/>
    <w:tmpl w:val="3A8EC28E"/>
    <w:lvl w:ilvl="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>
    <w:nsid w:val="3DA75D3A"/>
    <w:multiLevelType w:val="multilevel"/>
    <w:tmpl w:val="79A06D0C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3">
    <w:nsid w:val="40164597"/>
    <w:multiLevelType w:val="hybridMultilevel"/>
    <w:tmpl w:val="0310DF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67D5D9E"/>
    <w:multiLevelType w:val="singleLevel"/>
    <w:tmpl w:val="832E08D8"/>
    <w:lvl w:ilvl="0">
      <w:start w:val="1"/>
      <w:numFmt w:val="decimal"/>
      <w:lvlText w:val="%1)"/>
      <w:legacy w:legacy="1" w:legacySpace="0" w:legacyIndent="216"/>
      <w:lvlJc w:val="left"/>
      <w:pPr>
        <w:ind w:left="456" w:hanging="216"/>
      </w:pPr>
      <w:rPr>
        <w:rFonts w:cs="Times New Roman"/>
      </w:rPr>
    </w:lvl>
  </w:abstractNum>
  <w:abstractNum w:abstractNumId="25">
    <w:nsid w:val="47332F9F"/>
    <w:multiLevelType w:val="singleLevel"/>
    <w:tmpl w:val="488EC81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rFonts w:cs="Times New Roman"/>
      </w:rPr>
    </w:lvl>
  </w:abstractNum>
  <w:abstractNum w:abstractNumId="26">
    <w:nsid w:val="4D0B59CF"/>
    <w:multiLevelType w:val="singleLevel"/>
    <w:tmpl w:val="4A4223A6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rFonts w:cs="Times New Roman"/>
      </w:rPr>
    </w:lvl>
  </w:abstractNum>
  <w:abstractNum w:abstractNumId="27">
    <w:nsid w:val="51002A46"/>
    <w:multiLevelType w:val="hybridMultilevel"/>
    <w:tmpl w:val="0FE2A990"/>
    <w:lvl w:ilvl="0" w:tplc="B2AAC3D4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6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6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6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6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21F2FC8"/>
    <w:multiLevelType w:val="hybridMultilevel"/>
    <w:tmpl w:val="A132861C"/>
    <w:lvl w:ilvl="0" w:tplc="04090001">
      <w:start w:val="1"/>
      <w:numFmt w:val="bullet"/>
      <w:lvlText w:val=""/>
      <w:lvlJc w:val="left"/>
      <w:pPr>
        <w:tabs>
          <w:tab w:val="num" w:pos="922"/>
        </w:tabs>
        <w:ind w:left="92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642"/>
        </w:tabs>
        <w:ind w:left="164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362"/>
        </w:tabs>
        <w:ind w:left="236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082"/>
        </w:tabs>
        <w:ind w:left="308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802"/>
        </w:tabs>
        <w:ind w:left="380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522"/>
        </w:tabs>
        <w:ind w:left="452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242"/>
        </w:tabs>
        <w:ind w:left="524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962"/>
        </w:tabs>
        <w:ind w:left="596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682"/>
        </w:tabs>
        <w:ind w:left="6682" w:hanging="360"/>
      </w:pPr>
      <w:rPr>
        <w:rFonts w:ascii="Wingdings" w:hAnsi="Wingdings" w:hint="default"/>
      </w:rPr>
    </w:lvl>
  </w:abstractNum>
  <w:abstractNum w:abstractNumId="29">
    <w:nsid w:val="52572653"/>
    <w:multiLevelType w:val="hybridMultilevel"/>
    <w:tmpl w:val="6D6AF5D0"/>
    <w:lvl w:ilvl="0" w:tplc="578A9B90">
      <w:start w:val="1"/>
      <w:numFmt w:val="decimal"/>
      <w:lvlText w:val="%1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8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6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6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6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6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4366CFE"/>
    <w:multiLevelType w:val="hybridMultilevel"/>
    <w:tmpl w:val="6D70D140"/>
    <w:lvl w:ilvl="0" w:tplc="8002528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  <w:rPr>
        <w:rFonts w:cs="Times New Roman"/>
      </w:rPr>
    </w:lvl>
  </w:abstractNum>
  <w:abstractNum w:abstractNumId="31">
    <w:nsid w:val="55630736"/>
    <w:multiLevelType w:val="singleLevel"/>
    <w:tmpl w:val="0BEC9FB0"/>
    <w:lvl w:ilvl="0">
      <w:start w:val="1"/>
      <w:numFmt w:val="none"/>
      <w:lvlText w:val=""/>
      <w:legacy w:legacy="1" w:legacySpace="0" w:legacyIndent="0"/>
      <w:lvlJc w:val="left"/>
      <w:pPr>
        <w:ind w:left="288"/>
      </w:pPr>
      <w:rPr>
        <w:rFonts w:cs="Times New Roman"/>
      </w:rPr>
    </w:lvl>
  </w:abstractNum>
  <w:abstractNum w:abstractNumId="32">
    <w:nsid w:val="5BD07A75"/>
    <w:multiLevelType w:val="multilevel"/>
    <w:tmpl w:val="3D70483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3">
    <w:nsid w:val="5CA0401C"/>
    <w:multiLevelType w:val="hybridMultilevel"/>
    <w:tmpl w:val="5F5CE252"/>
    <w:lvl w:ilvl="0" w:tplc="E30C0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1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CB72B28"/>
    <w:multiLevelType w:val="multilevel"/>
    <w:tmpl w:val="C706C7C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5">
    <w:nsid w:val="68FC4A9E"/>
    <w:multiLevelType w:val="multilevel"/>
    <w:tmpl w:val="B7DACE2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6">
    <w:nsid w:val="6B5739F9"/>
    <w:multiLevelType w:val="hybridMultilevel"/>
    <w:tmpl w:val="E51E5140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DC3293B"/>
    <w:multiLevelType w:val="singleLevel"/>
    <w:tmpl w:val="3A8EC28E"/>
    <w:lvl w:ilvl="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8">
    <w:nsid w:val="74441AFF"/>
    <w:multiLevelType w:val="singleLevel"/>
    <w:tmpl w:val="832E08D8"/>
    <w:lvl w:ilvl="0">
      <w:start w:val="1"/>
      <w:numFmt w:val="decimal"/>
      <w:lvlText w:val="%1)"/>
      <w:legacy w:legacy="1" w:legacySpace="0" w:legacyIndent="216"/>
      <w:lvlJc w:val="left"/>
      <w:pPr>
        <w:ind w:left="456" w:hanging="216"/>
      </w:pPr>
      <w:rPr>
        <w:rFonts w:cs="Times New Roman"/>
      </w:rPr>
    </w:lvl>
  </w:abstractNum>
  <w:abstractNum w:abstractNumId="39">
    <w:nsid w:val="77E315E9"/>
    <w:multiLevelType w:val="singleLevel"/>
    <w:tmpl w:val="0BEC9FB0"/>
    <w:lvl w:ilvl="0">
      <w:start w:val="1"/>
      <w:numFmt w:val="none"/>
      <w:lvlText w:val=""/>
      <w:legacy w:legacy="1" w:legacySpace="0" w:legacyIndent="0"/>
      <w:lvlJc w:val="left"/>
      <w:pPr>
        <w:ind w:left="288"/>
      </w:pPr>
      <w:rPr>
        <w:rFonts w:cs="Times New Roman"/>
      </w:rPr>
    </w:lvl>
  </w:abstractNum>
  <w:abstractNum w:abstractNumId="40">
    <w:nsid w:val="7A2D5804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1">
    <w:nsid w:val="7B3D3052"/>
    <w:multiLevelType w:val="hybridMultilevel"/>
    <w:tmpl w:val="0DFA94E2"/>
    <w:lvl w:ilvl="0" w:tplc="E8C0C082">
      <w:start w:val="1"/>
      <w:numFmt w:val="bullet"/>
      <w:lvlText w:val="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  <w:sz w:val="24"/>
        <w:u w:val="none"/>
      </w:rPr>
    </w:lvl>
    <w:lvl w:ilvl="1" w:tplc="08160003">
      <w:start w:val="1"/>
      <w:numFmt w:val="bullet"/>
      <w:lvlText w:val="o"/>
      <w:lvlJc w:val="left"/>
      <w:pPr>
        <w:tabs>
          <w:tab w:val="num" w:pos="660"/>
        </w:tabs>
        <w:ind w:left="660" w:hanging="360"/>
      </w:pPr>
      <w:rPr>
        <w:rFonts w:ascii="Courier New" w:hAnsi="Courier New" w:hint="default"/>
      </w:rPr>
    </w:lvl>
    <w:lvl w:ilvl="2" w:tplc="08160005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tabs>
          <w:tab w:val="num" w:pos="2820"/>
        </w:tabs>
        <w:ind w:left="2820" w:hanging="360"/>
      </w:pPr>
      <w:rPr>
        <w:rFonts w:ascii="Courier New" w:hAnsi="Courier New" w:hint="default"/>
      </w:rPr>
    </w:lvl>
    <w:lvl w:ilvl="5" w:tplc="08160005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8" w:tplc="08160005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</w:abstractNum>
  <w:abstractNum w:abstractNumId="42">
    <w:nsid w:val="7E9A1C2A"/>
    <w:multiLevelType w:val="multilevel"/>
    <w:tmpl w:val="621EA91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29"/>
  </w:num>
  <w:num w:numId="2">
    <w:abstractNumId w:val="1"/>
    <w:lvlOverride w:ilvl="0">
      <w:lvl w:ilvl="0">
        <w:start w:val="1"/>
        <w:numFmt w:val="bullet"/>
        <w:lvlText w:val=""/>
        <w:legacy w:legacy="1" w:legacySpace="0" w:legacyIndent="160"/>
        <w:lvlJc w:val="left"/>
        <w:pPr>
          <w:ind w:left="160" w:hanging="160"/>
        </w:pPr>
        <w:rPr>
          <w:rFonts w:ascii="Symbol" w:hAnsi="Symbol" w:hint="default"/>
        </w:rPr>
      </w:lvl>
    </w:lvlOverride>
  </w:num>
  <w:num w:numId="3">
    <w:abstractNumId w:val="41"/>
  </w:num>
  <w:num w:numId="4">
    <w:abstractNumId w:val="5"/>
  </w:num>
  <w:num w:numId="5">
    <w:abstractNumId w:val="1"/>
    <w:lvlOverride w:ilvl="0">
      <w:lvl w:ilvl="0">
        <w:start w:val="1"/>
        <w:numFmt w:val="bullet"/>
        <w:lvlText w:val=""/>
        <w:legacy w:legacy="1" w:legacySpace="0" w:legacyIndent="216"/>
        <w:lvlJc w:val="left"/>
        <w:pPr>
          <w:ind w:left="456" w:hanging="216"/>
        </w:pPr>
        <w:rPr>
          <w:rFonts w:ascii="Courier New" w:hAnsi="Courier New" w:hint="default"/>
        </w:rPr>
      </w:lvl>
    </w:lvlOverride>
  </w:num>
  <w:num w:numId="6">
    <w:abstractNumId w:val="16"/>
  </w:num>
  <w:num w:numId="7">
    <w:abstractNumId w:val="24"/>
  </w:num>
  <w:num w:numId="8">
    <w:abstractNumId w:val="38"/>
  </w:num>
  <w:num w:numId="9">
    <w:abstractNumId w:val="11"/>
  </w:num>
  <w:num w:numId="10">
    <w:abstractNumId w:val="18"/>
  </w:num>
  <w:num w:numId="11">
    <w:abstractNumId w:val="10"/>
  </w:num>
  <w:num w:numId="12">
    <w:abstractNumId w:val="9"/>
  </w:num>
  <w:num w:numId="13">
    <w:abstractNumId w:val="0"/>
  </w:num>
  <w:num w:numId="14">
    <w:abstractNumId w:val="17"/>
  </w:num>
  <w:num w:numId="15">
    <w:abstractNumId w:val="17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16">
    <w:abstractNumId w:val="25"/>
  </w:num>
  <w:num w:numId="17">
    <w:abstractNumId w:val="25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18">
    <w:abstractNumId w:val="20"/>
  </w:num>
  <w:num w:numId="19">
    <w:abstractNumId w:val="12"/>
  </w:num>
  <w:num w:numId="20">
    <w:abstractNumId w:val="31"/>
  </w:num>
  <w:num w:numId="21">
    <w:abstractNumId w:val="26"/>
  </w:num>
  <w:num w:numId="22">
    <w:abstractNumId w:val="39"/>
  </w:num>
  <w:num w:numId="23">
    <w:abstractNumId w:val="14"/>
  </w:num>
  <w:num w:numId="24">
    <w:abstractNumId w:val="13"/>
  </w:num>
  <w:num w:numId="25">
    <w:abstractNumId w:val="37"/>
  </w:num>
  <w:num w:numId="26">
    <w:abstractNumId w:val="21"/>
  </w:num>
  <w:num w:numId="27">
    <w:abstractNumId w:val="33"/>
  </w:num>
  <w:num w:numId="28">
    <w:abstractNumId w:val="4"/>
  </w:num>
  <w:num w:numId="29">
    <w:abstractNumId w:val="2"/>
  </w:num>
  <w:num w:numId="30">
    <w:abstractNumId w:val="6"/>
  </w:num>
  <w:num w:numId="31">
    <w:abstractNumId w:val="22"/>
  </w:num>
  <w:num w:numId="32">
    <w:abstractNumId w:val="40"/>
  </w:num>
  <w:num w:numId="33">
    <w:abstractNumId w:val="28"/>
  </w:num>
  <w:num w:numId="34">
    <w:abstractNumId w:val="23"/>
  </w:num>
  <w:num w:numId="35">
    <w:abstractNumId w:val="32"/>
  </w:num>
  <w:num w:numId="36">
    <w:abstractNumId w:val="34"/>
  </w:num>
  <w:num w:numId="37">
    <w:abstractNumId w:val="7"/>
  </w:num>
  <w:num w:numId="38">
    <w:abstractNumId w:val="8"/>
  </w:num>
  <w:num w:numId="39">
    <w:abstractNumId w:val="15"/>
  </w:num>
  <w:num w:numId="40">
    <w:abstractNumId w:val="35"/>
  </w:num>
  <w:num w:numId="41">
    <w:abstractNumId w:val="30"/>
  </w:num>
  <w:num w:numId="42">
    <w:abstractNumId w:val="3"/>
  </w:num>
  <w:num w:numId="43">
    <w:abstractNumId w:val="42"/>
  </w:num>
  <w:num w:numId="44">
    <w:abstractNumId w:val="27"/>
  </w:num>
  <w:num w:numId="45">
    <w:abstractNumId w:val="19"/>
  </w:num>
  <w:num w:numId="46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stylePaneFormatFilter w:val="3F01"/>
  <w:defaultTabStop w:val="708"/>
  <w:hyphenationZone w:val="425"/>
  <w:doNotHyphenateCaps/>
  <w:evenAndOddHeader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B0504"/>
    <w:rsid w:val="000841AA"/>
    <w:rsid w:val="000942C6"/>
    <w:rsid w:val="000B2708"/>
    <w:rsid w:val="000D60A2"/>
    <w:rsid w:val="001335E9"/>
    <w:rsid w:val="00171E97"/>
    <w:rsid w:val="00196166"/>
    <w:rsid w:val="001D3450"/>
    <w:rsid w:val="001D6B97"/>
    <w:rsid w:val="001F7869"/>
    <w:rsid w:val="00207CDC"/>
    <w:rsid w:val="00223E3F"/>
    <w:rsid w:val="002340AA"/>
    <w:rsid w:val="00255E46"/>
    <w:rsid w:val="002819A2"/>
    <w:rsid w:val="002A2B97"/>
    <w:rsid w:val="002A4799"/>
    <w:rsid w:val="002E3032"/>
    <w:rsid w:val="002E3EF2"/>
    <w:rsid w:val="003101D5"/>
    <w:rsid w:val="00340CEE"/>
    <w:rsid w:val="0034165A"/>
    <w:rsid w:val="003773FF"/>
    <w:rsid w:val="003B616E"/>
    <w:rsid w:val="003C1368"/>
    <w:rsid w:val="003C2B9A"/>
    <w:rsid w:val="003C56C9"/>
    <w:rsid w:val="003D7F84"/>
    <w:rsid w:val="003E63D6"/>
    <w:rsid w:val="003E6BAE"/>
    <w:rsid w:val="003F4694"/>
    <w:rsid w:val="004500B3"/>
    <w:rsid w:val="004523BD"/>
    <w:rsid w:val="00454542"/>
    <w:rsid w:val="00480C23"/>
    <w:rsid w:val="00486C23"/>
    <w:rsid w:val="00494FE4"/>
    <w:rsid w:val="004B7AE7"/>
    <w:rsid w:val="004D4614"/>
    <w:rsid w:val="005004E2"/>
    <w:rsid w:val="005056BA"/>
    <w:rsid w:val="00514F3C"/>
    <w:rsid w:val="00520862"/>
    <w:rsid w:val="00545163"/>
    <w:rsid w:val="005500AB"/>
    <w:rsid w:val="00561823"/>
    <w:rsid w:val="00562A02"/>
    <w:rsid w:val="005B4F44"/>
    <w:rsid w:val="005C0AED"/>
    <w:rsid w:val="005C34EB"/>
    <w:rsid w:val="0061168D"/>
    <w:rsid w:val="006200A8"/>
    <w:rsid w:val="00630D7F"/>
    <w:rsid w:val="00655D04"/>
    <w:rsid w:val="00661CDF"/>
    <w:rsid w:val="00676613"/>
    <w:rsid w:val="006845B7"/>
    <w:rsid w:val="0069158A"/>
    <w:rsid w:val="006F3B1B"/>
    <w:rsid w:val="00716A5A"/>
    <w:rsid w:val="00721C10"/>
    <w:rsid w:val="00731B0C"/>
    <w:rsid w:val="00744EA8"/>
    <w:rsid w:val="00753DC5"/>
    <w:rsid w:val="00766C06"/>
    <w:rsid w:val="007865D6"/>
    <w:rsid w:val="007C5ECE"/>
    <w:rsid w:val="007C7BD9"/>
    <w:rsid w:val="007D13B4"/>
    <w:rsid w:val="007F00F0"/>
    <w:rsid w:val="007F5935"/>
    <w:rsid w:val="007F5E8E"/>
    <w:rsid w:val="00802178"/>
    <w:rsid w:val="008108B6"/>
    <w:rsid w:val="00816103"/>
    <w:rsid w:val="00816893"/>
    <w:rsid w:val="008577A0"/>
    <w:rsid w:val="00857FCB"/>
    <w:rsid w:val="00880C19"/>
    <w:rsid w:val="00880C8C"/>
    <w:rsid w:val="008C1BB3"/>
    <w:rsid w:val="008C217D"/>
    <w:rsid w:val="0090585B"/>
    <w:rsid w:val="0091074B"/>
    <w:rsid w:val="0092424F"/>
    <w:rsid w:val="00946276"/>
    <w:rsid w:val="009473FA"/>
    <w:rsid w:val="00990141"/>
    <w:rsid w:val="009A33E0"/>
    <w:rsid w:val="009B0504"/>
    <w:rsid w:val="009C1E0C"/>
    <w:rsid w:val="009D6490"/>
    <w:rsid w:val="009F4097"/>
    <w:rsid w:val="00A01737"/>
    <w:rsid w:val="00A4116F"/>
    <w:rsid w:val="00A439C7"/>
    <w:rsid w:val="00A47056"/>
    <w:rsid w:val="00A56C6D"/>
    <w:rsid w:val="00A57D90"/>
    <w:rsid w:val="00A74258"/>
    <w:rsid w:val="00A76950"/>
    <w:rsid w:val="00A91A9F"/>
    <w:rsid w:val="00AA5212"/>
    <w:rsid w:val="00AB0CE0"/>
    <w:rsid w:val="00AB4FD8"/>
    <w:rsid w:val="00AC0260"/>
    <w:rsid w:val="00AD77A2"/>
    <w:rsid w:val="00AF6DF0"/>
    <w:rsid w:val="00AF7676"/>
    <w:rsid w:val="00B17EF3"/>
    <w:rsid w:val="00B333A8"/>
    <w:rsid w:val="00B624FE"/>
    <w:rsid w:val="00B80889"/>
    <w:rsid w:val="00B85807"/>
    <w:rsid w:val="00B97B80"/>
    <w:rsid w:val="00BA5835"/>
    <w:rsid w:val="00BC2E55"/>
    <w:rsid w:val="00BC7C33"/>
    <w:rsid w:val="00BD4796"/>
    <w:rsid w:val="00BD5FB4"/>
    <w:rsid w:val="00BF397E"/>
    <w:rsid w:val="00C136FE"/>
    <w:rsid w:val="00C25C48"/>
    <w:rsid w:val="00C4128E"/>
    <w:rsid w:val="00C478AA"/>
    <w:rsid w:val="00C50114"/>
    <w:rsid w:val="00C75E42"/>
    <w:rsid w:val="00C94EC3"/>
    <w:rsid w:val="00CB0ACD"/>
    <w:rsid w:val="00CE68C5"/>
    <w:rsid w:val="00CF16B7"/>
    <w:rsid w:val="00D06BA0"/>
    <w:rsid w:val="00D13BA1"/>
    <w:rsid w:val="00D31E9A"/>
    <w:rsid w:val="00D329E8"/>
    <w:rsid w:val="00D40D20"/>
    <w:rsid w:val="00D474DC"/>
    <w:rsid w:val="00D9109B"/>
    <w:rsid w:val="00D91524"/>
    <w:rsid w:val="00DB0C24"/>
    <w:rsid w:val="00DC6399"/>
    <w:rsid w:val="00DE4E9A"/>
    <w:rsid w:val="00DF1AF8"/>
    <w:rsid w:val="00E07A24"/>
    <w:rsid w:val="00E111A8"/>
    <w:rsid w:val="00E24E63"/>
    <w:rsid w:val="00E339B4"/>
    <w:rsid w:val="00E52079"/>
    <w:rsid w:val="00E568AB"/>
    <w:rsid w:val="00E63477"/>
    <w:rsid w:val="00E64355"/>
    <w:rsid w:val="00E64EB1"/>
    <w:rsid w:val="00E70799"/>
    <w:rsid w:val="00EB710F"/>
    <w:rsid w:val="00F058EE"/>
    <w:rsid w:val="00F11AEC"/>
    <w:rsid w:val="00F27490"/>
    <w:rsid w:val="00F33A3D"/>
    <w:rsid w:val="00F33E51"/>
    <w:rsid w:val="00F379CC"/>
    <w:rsid w:val="00F57E2A"/>
    <w:rsid w:val="00F93900"/>
    <w:rsid w:val="00FC0CDB"/>
    <w:rsid w:val="00FD2289"/>
    <w:rsid w:val="00FD560B"/>
    <w:rsid w:val="00FE53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47056"/>
    <w:rPr>
      <w:sz w:val="24"/>
      <w:szCs w:val="24"/>
    </w:rPr>
  </w:style>
  <w:style w:type="paragraph" w:styleId="Ttulo1">
    <w:name w:val="heading 1"/>
    <w:basedOn w:val="PARAGRAPH"/>
    <w:next w:val="PARAGRAPHnoindent"/>
    <w:qFormat/>
    <w:rsid w:val="00A47056"/>
    <w:pPr>
      <w:keepNext/>
      <w:suppressAutoHyphens/>
      <w:spacing w:before="320" w:after="80" w:line="260" w:lineRule="exact"/>
      <w:ind w:left="320" w:hanging="320"/>
      <w:jc w:val="left"/>
      <w:outlineLvl w:val="0"/>
    </w:pPr>
    <w:rPr>
      <w:rFonts w:ascii="Helvetica" w:hAnsi="Helvetica"/>
      <w:b/>
      <w:smallCaps/>
      <w:sz w:val="23"/>
    </w:rPr>
  </w:style>
  <w:style w:type="paragraph" w:styleId="Ttulo2">
    <w:name w:val="heading 2"/>
    <w:basedOn w:val="Ttulo1"/>
    <w:next w:val="PARAGRAPHnoindent"/>
    <w:qFormat/>
    <w:rsid w:val="00A47056"/>
    <w:pPr>
      <w:spacing w:before="160" w:after="40" w:line="220" w:lineRule="exact"/>
      <w:ind w:left="360" w:hanging="360"/>
      <w:outlineLvl w:val="1"/>
    </w:pPr>
    <w:rPr>
      <w:smallCaps w:val="0"/>
      <w:sz w:val="20"/>
    </w:rPr>
  </w:style>
  <w:style w:type="paragraph" w:styleId="Ttulo3">
    <w:name w:val="heading 3"/>
    <w:basedOn w:val="Normal"/>
    <w:next w:val="Normal"/>
    <w:qFormat/>
    <w:rsid w:val="00A47056"/>
    <w:pPr>
      <w:keepNext/>
      <w:tabs>
        <w:tab w:val="left" w:pos="180"/>
      </w:tabs>
      <w:jc w:val="both"/>
      <w:outlineLvl w:val="2"/>
    </w:pPr>
    <w:rPr>
      <w:b/>
      <w:bCs/>
      <w:color w:val="000000"/>
      <w:lang w:val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A47056"/>
    <w:pPr>
      <w:widowControl w:val="0"/>
      <w:spacing w:line="230" w:lineRule="exact"/>
      <w:ind w:firstLine="240"/>
      <w:jc w:val="both"/>
    </w:pPr>
    <w:rPr>
      <w:rFonts w:ascii="Palatino" w:hAnsi="Palatino"/>
      <w:kern w:val="16"/>
      <w:sz w:val="19"/>
      <w:szCs w:val="20"/>
      <w:lang w:val="en-US" w:eastAsia="en-US"/>
    </w:rPr>
  </w:style>
  <w:style w:type="paragraph" w:customStyle="1" w:styleId="PARAGRAPHnoindent">
    <w:name w:val="PARAGRAPH (no indent)"/>
    <w:basedOn w:val="PARAGRAPH"/>
    <w:next w:val="PARAGRAPH"/>
    <w:rsid w:val="00A47056"/>
    <w:pPr>
      <w:ind w:firstLine="0"/>
    </w:pPr>
  </w:style>
  <w:style w:type="paragraph" w:customStyle="1" w:styleId="ARTICLETITLE">
    <w:name w:val="ARTICLE TITLE"/>
    <w:basedOn w:val="Normal"/>
    <w:rsid w:val="00A47056"/>
    <w:pPr>
      <w:widowControl w:val="0"/>
      <w:suppressAutoHyphens/>
      <w:spacing w:after="160" w:line="560" w:lineRule="exact"/>
      <w:jc w:val="center"/>
    </w:pPr>
    <w:rPr>
      <w:rFonts w:ascii="Helvetica" w:hAnsi="Helvetica"/>
      <w:spacing w:val="6"/>
      <w:kern w:val="16"/>
      <w:sz w:val="48"/>
      <w:szCs w:val="20"/>
      <w:lang w:val="en-US" w:eastAsia="en-US"/>
    </w:rPr>
  </w:style>
  <w:style w:type="paragraph" w:customStyle="1" w:styleId="AUTHOR">
    <w:name w:val="AUTHOR"/>
    <w:basedOn w:val="ARTICLETITLE"/>
    <w:next w:val="Normal"/>
    <w:rsid w:val="00A47056"/>
    <w:pPr>
      <w:spacing w:after="480" w:line="280" w:lineRule="exact"/>
    </w:pPr>
    <w:rPr>
      <w:spacing w:val="5"/>
      <w:sz w:val="22"/>
    </w:rPr>
  </w:style>
  <w:style w:type="paragraph" w:customStyle="1" w:styleId="ABSTRACT">
    <w:name w:val="ABSTRACT"/>
    <w:basedOn w:val="Normal"/>
    <w:rsid w:val="00A47056"/>
    <w:pPr>
      <w:widowControl w:val="0"/>
      <w:suppressAutoHyphens/>
      <w:spacing w:after="240" w:line="210" w:lineRule="exact"/>
      <w:ind w:left="480" w:right="480"/>
    </w:pPr>
    <w:rPr>
      <w:rFonts w:ascii="Helvetica" w:hAnsi="Helvetica"/>
      <w:kern w:val="16"/>
      <w:sz w:val="16"/>
      <w:szCs w:val="20"/>
      <w:lang w:val="en-US" w:eastAsia="en-US"/>
    </w:rPr>
  </w:style>
  <w:style w:type="paragraph" w:customStyle="1" w:styleId="KEYWORD">
    <w:name w:val="KEY WORD"/>
    <w:basedOn w:val="ABSTRACT"/>
    <w:next w:val="Normal"/>
    <w:rsid w:val="00A47056"/>
    <w:pPr>
      <w:spacing w:after="0"/>
    </w:pPr>
  </w:style>
  <w:style w:type="paragraph" w:styleId="Cabealho">
    <w:name w:val="header"/>
    <w:basedOn w:val="Normal"/>
    <w:rsid w:val="00A47056"/>
    <w:pPr>
      <w:widowControl w:val="0"/>
      <w:tabs>
        <w:tab w:val="right" w:pos="10200"/>
      </w:tabs>
      <w:spacing w:line="220" w:lineRule="exact"/>
      <w:jc w:val="both"/>
    </w:pPr>
    <w:rPr>
      <w:rFonts w:ascii="Helvetica" w:hAnsi="Helvetica"/>
      <w:caps/>
      <w:kern w:val="16"/>
      <w:sz w:val="14"/>
      <w:szCs w:val="20"/>
      <w:lang w:val="en-US" w:eastAsia="en-US"/>
    </w:rPr>
  </w:style>
  <w:style w:type="character" w:customStyle="1" w:styleId="Url">
    <w:name w:val="Url"/>
    <w:basedOn w:val="Tipodeletrapredefinidodopargrafo"/>
    <w:rsid w:val="00A47056"/>
    <w:rPr>
      <w:rFonts w:ascii="Helvetica Condensed" w:hAnsi="Helvetica Condensed" w:cs="Times New Roman"/>
      <w:color w:val="008000"/>
      <w:sz w:val="18"/>
    </w:rPr>
  </w:style>
  <w:style w:type="paragraph" w:customStyle="1" w:styleId="Text">
    <w:name w:val="Text"/>
    <w:basedOn w:val="Normal"/>
    <w:rsid w:val="00A47056"/>
    <w:pPr>
      <w:widowControl w:val="0"/>
      <w:autoSpaceDE w:val="0"/>
      <w:autoSpaceDN w:val="0"/>
      <w:spacing w:line="252" w:lineRule="auto"/>
      <w:ind w:firstLine="202"/>
      <w:jc w:val="both"/>
    </w:pPr>
    <w:rPr>
      <w:sz w:val="20"/>
      <w:szCs w:val="20"/>
      <w:lang w:val="en-US" w:eastAsia="en-US"/>
    </w:rPr>
  </w:style>
  <w:style w:type="character" w:styleId="Hiperligao">
    <w:name w:val="Hyperlink"/>
    <w:basedOn w:val="Tipodeletrapredefinidodopargrafo"/>
    <w:rsid w:val="00A47056"/>
    <w:rPr>
      <w:rFonts w:ascii="Arial" w:hAnsi="Arial" w:cs="Arial"/>
      <w:color w:val="003399"/>
      <w:u w:val="single"/>
    </w:rPr>
  </w:style>
  <w:style w:type="character" w:styleId="Hiperligaovisitada">
    <w:name w:val="FollowedHyperlink"/>
    <w:basedOn w:val="Tipodeletrapredefinidodopargrafo"/>
    <w:rsid w:val="00A47056"/>
    <w:rPr>
      <w:rFonts w:cs="Times New Roman"/>
      <w:color w:val="800080"/>
      <w:u w:val="single"/>
    </w:rPr>
  </w:style>
  <w:style w:type="paragraph" w:styleId="Corpodetexto">
    <w:name w:val="Body Text"/>
    <w:basedOn w:val="Normal"/>
    <w:rsid w:val="00A47056"/>
    <w:pPr>
      <w:jc w:val="both"/>
    </w:pPr>
    <w:rPr>
      <w:color w:val="000000"/>
      <w:sz w:val="18"/>
      <w:lang w:val="en-GB"/>
    </w:rPr>
  </w:style>
  <w:style w:type="paragraph" w:customStyle="1" w:styleId="AUTHORAFFILIATION">
    <w:name w:val="AUTHOR AFFILIATION"/>
    <w:basedOn w:val="PARAGRAPHnoindent"/>
    <w:rsid w:val="00A47056"/>
    <w:pPr>
      <w:framePr w:w="5040" w:vSpace="200" w:wrap="auto" w:hAnchor="text" w:yAlign="bottom"/>
      <w:spacing w:line="180" w:lineRule="exact"/>
    </w:pPr>
    <w:rPr>
      <w:i/>
      <w:sz w:val="16"/>
    </w:rPr>
  </w:style>
  <w:style w:type="paragraph" w:customStyle="1" w:styleId="LISTTYPE2aNumber">
    <w:name w:val="LIST TYPE 2a (Number)"/>
    <w:basedOn w:val="LISTTYPE2Number"/>
    <w:next w:val="LISTTYPE2Number"/>
    <w:rsid w:val="00A47056"/>
    <w:pPr>
      <w:spacing w:before="80"/>
    </w:pPr>
  </w:style>
  <w:style w:type="paragraph" w:customStyle="1" w:styleId="LISTTYPE2Number">
    <w:name w:val="LIST TYPE 2 (Number)"/>
    <w:basedOn w:val="LISTTYPE1Bullet"/>
    <w:rsid w:val="00A47056"/>
  </w:style>
  <w:style w:type="paragraph" w:customStyle="1" w:styleId="LISTTYPE1Bullet">
    <w:name w:val="LIST TYPE 1 (Bullet)"/>
    <w:basedOn w:val="PARAGRAPH"/>
    <w:rsid w:val="00A47056"/>
    <w:pPr>
      <w:ind w:left="480" w:hanging="240"/>
    </w:pPr>
  </w:style>
  <w:style w:type="paragraph" w:customStyle="1" w:styleId="LISTTYPE1aBullet">
    <w:name w:val="LIST TYPE 1a (Bullet)"/>
    <w:basedOn w:val="LISTTYPE1Bullet"/>
    <w:next w:val="LISTTYPE1Bullet"/>
    <w:rsid w:val="00A47056"/>
    <w:pPr>
      <w:spacing w:before="80"/>
    </w:pPr>
  </w:style>
  <w:style w:type="paragraph" w:customStyle="1" w:styleId="LISTTYPE2zNumber">
    <w:name w:val="LIST TYPE 2z (Number)"/>
    <w:basedOn w:val="LISTTYPE2Number"/>
    <w:next w:val="PARAGRAPH"/>
    <w:rsid w:val="00A47056"/>
    <w:pPr>
      <w:spacing w:after="80"/>
    </w:pPr>
  </w:style>
  <w:style w:type="paragraph" w:customStyle="1" w:styleId="LISTTYPE1zBullet">
    <w:name w:val="LIST TYPE 1z (Bullet)"/>
    <w:basedOn w:val="LISTTYPE1Bullet"/>
    <w:next w:val="PARAGRAPH"/>
    <w:rsid w:val="00A47056"/>
    <w:pPr>
      <w:spacing w:after="80"/>
    </w:pPr>
  </w:style>
  <w:style w:type="paragraph" w:styleId="Rodap">
    <w:name w:val="footer"/>
    <w:basedOn w:val="Normal"/>
    <w:rsid w:val="00A47056"/>
    <w:pPr>
      <w:tabs>
        <w:tab w:val="center" w:pos="4252"/>
        <w:tab w:val="right" w:pos="8504"/>
      </w:tabs>
    </w:pPr>
  </w:style>
  <w:style w:type="character" w:customStyle="1" w:styleId="Figurereferenceto">
    <w:name w:val="Figure (reference to)"/>
    <w:rsid w:val="00A47056"/>
    <w:rPr>
      <w:color w:val="FF0000"/>
    </w:rPr>
  </w:style>
  <w:style w:type="paragraph" w:customStyle="1" w:styleId="Equation">
    <w:name w:val="Equation"/>
    <w:basedOn w:val="Normal"/>
    <w:next w:val="Normal"/>
    <w:rsid w:val="00A47056"/>
    <w:pPr>
      <w:widowControl w:val="0"/>
      <w:tabs>
        <w:tab w:val="right" w:pos="5040"/>
      </w:tabs>
      <w:autoSpaceDE w:val="0"/>
      <w:autoSpaceDN w:val="0"/>
      <w:spacing w:line="252" w:lineRule="auto"/>
      <w:jc w:val="both"/>
    </w:pPr>
    <w:rPr>
      <w:sz w:val="20"/>
      <w:szCs w:val="20"/>
      <w:lang w:val="en-US" w:eastAsia="en-US"/>
    </w:rPr>
  </w:style>
  <w:style w:type="paragraph" w:customStyle="1" w:styleId="ART">
    <w:name w:val="ART"/>
    <w:basedOn w:val="Normal"/>
    <w:next w:val="Normal"/>
    <w:rsid w:val="00A47056"/>
    <w:pPr>
      <w:keepNext/>
      <w:widowControl w:val="0"/>
      <w:spacing w:before="240" w:after="160" w:line="220" w:lineRule="atLeast"/>
      <w:jc w:val="center"/>
    </w:pPr>
    <w:rPr>
      <w:rFonts w:ascii="Palatino" w:hAnsi="Palatino"/>
      <w:kern w:val="16"/>
      <w:sz w:val="19"/>
      <w:szCs w:val="20"/>
      <w:lang w:val="en-US" w:eastAsia="en-US"/>
    </w:rPr>
  </w:style>
  <w:style w:type="paragraph" w:customStyle="1" w:styleId="FIGURECAPTION">
    <w:name w:val="FIGURE CAPTION"/>
    <w:basedOn w:val="PARAGRAPHnoindent"/>
    <w:rsid w:val="00A47056"/>
    <w:pPr>
      <w:spacing w:after="320" w:line="180" w:lineRule="exact"/>
    </w:pPr>
    <w:rPr>
      <w:rFonts w:ascii="Helvetica" w:hAnsi="Helvetica"/>
      <w:sz w:val="16"/>
    </w:rPr>
  </w:style>
  <w:style w:type="character" w:styleId="Refdenotaderodap">
    <w:name w:val="footnote reference"/>
    <w:basedOn w:val="Tipodeletrapredefinidodopargrafo"/>
    <w:semiHidden/>
    <w:rsid w:val="00A47056"/>
    <w:rPr>
      <w:position w:val="0"/>
      <w:vertAlign w:val="superscript"/>
    </w:rPr>
  </w:style>
  <w:style w:type="paragraph" w:customStyle="1" w:styleId="TABLETITLE">
    <w:name w:val="TABLE TITLE"/>
    <w:basedOn w:val="Normal"/>
    <w:next w:val="TABLECOLUMNHEADER"/>
    <w:rsid w:val="00A47056"/>
    <w:pPr>
      <w:keepNext/>
      <w:widowControl w:val="0"/>
      <w:spacing w:before="160" w:after="80" w:line="200" w:lineRule="exact"/>
      <w:jc w:val="center"/>
    </w:pPr>
    <w:rPr>
      <w:rFonts w:ascii="Helvetica" w:hAnsi="Helvetica"/>
      <w:smallCaps/>
      <w:kern w:val="16"/>
      <w:sz w:val="19"/>
      <w:szCs w:val="20"/>
      <w:lang w:val="en-US" w:eastAsia="en-US"/>
    </w:rPr>
  </w:style>
  <w:style w:type="paragraph" w:customStyle="1" w:styleId="TABLECOLUMNHEADER">
    <w:name w:val="TABLE COLUMN HEADER"/>
    <w:basedOn w:val="TABLEROW"/>
    <w:next w:val="TABLEROW"/>
    <w:rsid w:val="00A47056"/>
    <w:pPr>
      <w:spacing w:before="40" w:after="40"/>
    </w:pPr>
    <w:rPr>
      <w:sz w:val="18"/>
    </w:rPr>
  </w:style>
  <w:style w:type="paragraph" w:customStyle="1" w:styleId="TABLEROW">
    <w:name w:val="TABLE ROW"/>
    <w:basedOn w:val="Normal"/>
    <w:rsid w:val="00A47056"/>
    <w:pPr>
      <w:widowControl w:val="0"/>
      <w:spacing w:before="20" w:after="20" w:line="180" w:lineRule="exact"/>
      <w:jc w:val="center"/>
    </w:pPr>
    <w:rPr>
      <w:rFonts w:ascii="Helvetica" w:hAnsi="Helvetica"/>
      <w:kern w:val="16"/>
      <w:sz w:val="16"/>
      <w:szCs w:val="20"/>
      <w:lang w:val="en-US" w:eastAsia="en-US"/>
    </w:rPr>
  </w:style>
  <w:style w:type="paragraph" w:customStyle="1" w:styleId="TABLEFOOTNOTE">
    <w:name w:val="TABLE FOOTNOTE"/>
    <w:basedOn w:val="Normal"/>
    <w:rsid w:val="00A47056"/>
    <w:pPr>
      <w:widowControl w:val="0"/>
      <w:spacing w:line="230" w:lineRule="exact"/>
    </w:pPr>
    <w:rPr>
      <w:rFonts w:ascii="Palatino" w:hAnsi="Palatino"/>
      <w:i/>
      <w:kern w:val="16"/>
      <w:sz w:val="16"/>
      <w:szCs w:val="20"/>
      <w:lang w:val="en-US" w:eastAsia="en-US"/>
    </w:rPr>
  </w:style>
  <w:style w:type="paragraph" w:customStyle="1" w:styleId="ReferenceHead">
    <w:name w:val="Reference Head"/>
    <w:basedOn w:val="Ttulo1"/>
    <w:rsid w:val="00A47056"/>
    <w:pPr>
      <w:widowControl/>
      <w:suppressAutoHyphens w:val="0"/>
      <w:autoSpaceDE w:val="0"/>
      <w:autoSpaceDN w:val="0"/>
      <w:spacing w:before="240" w:line="240" w:lineRule="auto"/>
      <w:ind w:left="0" w:firstLine="0"/>
      <w:jc w:val="center"/>
    </w:pPr>
    <w:rPr>
      <w:rFonts w:ascii="Times New Roman" w:hAnsi="Times New Roman"/>
      <w:b w:val="0"/>
      <w:kern w:val="28"/>
      <w:sz w:val="20"/>
    </w:rPr>
  </w:style>
  <w:style w:type="paragraph" w:customStyle="1" w:styleId="References">
    <w:name w:val="References"/>
    <w:basedOn w:val="Normal"/>
    <w:rsid w:val="00A47056"/>
    <w:pPr>
      <w:autoSpaceDE w:val="0"/>
      <w:autoSpaceDN w:val="0"/>
      <w:jc w:val="both"/>
    </w:pPr>
    <w:rPr>
      <w:sz w:val="16"/>
      <w:szCs w:val="16"/>
      <w:lang w:val="en-US" w:eastAsia="en-US"/>
    </w:rPr>
  </w:style>
  <w:style w:type="paragraph" w:customStyle="1" w:styleId="FigureCaption0">
    <w:name w:val="Figure Caption"/>
    <w:basedOn w:val="Normal"/>
    <w:rsid w:val="00A47056"/>
    <w:pPr>
      <w:autoSpaceDE w:val="0"/>
      <w:autoSpaceDN w:val="0"/>
      <w:jc w:val="both"/>
    </w:pPr>
    <w:rPr>
      <w:sz w:val="16"/>
      <w:szCs w:val="16"/>
      <w:lang w:val="en-US" w:eastAsia="en-US"/>
    </w:rPr>
  </w:style>
  <w:style w:type="paragraph" w:customStyle="1" w:styleId="VITA">
    <w:name w:val="VITA"/>
    <w:basedOn w:val="PARAGRAPHnoindent"/>
    <w:rsid w:val="00A47056"/>
    <w:pPr>
      <w:tabs>
        <w:tab w:val="left" w:pos="216"/>
      </w:tabs>
      <w:spacing w:line="180" w:lineRule="exact"/>
    </w:pPr>
    <w:rPr>
      <w:rFonts w:ascii="Helvetica" w:hAnsi="Helvetica"/>
      <w:sz w:val="16"/>
    </w:rPr>
  </w:style>
  <w:style w:type="paragraph" w:styleId="Textodenotaderodap">
    <w:name w:val="footnote text"/>
    <w:basedOn w:val="PARAGRAPHnoindent"/>
    <w:semiHidden/>
    <w:rsid w:val="00A47056"/>
    <w:pPr>
      <w:framePr w:w="5040" w:vSpace="200" w:wrap="notBeside" w:hAnchor="text" w:xAlign="center" w:yAlign="bottom"/>
      <w:spacing w:line="170" w:lineRule="exact"/>
      <w:ind w:firstLine="144"/>
    </w:pPr>
    <w:rPr>
      <w:sz w:val="15"/>
    </w:rPr>
  </w:style>
  <w:style w:type="paragraph" w:styleId="Textodebalo">
    <w:name w:val="Balloon Text"/>
    <w:basedOn w:val="Normal"/>
    <w:link w:val="TextodebaloCarcter"/>
    <w:semiHidden/>
    <w:rsid w:val="007F5E8E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locked/>
    <w:rsid w:val="007F5E8E"/>
    <w:rPr>
      <w:rFonts w:ascii="Tahoma" w:hAnsi="Tahoma" w:cs="Tahoma"/>
      <w:sz w:val="16"/>
      <w:szCs w:val="16"/>
    </w:rPr>
  </w:style>
  <w:style w:type="paragraph" w:customStyle="1" w:styleId="PargrafodaLista1">
    <w:name w:val="Parágrafo da Lista1"/>
    <w:basedOn w:val="Normal"/>
    <w:rsid w:val="00F27490"/>
    <w:pPr>
      <w:spacing w:line="480" w:lineRule="auto"/>
      <w:ind w:left="72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2422</Words>
  <Characters>13084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Template for IASK Conferences Proceedings</vt:lpstr>
    </vt:vector>
  </TitlesOfParts>
  <Company>ESTIG</Company>
  <LinksUpToDate>false</LinksUpToDate>
  <CharactersWithSpaces>15476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IASK Conferences Proceedings</dc:title>
  <dc:subject/>
  <dc:creator>IASK</dc:creator>
  <cp:keywords/>
  <dc:description/>
  <cp:lastModifiedBy>RUI</cp:lastModifiedBy>
  <cp:revision>5</cp:revision>
  <dcterms:created xsi:type="dcterms:W3CDTF">2007-11-13T19:31:00Z</dcterms:created>
  <dcterms:modified xsi:type="dcterms:W3CDTF">2010-04-07T21:23:00Z</dcterms:modified>
</cp:coreProperties>
</file>