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7.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8.xml" ContentType="application/vnd.openxmlformats-officedocument.drawingml.chart+xml"/>
  <Override PartName="/word/charts/style7.xml" ContentType="application/vnd.ms-office.chartstyle+xml"/>
  <Override PartName="/word/charts/colors7.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8E2A426" w14:textId="77777777" w:rsidR="006A6AAC" w:rsidRPr="00A57D22" w:rsidRDefault="006A6AAC" w:rsidP="006A6AAC">
      <w:pPr>
        <w:jc w:val="center"/>
        <w:rPr>
          <w:rFonts w:ascii="Bookman Old Style" w:hAnsi="Bookman Old Style"/>
        </w:rPr>
      </w:pPr>
      <w:bookmarkStart w:id="0" w:name="_Hlk57627670"/>
      <w:bookmarkEnd w:id="0"/>
      <w:r w:rsidRPr="00A57D22">
        <w:rPr>
          <w:rFonts w:ascii="Bookman Old Style" w:hAnsi="Bookman Old Style"/>
        </w:rPr>
        <w:t>INSTITUTO POLITÉCNICO DE LISBOA</w:t>
      </w:r>
    </w:p>
    <w:p w14:paraId="69C009FD" w14:textId="77777777" w:rsidR="006A6AAC" w:rsidRPr="00A57D22" w:rsidRDefault="006A6AAC" w:rsidP="006A6AAC">
      <w:pPr>
        <w:jc w:val="center"/>
        <w:rPr>
          <w:rFonts w:ascii="Bookman Old Style" w:hAnsi="Bookman Old Style"/>
        </w:rPr>
      </w:pPr>
      <w:r w:rsidRPr="00A57D22">
        <w:rPr>
          <w:rFonts w:ascii="Bookman Old Style" w:hAnsi="Bookman Old Style"/>
        </w:rPr>
        <w:t>INSTITUTO SUPERIOR DE CONTABILIDADE E ADMINISTRAÇÃO DE LISBOA</w:t>
      </w:r>
    </w:p>
    <w:p w14:paraId="074C13FE" w14:textId="77777777" w:rsidR="006A6AAC" w:rsidRDefault="006A6AAC" w:rsidP="006A6AAC">
      <w:r>
        <w:rPr>
          <w:noProof/>
          <w:lang w:eastAsia="pt-PT"/>
        </w:rPr>
        <w:drawing>
          <wp:anchor distT="0" distB="0" distL="114300" distR="114300" simplePos="0" relativeHeight="251658247" behindDoc="1" locked="0" layoutInCell="1" allowOverlap="1" wp14:anchorId="679B5357" wp14:editId="3DEBCAA5">
            <wp:simplePos x="0" y="0"/>
            <wp:positionH relativeFrom="column">
              <wp:posOffset>2005965</wp:posOffset>
            </wp:positionH>
            <wp:positionV relativeFrom="paragraph">
              <wp:posOffset>635</wp:posOffset>
            </wp:positionV>
            <wp:extent cx="1438275" cy="1562100"/>
            <wp:effectExtent l="0" t="0" r="9525" b="0"/>
            <wp:wrapTight wrapText="bothSides">
              <wp:wrapPolygon edited="0">
                <wp:start x="0" y="0"/>
                <wp:lineTo x="0" y="21337"/>
                <wp:lineTo x="21457" y="21337"/>
                <wp:lineTo x="21457" y="0"/>
                <wp:lineTo x="0" y="0"/>
              </wp:wrapPolygon>
            </wp:wrapTight>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38275" cy="1562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A7AC07" w14:textId="77777777" w:rsidR="006A6AAC" w:rsidRPr="00A57D22" w:rsidRDefault="006A6AAC" w:rsidP="006A6AAC"/>
    <w:p w14:paraId="177F373A" w14:textId="77777777" w:rsidR="006A6AAC" w:rsidRPr="00A57D22" w:rsidRDefault="006A6AAC" w:rsidP="006A6AAC"/>
    <w:p w14:paraId="067665C5" w14:textId="77777777" w:rsidR="006A6AAC" w:rsidRPr="00A57D22" w:rsidRDefault="006A6AAC" w:rsidP="006A6AAC"/>
    <w:p w14:paraId="072AE4CD" w14:textId="77777777" w:rsidR="006A6AAC" w:rsidRPr="00A57D22" w:rsidRDefault="006A6AAC" w:rsidP="006A6AAC"/>
    <w:p w14:paraId="139842B9" w14:textId="77777777" w:rsidR="006A6AAC" w:rsidRPr="00A57D22" w:rsidRDefault="006A6AAC" w:rsidP="006A6AAC"/>
    <w:p w14:paraId="53447A2A" w14:textId="77777777" w:rsidR="006A6AAC" w:rsidRDefault="006A6AAC" w:rsidP="006A6AAC"/>
    <w:p w14:paraId="050F77A0" w14:textId="77777777" w:rsidR="006A6AAC" w:rsidRDefault="006A6AAC" w:rsidP="006A6AAC"/>
    <w:p w14:paraId="3D6CEAD9" w14:textId="77777777" w:rsidR="006A6AAC" w:rsidRDefault="006A6AAC" w:rsidP="006A6AAC"/>
    <w:p w14:paraId="167A69BE" w14:textId="37E9B4F4" w:rsidR="006A6AAC" w:rsidRPr="00A57D22" w:rsidRDefault="006A6AAC" w:rsidP="006A6AAC">
      <w:pPr>
        <w:spacing w:line="360" w:lineRule="auto"/>
        <w:jc w:val="center"/>
        <w:rPr>
          <w:rFonts w:ascii="Bookman Old Style" w:hAnsi="Bookman Old Style"/>
          <w:sz w:val="36"/>
        </w:rPr>
      </w:pPr>
      <w:r w:rsidRPr="008842DF">
        <w:rPr>
          <w:rFonts w:ascii="Garamond" w:hAnsi="Garamond"/>
          <w:noProof/>
          <w:lang w:eastAsia="pt-PT"/>
        </w:rPr>
        <mc:AlternateContent>
          <mc:Choice Requires="wps">
            <w:drawing>
              <wp:anchor distT="0" distB="0" distL="114300" distR="114300" simplePos="0" relativeHeight="251658248" behindDoc="0" locked="0" layoutInCell="1" allowOverlap="1" wp14:anchorId="3FC86E30" wp14:editId="19C9FDF3">
                <wp:simplePos x="0" y="0"/>
                <wp:positionH relativeFrom="column">
                  <wp:posOffset>-175260</wp:posOffset>
                </wp:positionH>
                <wp:positionV relativeFrom="paragraph">
                  <wp:posOffset>1548765</wp:posOffset>
                </wp:positionV>
                <wp:extent cx="5829300" cy="0"/>
                <wp:effectExtent l="0" t="19050" r="0" b="19050"/>
                <wp:wrapNone/>
                <wp:docPr id="2" name="Conexão recta 2"/>
                <wp:cNvGraphicFramePr/>
                <a:graphic xmlns:a="http://schemas.openxmlformats.org/drawingml/2006/main">
                  <a:graphicData uri="http://schemas.microsoft.com/office/word/2010/wordprocessingShape">
                    <wps:wsp>
                      <wps:cNvCnPr/>
                      <wps:spPr>
                        <a:xfrm>
                          <a:off x="0" y="0"/>
                          <a:ext cx="5829300" cy="0"/>
                        </a:xfrm>
                        <a:prstGeom prst="line">
                          <a:avLst/>
                        </a:prstGeom>
                        <a:ln w="28575">
                          <a:solidFill>
                            <a:schemeClr val="bg2">
                              <a:lumMod val="50000"/>
                            </a:schemeClr>
                          </a:solidFill>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53CB7B05" id="Conexão recta 2" o:spid="_x0000_s1026" style="position:absolute;z-index:251658248;visibility:visible;mso-wrap-style:square;mso-wrap-distance-left:9pt;mso-wrap-distance-top:0;mso-wrap-distance-right:9pt;mso-wrap-distance-bottom:0;mso-position-horizontal:absolute;mso-position-horizontal-relative:text;mso-position-vertical:absolute;mso-position-vertical-relative:text" from="-13.8pt,121.95pt" to="445.2pt,12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mu66wEAAC0EAAAOAAAAZHJzL2Uyb0RvYy54bWysU82O2yAQvlfqOyDujR2v0matOHvIanvp&#10;T9TdPgDBECMBg4CNnefpo/TFOmDHqdpKVav1AcPMfDPzfQybu8FochI+KLANXS5KSoTl0Cp7bOjX&#10;p4c3a0pCZLZlGqxo6FkEerd9/WrTu1pU0IFuhSeYxIa6dw3tYnR1UQTeCcPCApyw6JTgDYt49Mei&#10;9azH7EYXVVm+LXrwrfPARQhovR+ddJvzSyl4/CxlEJHohmJvMa8+r4e0FtsNq4+euU7xqQ32H10Y&#10;piwWnVPds8jIs1e/pTKKewgg44KDKUBKxUXmgGyW5S9sHjvmROaC4gQ3yxReLi3/dNp7otqGVpRY&#10;ZvCKdnhRw/dvQDyqx0iVNOpdqDF0Z/d+OgW394nwIL1Jf6RChqzredZVDJFwNK7W1e1NifLzi6+4&#10;Ap0P8b0AQ9KmoVrZRJnV7PQhRCyGoZeQZNaW9NjsevVulcMCaNU+KK2TM4+N2GlPTgwv/HCscox+&#10;Nh+hHW2rEr9ECfPO4ePpmgl92qIx0R6J5l08azH28EVIFA2pLccm0rhe6zLOhY1ZuJwJoxNMYpcz&#10;sPw7cIpPUJFH+V/AMyJXBhtnsFEW/J+qx2E5CSPH+IsCI+8kwQHacx6BLA3OZFZuej9p6H8+Z/j1&#10;lW9/AAAA//8DAFBLAwQUAAYACAAAACEA9Mzyb+EAAAALAQAADwAAAGRycy9kb3ducmV2LnhtbEyP&#10;TU/DMAyG70j8h8hI3LaUUo2tNJ34EBw4FLFNSLt5jdcWEqdqsq38e4KEBEfbj14/b7EcrRFHGnzn&#10;WMHVNAFBXDvdcaNgs36azEH4gKzROCYFX+RhWZ6fFZhrd+I3Oq5CI2II+xwVtCH0uZS+bsmin7qe&#10;ON72brAY4jg0Ug94iuHWyDRJZtJix/FDiz09tFR/rg5WAX6Yirv7Ktu/PLvt47ustukrKXV5Md7d&#10;ggg0hj8YfvSjOpTRaecOrL0wCibpzSyiCtLsegEiEvNFkoHY/W5kWcj/HcpvAAAA//8DAFBLAQIt&#10;ABQABgAIAAAAIQC2gziS/gAAAOEBAAATAAAAAAAAAAAAAAAAAAAAAABbQ29udGVudF9UeXBlc10u&#10;eG1sUEsBAi0AFAAGAAgAAAAhADj9If/WAAAAlAEAAAsAAAAAAAAAAAAAAAAALwEAAF9yZWxzLy5y&#10;ZWxzUEsBAi0AFAAGAAgAAAAhAEi+a7rrAQAALQQAAA4AAAAAAAAAAAAAAAAALgIAAGRycy9lMm9E&#10;b2MueG1sUEsBAi0AFAAGAAgAAAAhAPTM8m/hAAAACwEAAA8AAAAAAAAAAAAAAAAARQQAAGRycy9k&#10;b3ducmV2LnhtbFBLBQYAAAAABAAEAPMAAABTBQAAAAA=&#10;" strokecolor="#747070 [1614]" strokeweight="2.25pt">
                <v:stroke joinstyle="miter"/>
              </v:line>
            </w:pict>
          </mc:Fallback>
        </mc:AlternateContent>
      </w:r>
      <w:r w:rsidRPr="008842DF">
        <w:rPr>
          <w:rFonts w:ascii="Garamond" w:hAnsi="Garamond"/>
          <w:sz w:val="36"/>
        </w:rPr>
        <w:t>ESTUDO</w:t>
      </w:r>
      <w:r w:rsidRPr="00A57D22">
        <w:rPr>
          <w:rFonts w:ascii="Bookman Old Style" w:hAnsi="Bookman Old Style"/>
          <w:sz w:val="36"/>
        </w:rPr>
        <w:t xml:space="preserve"> </w:t>
      </w:r>
      <w:r w:rsidRPr="008842DF">
        <w:rPr>
          <w:rFonts w:ascii="Garamond" w:hAnsi="Garamond"/>
          <w:sz w:val="36"/>
        </w:rPr>
        <w:t xml:space="preserve">SOBRE AS DETERMINANTES DA TRANSPARÊNCIA DA INFORMAÇÃO DIVULGADA PELOS MUNÍCIPIOS PORTUGUESES NO PERÍODO </w:t>
      </w:r>
      <w:r w:rsidR="000E04EF">
        <w:rPr>
          <w:rFonts w:ascii="Garamond" w:hAnsi="Garamond"/>
          <w:sz w:val="36"/>
        </w:rPr>
        <w:t xml:space="preserve">DE </w:t>
      </w:r>
      <w:r w:rsidRPr="008842DF">
        <w:rPr>
          <w:rFonts w:ascii="Garamond" w:hAnsi="Garamond"/>
          <w:sz w:val="36"/>
        </w:rPr>
        <w:t>2013 A 2017</w:t>
      </w:r>
    </w:p>
    <w:p w14:paraId="71374881" w14:textId="77777777" w:rsidR="006A6AAC" w:rsidRDefault="006A6AAC" w:rsidP="006A6AAC">
      <w:pPr>
        <w:jc w:val="center"/>
        <w:rPr>
          <w:rFonts w:ascii="Garamond" w:hAnsi="Garamond"/>
          <w:sz w:val="28"/>
        </w:rPr>
      </w:pPr>
      <w:r w:rsidRPr="008842DF">
        <w:rPr>
          <w:rFonts w:ascii="Garamond" w:hAnsi="Garamond"/>
          <w:sz w:val="28"/>
        </w:rPr>
        <w:t>Mariana Escaninha</w:t>
      </w:r>
    </w:p>
    <w:p w14:paraId="70E57CB0" w14:textId="77777777" w:rsidR="006A6AAC" w:rsidRDefault="006A6AAC" w:rsidP="006A6AAC">
      <w:pPr>
        <w:jc w:val="center"/>
        <w:rPr>
          <w:rFonts w:ascii="Garamond" w:hAnsi="Garamond"/>
          <w:sz w:val="28"/>
        </w:rPr>
      </w:pPr>
    </w:p>
    <w:p w14:paraId="2EED677F" w14:textId="77777777" w:rsidR="006A6AAC" w:rsidRDefault="006A6AAC" w:rsidP="006A6AAC">
      <w:pPr>
        <w:jc w:val="center"/>
        <w:rPr>
          <w:rFonts w:ascii="Garamond" w:hAnsi="Garamond"/>
          <w:sz w:val="28"/>
        </w:rPr>
      </w:pPr>
    </w:p>
    <w:p w14:paraId="64A83AD7" w14:textId="77777777" w:rsidR="006A6AAC" w:rsidRDefault="006A6AAC" w:rsidP="006A6AAC">
      <w:pPr>
        <w:jc w:val="center"/>
        <w:rPr>
          <w:rFonts w:ascii="Garamond" w:hAnsi="Garamond"/>
          <w:sz w:val="28"/>
        </w:rPr>
      </w:pPr>
    </w:p>
    <w:p w14:paraId="24E643CA" w14:textId="77777777" w:rsidR="006A6AAC" w:rsidRDefault="006A6AAC" w:rsidP="006A6AAC">
      <w:pPr>
        <w:jc w:val="center"/>
        <w:rPr>
          <w:rFonts w:ascii="Garamond" w:hAnsi="Garamond"/>
          <w:sz w:val="28"/>
        </w:rPr>
      </w:pPr>
    </w:p>
    <w:p w14:paraId="30C375A0" w14:textId="77777777" w:rsidR="006A6AAC" w:rsidRDefault="006A6AAC" w:rsidP="006A6AAC">
      <w:pPr>
        <w:jc w:val="center"/>
        <w:rPr>
          <w:rFonts w:ascii="Garamond" w:hAnsi="Garamond"/>
          <w:sz w:val="28"/>
        </w:rPr>
      </w:pPr>
    </w:p>
    <w:p w14:paraId="55843B6A" w14:textId="77777777" w:rsidR="006A6AAC" w:rsidRDefault="006A6AAC" w:rsidP="006A6AAC">
      <w:pPr>
        <w:jc w:val="center"/>
        <w:rPr>
          <w:rFonts w:ascii="Garamond" w:hAnsi="Garamond"/>
          <w:sz w:val="28"/>
        </w:rPr>
      </w:pPr>
    </w:p>
    <w:p w14:paraId="4CE82581" w14:textId="77777777" w:rsidR="006A6AAC" w:rsidRDefault="006A6AAC" w:rsidP="006A6AAC">
      <w:pPr>
        <w:jc w:val="center"/>
        <w:rPr>
          <w:rFonts w:ascii="Garamond" w:hAnsi="Garamond"/>
          <w:sz w:val="28"/>
        </w:rPr>
      </w:pPr>
    </w:p>
    <w:p w14:paraId="00F39118" w14:textId="77777777" w:rsidR="006A6AAC" w:rsidRDefault="006A6AAC" w:rsidP="006A6AAC">
      <w:pPr>
        <w:jc w:val="center"/>
        <w:rPr>
          <w:rFonts w:ascii="Garamond" w:hAnsi="Garamond"/>
          <w:sz w:val="28"/>
        </w:rPr>
      </w:pPr>
    </w:p>
    <w:p w14:paraId="1B120749" w14:textId="1D1A595D" w:rsidR="006A6AAC" w:rsidRDefault="006A6AAC" w:rsidP="006A6AAC">
      <w:pPr>
        <w:jc w:val="center"/>
        <w:rPr>
          <w:rFonts w:ascii="Garamond" w:hAnsi="Garamond"/>
          <w:sz w:val="28"/>
        </w:rPr>
      </w:pPr>
      <w:r>
        <w:rPr>
          <w:rFonts w:ascii="Garamond" w:hAnsi="Garamond"/>
          <w:sz w:val="28"/>
        </w:rPr>
        <w:t xml:space="preserve">Lisboa, </w:t>
      </w:r>
      <w:r w:rsidR="00AD4D09">
        <w:rPr>
          <w:rFonts w:ascii="Garamond" w:hAnsi="Garamond"/>
          <w:sz w:val="28"/>
        </w:rPr>
        <w:t>n</w:t>
      </w:r>
      <w:r w:rsidR="001F0311">
        <w:rPr>
          <w:rFonts w:ascii="Garamond" w:hAnsi="Garamond"/>
          <w:sz w:val="28"/>
        </w:rPr>
        <w:t>ovembro</w:t>
      </w:r>
      <w:r>
        <w:rPr>
          <w:rFonts w:ascii="Garamond" w:hAnsi="Garamond"/>
          <w:sz w:val="28"/>
        </w:rPr>
        <w:t xml:space="preserve"> de 2020</w:t>
      </w:r>
      <w:r>
        <w:rPr>
          <w:rFonts w:ascii="Garamond" w:hAnsi="Garamond"/>
          <w:sz w:val="28"/>
        </w:rPr>
        <w:br w:type="page"/>
      </w:r>
    </w:p>
    <w:p w14:paraId="61424E8A" w14:textId="77777777" w:rsidR="006A6AAC" w:rsidRDefault="006A6AAC" w:rsidP="006A6AAC">
      <w:pPr>
        <w:jc w:val="center"/>
        <w:rPr>
          <w:rFonts w:ascii="Garamond" w:hAnsi="Garamond"/>
          <w:sz w:val="28"/>
        </w:rPr>
      </w:pPr>
    </w:p>
    <w:p w14:paraId="7161640C" w14:textId="77777777" w:rsidR="006A6AAC" w:rsidRDefault="006A6AAC" w:rsidP="006A6AAC">
      <w:pPr>
        <w:jc w:val="center"/>
        <w:rPr>
          <w:rFonts w:ascii="Garamond" w:hAnsi="Garamond"/>
          <w:sz w:val="28"/>
        </w:rPr>
      </w:pPr>
    </w:p>
    <w:p w14:paraId="1DAE2C87" w14:textId="77777777" w:rsidR="006A6AAC" w:rsidRDefault="006A6AAC" w:rsidP="006A6AAC">
      <w:pPr>
        <w:jc w:val="center"/>
        <w:rPr>
          <w:rFonts w:ascii="Garamond" w:hAnsi="Garamond"/>
          <w:sz w:val="28"/>
        </w:rPr>
      </w:pPr>
    </w:p>
    <w:p w14:paraId="3DEEEE14" w14:textId="77777777" w:rsidR="006A6AAC" w:rsidRDefault="006A6AAC" w:rsidP="006A6AAC">
      <w:pPr>
        <w:jc w:val="center"/>
        <w:rPr>
          <w:rFonts w:ascii="Garamond" w:hAnsi="Garamond"/>
          <w:sz w:val="28"/>
        </w:rPr>
      </w:pPr>
    </w:p>
    <w:p w14:paraId="12304BD9" w14:textId="77777777" w:rsidR="006A6AAC" w:rsidRDefault="006A6AAC" w:rsidP="006A6AAC">
      <w:pPr>
        <w:jc w:val="center"/>
        <w:rPr>
          <w:rFonts w:ascii="Garamond" w:hAnsi="Garamond"/>
          <w:sz w:val="28"/>
        </w:rPr>
      </w:pPr>
    </w:p>
    <w:p w14:paraId="61DA8624" w14:textId="77777777" w:rsidR="006A6AAC" w:rsidRDefault="006A6AAC" w:rsidP="006A6AAC">
      <w:pPr>
        <w:jc w:val="center"/>
        <w:rPr>
          <w:rFonts w:ascii="Garamond" w:hAnsi="Garamond"/>
          <w:sz w:val="28"/>
        </w:rPr>
      </w:pPr>
    </w:p>
    <w:p w14:paraId="175909C4" w14:textId="77777777" w:rsidR="006A6AAC" w:rsidRDefault="006A6AAC" w:rsidP="006A6AAC">
      <w:pPr>
        <w:jc w:val="center"/>
        <w:rPr>
          <w:rFonts w:ascii="Garamond" w:hAnsi="Garamond"/>
          <w:sz w:val="28"/>
        </w:rPr>
      </w:pPr>
    </w:p>
    <w:p w14:paraId="4DD87341" w14:textId="77777777" w:rsidR="006A6AAC" w:rsidRDefault="006A6AAC" w:rsidP="006A6AAC">
      <w:pPr>
        <w:jc w:val="center"/>
        <w:rPr>
          <w:rFonts w:ascii="Garamond" w:hAnsi="Garamond"/>
          <w:sz w:val="28"/>
        </w:rPr>
      </w:pPr>
    </w:p>
    <w:p w14:paraId="03CA504B" w14:textId="77777777" w:rsidR="006A6AAC" w:rsidRDefault="006A6AAC" w:rsidP="006A6AAC">
      <w:pPr>
        <w:jc w:val="center"/>
        <w:rPr>
          <w:rFonts w:ascii="Garamond" w:hAnsi="Garamond"/>
          <w:sz w:val="28"/>
        </w:rPr>
      </w:pPr>
    </w:p>
    <w:p w14:paraId="03771242" w14:textId="77777777" w:rsidR="006A6AAC" w:rsidRDefault="006A6AAC" w:rsidP="006A6AAC">
      <w:pPr>
        <w:jc w:val="center"/>
        <w:rPr>
          <w:rFonts w:ascii="Garamond" w:hAnsi="Garamond"/>
          <w:sz w:val="28"/>
        </w:rPr>
      </w:pPr>
    </w:p>
    <w:p w14:paraId="0A042C9F" w14:textId="77777777" w:rsidR="006A6AAC" w:rsidRDefault="006A6AAC" w:rsidP="006A6AAC">
      <w:pPr>
        <w:jc w:val="center"/>
        <w:rPr>
          <w:rFonts w:ascii="Garamond" w:hAnsi="Garamond"/>
          <w:sz w:val="28"/>
        </w:rPr>
      </w:pPr>
    </w:p>
    <w:p w14:paraId="5D307D8B" w14:textId="77777777" w:rsidR="006A6AAC" w:rsidRDefault="006A6AAC" w:rsidP="006A6AAC">
      <w:pPr>
        <w:jc w:val="center"/>
        <w:rPr>
          <w:rFonts w:ascii="Garamond" w:hAnsi="Garamond"/>
          <w:sz w:val="28"/>
        </w:rPr>
      </w:pPr>
    </w:p>
    <w:p w14:paraId="284D16AA" w14:textId="77777777" w:rsidR="006A6AAC" w:rsidRDefault="006A6AAC" w:rsidP="006A6AAC">
      <w:pPr>
        <w:jc w:val="center"/>
        <w:rPr>
          <w:rFonts w:ascii="Garamond" w:hAnsi="Garamond"/>
          <w:sz w:val="28"/>
        </w:rPr>
      </w:pPr>
    </w:p>
    <w:p w14:paraId="306B3114" w14:textId="77777777" w:rsidR="006A6AAC" w:rsidRDefault="006A6AAC" w:rsidP="006A6AAC">
      <w:pPr>
        <w:jc w:val="center"/>
        <w:rPr>
          <w:rFonts w:ascii="Garamond" w:hAnsi="Garamond"/>
          <w:sz w:val="28"/>
        </w:rPr>
      </w:pPr>
    </w:p>
    <w:p w14:paraId="1B46A462" w14:textId="77777777" w:rsidR="006A6AAC" w:rsidRDefault="006A6AAC" w:rsidP="006A6AAC">
      <w:pPr>
        <w:jc w:val="center"/>
        <w:rPr>
          <w:rFonts w:ascii="Garamond" w:hAnsi="Garamond"/>
          <w:sz w:val="28"/>
        </w:rPr>
      </w:pPr>
    </w:p>
    <w:p w14:paraId="001D0E76" w14:textId="77777777" w:rsidR="006A6AAC" w:rsidRDefault="006A6AAC" w:rsidP="006A6AAC">
      <w:pPr>
        <w:jc w:val="center"/>
        <w:rPr>
          <w:rFonts w:ascii="Garamond" w:hAnsi="Garamond"/>
          <w:sz w:val="28"/>
        </w:rPr>
      </w:pPr>
    </w:p>
    <w:p w14:paraId="75C06396" w14:textId="77777777" w:rsidR="006A6AAC" w:rsidRDefault="006A6AAC" w:rsidP="006A6AAC">
      <w:pPr>
        <w:jc w:val="center"/>
        <w:rPr>
          <w:rFonts w:ascii="Garamond" w:hAnsi="Garamond"/>
          <w:sz w:val="28"/>
        </w:rPr>
      </w:pPr>
    </w:p>
    <w:p w14:paraId="70B95D76" w14:textId="77777777" w:rsidR="006A6AAC" w:rsidRDefault="006A6AAC" w:rsidP="006A6AAC">
      <w:pPr>
        <w:jc w:val="center"/>
        <w:rPr>
          <w:rFonts w:ascii="Garamond" w:hAnsi="Garamond"/>
          <w:sz w:val="28"/>
        </w:rPr>
      </w:pPr>
    </w:p>
    <w:p w14:paraId="12437C91" w14:textId="77777777" w:rsidR="006A6AAC" w:rsidRDefault="006A6AAC" w:rsidP="006A6AAC">
      <w:pPr>
        <w:jc w:val="center"/>
        <w:rPr>
          <w:rFonts w:ascii="Garamond" w:hAnsi="Garamond"/>
          <w:sz w:val="28"/>
        </w:rPr>
      </w:pPr>
    </w:p>
    <w:p w14:paraId="420E9487" w14:textId="77777777" w:rsidR="006A6AAC" w:rsidRDefault="006A6AAC" w:rsidP="006A6AAC">
      <w:pPr>
        <w:jc w:val="center"/>
        <w:rPr>
          <w:rFonts w:ascii="Garamond" w:hAnsi="Garamond"/>
          <w:sz w:val="28"/>
        </w:rPr>
      </w:pPr>
    </w:p>
    <w:p w14:paraId="4464CE51" w14:textId="77777777" w:rsidR="006A6AAC" w:rsidRDefault="006A6AAC" w:rsidP="006A6AAC">
      <w:pPr>
        <w:jc w:val="center"/>
        <w:rPr>
          <w:rFonts w:ascii="Garamond" w:hAnsi="Garamond"/>
          <w:sz w:val="28"/>
        </w:rPr>
      </w:pPr>
    </w:p>
    <w:p w14:paraId="6A4BDA02" w14:textId="77777777" w:rsidR="006A6AAC" w:rsidRDefault="006A6AAC" w:rsidP="006A6AAC">
      <w:pPr>
        <w:jc w:val="center"/>
        <w:rPr>
          <w:rFonts w:ascii="Garamond" w:hAnsi="Garamond"/>
          <w:sz w:val="28"/>
        </w:rPr>
      </w:pPr>
    </w:p>
    <w:p w14:paraId="7AF75DBB" w14:textId="77777777" w:rsidR="006A6AAC" w:rsidRDefault="006A6AAC" w:rsidP="006A6AAC">
      <w:pPr>
        <w:jc w:val="center"/>
        <w:rPr>
          <w:rFonts w:ascii="Garamond" w:hAnsi="Garamond"/>
          <w:sz w:val="28"/>
        </w:rPr>
      </w:pPr>
    </w:p>
    <w:p w14:paraId="7ED3DB6C" w14:textId="77777777" w:rsidR="006A6AAC" w:rsidRDefault="006A6AAC" w:rsidP="006A6AAC">
      <w:pPr>
        <w:jc w:val="center"/>
        <w:rPr>
          <w:rFonts w:ascii="Garamond" w:hAnsi="Garamond"/>
          <w:sz w:val="28"/>
        </w:rPr>
      </w:pPr>
    </w:p>
    <w:p w14:paraId="33294A4D" w14:textId="77777777" w:rsidR="006A6AAC" w:rsidRDefault="006A6AAC" w:rsidP="006A6AAC">
      <w:pPr>
        <w:rPr>
          <w:rFonts w:ascii="Garamond" w:hAnsi="Garamond"/>
          <w:sz w:val="28"/>
        </w:rPr>
      </w:pPr>
    </w:p>
    <w:p w14:paraId="7C63E32E" w14:textId="77777777" w:rsidR="006A6AAC" w:rsidRDefault="006A6AAC" w:rsidP="006A6AAC">
      <w:pPr>
        <w:rPr>
          <w:rFonts w:ascii="Garamond" w:hAnsi="Garamond"/>
          <w:sz w:val="28"/>
        </w:rPr>
      </w:pPr>
    </w:p>
    <w:p w14:paraId="521431E1" w14:textId="77777777" w:rsidR="006A6AAC" w:rsidRPr="00A57D22" w:rsidRDefault="006A6AAC" w:rsidP="006A6AAC">
      <w:pPr>
        <w:jc w:val="center"/>
        <w:rPr>
          <w:rFonts w:ascii="Bookman Old Style" w:hAnsi="Bookman Old Style"/>
        </w:rPr>
      </w:pPr>
      <w:r w:rsidRPr="00A57D22">
        <w:rPr>
          <w:rFonts w:ascii="Bookman Old Style" w:hAnsi="Bookman Old Style"/>
        </w:rPr>
        <w:lastRenderedPageBreak/>
        <w:t>INSTITUTO POLITÉCNICO DE LISBOA</w:t>
      </w:r>
    </w:p>
    <w:p w14:paraId="6BCA70A2" w14:textId="77777777" w:rsidR="006A6AAC" w:rsidRPr="00A57D22" w:rsidRDefault="006A6AAC" w:rsidP="006A6AAC">
      <w:pPr>
        <w:jc w:val="center"/>
        <w:rPr>
          <w:rFonts w:ascii="Bookman Old Style" w:hAnsi="Bookman Old Style"/>
        </w:rPr>
      </w:pPr>
      <w:r w:rsidRPr="00A57D22">
        <w:rPr>
          <w:rFonts w:ascii="Bookman Old Style" w:hAnsi="Bookman Old Style"/>
        </w:rPr>
        <w:t>INSTITUTO SUPERIOR DE CONTABILIDADE E ADMINISTRAÇÃO DE LISBOA</w:t>
      </w:r>
    </w:p>
    <w:p w14:paraId="504FE645" w14:textId="77777777" w:rsidR="006A6AAC" w:rsidRDefault="006A6AAC" w:rsidP="006A6AAC"/>
    <w:p w14:paraId="2441C2CE" w14:textId="77777777" w:rsidR="006A6AAC" w:rsidRPr="00A57D22" w:rsidRDefault="006A6AAC" w:rsidP="006A6AAC"/>
    <w:p w14:paraId="09DB153B" w14:textId="77777777" w:rsidR="006A6AAC" w:rsidRDefault="006A6AAC" w:rsidP="006A6AAC"/>
    <w:p w14:paraId="34CA3B58" w14:textId="77777777" w:rsidR="006A6AAC" w:rsidRDefault="006A6AAC" w:rsidP="006A6AAC"/>
    <w:p w14:paraId="4D5380AD" w14:textId="77777777" w:rsidR="006A6AAC" w:rsidRDefault="006A6AAC" w:rsidP="006A6AAC"/>
    <w:p w14:paraId="177C414B" w14:textId="77777777" w:rsidR="006A6AAC" w:rsidRDefault="006A6AAC" w:rsidP="006A6AAC"/>
    <w:p w14:paraId="14E1A8EC" w14:textId="22566A39" w:rsidR="006A6AAC" w:rsidRPr="00A57D22" w:rsidRDefault="006A6AAC" w:rsidP="006A6AAC">
      <w:pPr>
        <w:spacing w:line="360" w:lineRule="auto"/>
        <w:jc w:val="center"/>
        <w:rPr>
          <w:rFonts w:ascii="Bookman Old Style" w:hAnsi="Bookman Old Style"/>
          <w:sz w:val="36"/>
        </w:rPr>
      </w:pPr>
      <w:r w:rsidRPr="008842DF">
        <w:rPr>
          <w:rFonts w:ascii="Garamond" w:hAnsi="Garamond"/>
          <w:noProof/>
          <w:lang w:eastAsia="pt-PT"/>
        </w:rPr>
        <mc:AlternateContent>
          <mc:Choice Requires="wps">
            <w:drawing>
              <wp:anchor distT="0" distB="0" distL="114300" distR="114300" simplePos="0" relativeHeight="251658249" behindDoc="0" locked="0" layoutInCell="1" allowOverlap="1" wp14:anchorId="088AAA01" wp14:editId="75201D3B">
                <wp:simplePos x="0" y="0"/>
                <wp:positionH relativeFrom="column">
                  <wp:posOffset>-175260</wp:posOffset>
                </wp:positionH>
                <wp:positionV relativeFrom="paragraph">
                  <wp:posOffset>1548765</wp:posOffset>
                </wp:positionV>
                <wp:extent cx="5829300" cy="0"/>
                <wp:effectExtent l="0" t="19050" r="0" b="19050"/>
                <wp:wrapNone/>
                <wp:docPr id="4" name="Conexão recta 4"/>
                <wp:cNvGraphicFramePr/>
                <a:graphic xmlns:a="http://schemas.openxmlformats.org/drawingml/2006/main">
                  <a:graphicData uri="http://schemas.microsoft.com/office/word/2010/wordprocessingShape">
                    <wps:wsp>
                      <wps:cNvCnPr/>
                      <wps:spPr>
                        <a:xfrm>
                          <a:off x="0" y="0"/>
                          <a:ext cx="5829300" cy="0"/>
                        </a:xfrm>
                        <a:prstGeom prst="line">
                          <a:avLst/>
                        </a:prstGeom>
                        <a:ln w="28575">
                          <a:solidFill>
                            <a:schemeClr val="tx1">
                              <a:lumMod val="65000"/>
                              <a:lumOff val="35000"/>
                            </a:schemeClr>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10AEC14" id="Conexão recta 4" o:spid="_x0000_s1026" style="position:absolute;z-index:251658249;visibility:visible;mso-wrap-style:square;mso-wrap-distance-left:9pt;mso-wrap-distance-top:0;mso-wrap-distance-right:9pt;mso-wrap-distance-bottom:0;mso-position-horizontal:absolute;mso-position-horizontal-relative:text;mso-position-vertical:absolute;mso-position-vertical-relative:text" from="-13.8pt,121.95pt" to="445.2pt,12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NN9gEAADgEAAAOAAAAZHJzL2Uyb0RvYy54bWysU0tu2zAQ3RfoHQjua8lOnDqC5SwcpJt+&#10;jLY5AEORFlGSQ5CMJZ+nR+nFOiRtOWi7KIpuKHF+b96b4fpuNJochA8KbEvns5oSYTl0yu5b+vj1&#10;4c2KkhCZ7ZgGK1p6FIHebV6/Wg+uEQvoQXfCEyxiQzO4lvYxuqaqAu+FYWEGTlh0SvCGRbz6fdV5&#10;NmB1o6tFXd9UA/jOeeAiBLTeFyfd5PpSCh4/SRlEJLql2FvMp8/nUzqrzZo1e89cr/ipDfYPXRim&#10;LIJOpe5ZZOTZq99KGcU9BJBxxsFUIKXiInNANvP6FzZfeuZE5oLiBDfJFP5fWf7xsPNEdS29psQy&#10;gyPa4qDGH9+BeFSPkeuk0eBCg6Fbu/OnW3A7nwiP0pv0RSpkzLoeJ13FGAlH43K1uL2qUX5+9lWX&#10;ROdDfCfAkPTTUq1soswadngfIoJh6DkkmbUlQ0sXq+XbZQ4LoFX3oLROzrw2Yqs9OTAceBznOUY/&#10;mw/QFdvNssZO8tjRjMtRzFdnM8JNVTL4CwD0aYvGpEbhn//iUYvS2mchUUtkXHCnQgWj+zZPwLkK&#10;RqYUiY1PSXUhlFb/wuGSdIpNaSJv9t8mTtEZEWycEo2y4P+EmpQrrcoSf2ZduCbaT9Ad8zZkOXA9&#10;M7PTU0r7//Ke0y8PfvMTAAD//wMAUEsDBBQABgAIAAAAIQCXXaQ24QAAAAsBAAAPAAAAZHJzL2Rv&#10;d25yZXYueG1sTI/LTsMwEEX3SP0Ha5DYtU5D1aYhTsVDUIlVKSxg58aDEzUeW7GbhL/HSEjtcmaO&#10;7pxbbEbTsh4731gSMJ8lwJAqqxrSAj7en6cZMB8kKdlaQgE/6GFTTq4KmSs70Bv2+6BZDCGfSwF1&#10;CC7n3Fc1Guln1iHF27ftjAxx7DRXnRxiuGl5miRLbmRD8UMtHT7WWB33JyNgmOODe1p96c9hu/Wu&#10;f9Uv2W4nxM31eH8HLOAYzjD86Ud1KKPTwZ5IedYKmKarZUQFpIvbNbBIZOtkAezwv+FlwS87lL8A&#10;AAD//wMAUEsBAi0AFAAGAAgAAAAhALaDOJL+AAAA4QEAABMAAAAAAAAAAAAAAAAAAAAAAFtDb250&#10;ZW50X1R5cGVzXS54bWxQSwECLQAUAAYACAAAACEAOP0h/9YAAACUAQAACwAAAAAAAAAAAAAAAAAv&#10;AQAAX3JlbHMvLnJlbHNQSwECLQAUAAYACAAAACEAvLvzTfYBAAA4BAAADgAAAAAAAAAAAAAAAAAu&#10;AgAAZHJzL2Uyb0RvYy54bWxQSwECLQAUAAYACAAAACEAl12kNuEAAAALAQAADwAAAAAAAAAAAAAA&#10;AABQBAAAZHJzL2Rvd25yZXYueG1sUEsFBgAAAAAEAAQA8wAAAF4FAAAAAA==&#10;" strokecolor="#5a5a5a [2109]" strokeweight="2.25pt">
                <v:stroke joinstyle="miter"/>
              </v:line>
            </w:pict>
          </mc:Fallback>
        </mc:AlternateContent>
      </w:r>
      <w:r w:rsidRPr="008842DF">
        <w:rPr>
          <w:rFonts w:ascii="Garamond" w:hAnsi="Garamond"/>
          <w:sz w:val="36"/>
        </w:rPr>
        <w:t>ESTUDO</w:t>
      </w:r>
      <w:r w:rsidRPr="00A57D22">
        <w:rPr>
          <w:rFonts w:ascii="Bookman Old Style" w:hAnsi="Bookman Old Style"/>
          <w:sz w:val="36"/>
        </w:rPr>
        <w:t xml:space="preserve"> </w:t>
      </w:r>
      <w:r w:rsidRPr="008842DF">
        <w:rPr>
          <w:rFonts w:ascii="Garamond" w:hAnsi="Garamond"/>
          <w:sz w:val="36"/>
        </w:rPr>
        <w:t xml:space="preserve">SOBRE AS DETERMINANTES DA TRANSPARÊNCIA DA INFORMAÇÃO DIVULGADA PELOS MUNÍCIPIOS PORTUGUESES NO PERÍODO </w:t>
      </w:r>
      <w:r w:rsidR="000E04EF">
        <w:rPr>
          <w:rFonts w:ascii="Garamond" w:hAnsi="Garamond"/>
          <w:sz w:val="36"/>
        </w:rPr>
        <w:t xml:space="preserve">DE </w:t>
      </w:r>
      <w:r w:rsidRPr="008842DF">
        <w:rPr>
          <w:rFonts w:ascii="Garamond" w:hAnsi="Garamond"/>
          <w:sz w:val="36"/>
        </w:rPr>
        <w:t>2013 A 2017</w:t>
      </w:r>
    </w:p>
    <w:p w14:paraId="301A34EF" w14:textId="77777777" w:rsidR="006A6AAC" w:rsidRDefault="006A6AAC" w:rsidP="006A6AAC">
      <w:pPr>
        <w:jc w:val="center"/>
        <w:rPr>
          <w:rFonts w:ascii="Garamond" w:hAnsi="Garamond"/>
          <w:sz w:val="28"/>
        </w:rPr>
      </w:pPr>
      <w:r w:rsidRPr="008842DF">
        <w:rPr>
          <w:rFonts w:ascii="Garamond" w:hAnsi="Garamond"/>
          <w:sz w:val="28"/>
        </w:rPr>
        <w:t>Mariana Escaninha</w:t>
      </w:r>
    </w:p>
    <w:p w14:paraId="786D8E6F" w14:textId="77777777" w:rsidR="006A6AAC" w:rsidRDefault="006A6AAC" w:rsidP="006A6AAC">
      <w:pPr>
        <w:autoSpaceDE w:val="0"/>
        <w:autoSpaceDN w:val="0"/>
        <w:adjustRightInd w:val="0"/>
        <w:spacing w:after="0" w:line="360" w:lineRule="auto"/>
        <w:jc w:val="both"/>
        <w:rPr>
          <w:rFonts w:cs="Times New Roman"/>
          <w:szCs w:val="24"/>
        </w:rPr>
      </w:pPr>
    </w:p>
    <w:p w14:paraId="1DFE41D2" w14:textId="78B212DB" w:rsidR="006A6AAC" w:rsidRDefault="006A6AAC" w:rsidP="006A6AAC">
      <w:pPr>
        <w:autoSpaceDE w:val="0"/>
        <w:autoSpaceDN w:val="0"/>
        <w:adjustRightInd w:val="0"/>
        <w:spacing w:after="0" w:line="360" w:lineRule="auto"/>
        <w:jc w:val="both"/>
        <w:rPr>
          <w:rFonts w:cs="Times New Roman"/>
          <w:szCs w:val="24"/>
        </w:rPr>
      </w:pPr>
      <w:r w:rsidRPr="008842DF">
        <w:rPr>
          <w:rFonts w:cs="Times New Roman"/>
          <w:szCs w:val="24"/>
        </w:rPr>
        <w:t>Dissertação submetida ao Instituto Superior de Contabilidade e Administração de</w:t>
      </w:r>
      <w:r>
        <w:rPr>
          <w:rFonts w:cs="Times New Roman"/>
          <w:szCs w:val="24"/>
        </w:rPr>
        <w:t xml:space="preserve"> </w:t>
      </w:r>
      <w:r w:rsidRPr="008842DF">
        <w:rPr>
          <w:rFonts w:cs="Times New Roman"/>
          <w:szCs w:val="24"/>
        </w:rPr>
        <w:t>Lisboa para cumprimento dos requisitos ne</w:t>
      </w:r>
      <w:r>
        <w:rPr>
          <w:rFonts w:cs="Times New Roman"/>
          <w:szCs w:val="24"/>
        </w:rPr>
        <w:t xml:space="preserve">cessários à obtenção do grau de </w:t>
      </w:r>
      <w:r w:rsidRPr="008842DF">
        <w:rPr>
          <w:rFonts w:cs="Times New Roman"/>
          <w:szCs w:val="24"/>
        </w:rPr>
        <w:t>Mestre em Auditoria, realizada sob a orientação científica da Doutora Paula Gomes dos Santos e da Doutora Carla Martinho</w:t>
      </w:r>
      <w:r w:rsidR="00B35A7B">
        <w:rPr>
          <w:rFonts w:cs="Times New Roman"/>
          <w:szCs w:val="24"/>
        </w:rPr>
        <w:t>.</w:t>
      </w:r>
    </w:p>
    <w:p w14:paraId="3E2FD4C1" w14:textId="77777777" w:rsidR="006A6AAC" w:rsidRDefault="006A6AAC" w:rsidP="006A6AAC">
      <w:pPr>
        <w:autoSpaceDE w:val="0"/>
        <w:autoSpaceDN w:val="0"/>
        <w:adjustRightInd w:val="0"/>
        <w:spacing w:after="0" w:line="360" w:lineRule="auto"/>
        <w:rPr>
          <w:rFonts w:cs="Times New Roman"/>
          <w:szCs w:val="24"/>
        </w:rPr>
      </w:pPr>
    </w:p>
    <w:p w14:paraId="4C01C42F" w14:textId="77777777" w:rsidR="006A6AAC" w:rsidRPr="008842DF" w:rsidRDefault="006A6AAC" w:rsidP="006A6AAC">
      <w:pPr>
        <w:autoSpaceDE w:val="0"/>
        <w:autoSpaceDN w:val="0"/>
        <w:adjustRightInd w:val="0"/>
        <w:spacing w:after="0" w:line="360" w:lineRule="auto"/>
        <w:rPr>
          <w:rFonts w:cs="Times New Roman"/>
          <w:szCs w:val="24"/>
        </w:rPr>
      </w:pPr>
      <w:r w:rsidRPr="008842DF">
        <w:rPr>
          <w:rFonts w:cs="Times New Roman"/>
          <w:szCs w:val="24"/>
        </w:rPr>
        <w:t>Constituição do Júri:</w:t>
      </w:r>
    </w:p>
    <w:p w14:paraId="7AD01144" w14:textId="5A3ED0B5" w:rsidR="006A6AAC" w:rsidRPr="008842DF" w:rsidRDefault="006A6AAC" w:rsidP="006A6AAC">
      <w:pPr>
        <w:autoSpaceDE w:val="0"/>
        <w:autoSpaceDN w:val="0"/>
        <w:adjustRightInd w:val="0"/>
        <w:spacing w:after="0" w:line="360" w:lineRule="auto"/>
        <w:rPr>
          <w:rFonts w:cs="Times New Roman"/>
          <w:szCs w:val="24"/>
        </w:rPr>
      </w:pPr>
      <w:r w:rsidRPr="008842DF">
        <w:rPr>
          <w:rFonts w:cs="Times New Roman"/>
          <w:szCs w:val="24"/>
        </w:rPr>
        <w:t xml:space="preserve">Presidente ___________________________ </w:t>
      </w:r>
      <w:r w:rsidR="00E054BB">
        <w:rPr>
          <w:rFonts w:cs="Times New Roman"/>
          <w:szCs w:val="24"/>
        </w:rPr>
        <w:t>Prof. Especialista Gabriel Alves</w:t>
      </w:r>
    </w:p>
    <w:p w14:paraId="1B3367E0" w14:textId="25B38D1C" w:rsidR="006A6AAC" w:rsidRPr="008842DF" w:rsidRDefault="006A6AAC" w:rsidP="006A6AAC">
      <w:pPr>
        <w:autoSpaceDE w:val="0"/>
        <w:autoSpaceDN w:val="0"/>
        <w:adjustRightInd w:val="0"/>
        <w:spacing w:after="0" w:line="360" w:lineRule="auto"/>
        <w:rPr>
          <w:rFonts w:cs="Times New Roman"/>
          <w:szCs w:val="24"/>
        </w:rPr>
      </w:pPr>
      <w:r w:rsidRPr="008842DF">
        <w:rPr>
          <w:rFonts w:cs="Times New Roman"/>
          <w:szCs w:val="24"/>
        </w:rPr>
        <w:t xml:space="preserve">Vogal _______________________________ </w:t>
      </w:r>
      <w:r w:rsidR="00E054BB">
        <w:rPr>
          <w:rFonts w:cs="Times New Roman"/>
          <w:szCs w:val="24"/>
        </w:rPr>
        <w:t>Prof.ª Doutora Paula Santos</w:t>
      </w:r>
    </w:p>
    <w:p w14:paraId="1E24ADC1" w14:textId="5EF306E5" w:rsidR="006A6AAC" w:rsidRPr="008842DF" w:rsidRDefault="006A6AAC" w:rsidP="006A6AAC">
      <w:pPr>
        <w:autoSpaceDE w:val="0"/>
        <w:autoSpaceDN w:val="0"/>
        <w:adjustRightInd w:val="0"/>
        <w:spacing w:after="0" w:line="360" w:lineRule="auto"/>
        <w:jc w:val="both"/>
        <w:rPr>
          <w:rFonts w:cs="Times New Roman"/>
          <w:szCs w:val="24"/>
        </w:rPr>
      </w:pPr>
      <w:r w:rsidRPr="008842DF">
        <w:rPr>
          <w:rFonts w:cs="Times New Roman"/>
          <w:szCs w:val="24"/>
        </w:rPr>
        <w:t xml:space="preserve">Vogal _______________________________ </w:t>
      </w:r>
      <w:r w:rsidR="00E054BB">
        <w:rPr>
          <w:rFonts w:cs="Times New Roman"/>
          <w:szCs w:val="24"/>
        </w:rPr>
        <w:t>Prof.ª Doutora Carla Martinho</w:t>
      </w:r>
    </w:p>
    <w:p w14:paraId="002A937E" w14:textId="77777777" w:rsidR="006A6AAC" w:rsidRDefault="006A6AAC" w:rsidP="006A6AAC">
      <w:pPr>
        <w:jc w:val="center"/>
        <w:rPr>
          <w:rFonts w:ascii="Garamond" w:hAnsi="Garamond"/>
          <w:sz w:val="28"/>
        </w:rPr>
      </w:pPr>
    </w:p>
    <w:p w14:paraId="7C68FC19" w14:textId="77777777" w:rsidR="006A6AAC" w:rsidRDefault="006A6AAC" w:rsidP="006A6AAC">
      <w:pPr>
        <w:jc w:val="center"/>
        <w:rPr>
          <w:rFonts w:ascii="Garamond" w:hAnsi="Garamond"/>
          <w:sz w:val="28"/>
        </w:rPr>
      </w:pPr>
    </w:p>
    <w:p w14:paraId="629C352E" w14:textId="77777777" w:rsidR="006A6AAC" w:rsidRDefault="006A6AAC" w:rsidP="006A6AAC">
      <w:pPr>
        <w:rPr>
          <w:rFonts w:ascii="Garamond" w:hAnsi="Garamond"/>
          <w:sz w:val="28"/>
        </w:rPr>
      </w:pPr>
    </w:p>
    <w:p w14:paraId="1DB115BB" w14:textId="44DCC443" w:rsidR="006A6AAC" w:rsidRDefault="00D4605F" w:rsidP="006A6AAC">
      <w:pPr>
        <w:jc w:val="center"/>
        <w:rPr>
          <w:rFonts w:ascii="Garamond" w:hAnsi="Garamond"/>
          <w:sz w:val="28"/>
        </w:rPr>
      </w:pPr>
      <w:r>
        <w:rPr>
          <w:rFonts w:ascii="Garamond" w:hAnsi="Garamond"/>
          <w:sz w:val="28"/>
        </w:rPr>
        <w:t xml:space="preserve">Lisboa, </w:t>
      </w:r>
      <w:r w:rsidR="00AD4D09">
        <w:rPr>
          <w:rFonts w:ascii="Garamond" w:hAnsi="Garamond"/>
          <w:sz w:val="28"/>
        </w:rPr>
        <w:t>n</w:t>
      </w:r>
      <w:r w:rsidR="001F0311">
        <w:rPr>
          <w:rFonts w:ascii="Garamond" w:hAnsi="Garamond"/>
          <w:sz w:val="28"/>
        </w:rPr>
        <w:t>ovembro</w:t>
      </w:r>
      <w:r w:rsidR="006A6AAC">
        <w:rPr>
          <w:rFonts w:ascii="Garamond" w:hAnsi="Garamond"/>
          <w:sz w:val="28"/>
        </w:rPr>
        <w:t xml:space="preserve"> de 2020</w:t>
      </w:r>
    </w:p>
    <w:p w14:paraId="665A1201" w14:textId="77777777" w:rsidR="00266F84" w:rsidRDefault="00266F84" w:rsidP="00D4605F">
      <w:pPr>
        <w:rPr>
          <w:rFonts w:ascii="Garamond" w:hAnsi="Garamond"/>
          <w:sz w:val="28"/>
        </w:rPr>
        <w:sectPr w:rsidR="00266F84" w:rsidSect="00266F84">
          <w:footerReference w:type="default" r:id="rId9"/>
          <w:pgSz w:w="12240" w:h="15840"/>
          <w:pgMar w:top="1418" w:right="1418" w:bottom="1418" w:left="1701" w:header="709" w:footer="709" w:gutter="0"/>
          <w:pgNumType w:fmt="upperRoman"/>
          <w:cols w:space="708"/>
          <w:titlePg/>
          <w:docGrid w:linePitch="360"/>
        </w:sectPr>
      </w:pPr>
    </w:p>
    <w:p w14:paraId="2593C545" w14:textId="086B9A9E" w:rsidR="006A6AAC" w:rsidRPr="00552F6C" w:rsidRDefault="00552F6C" w:rsidP="00B2392F">
      <w:pPr>
        <w:spacing w:before="3840" w:line="360" w:lineRule="auto"/>
        <w:jc w:val="both"/>
        <w:rPr>
          <w:rFonts w:cs="Times New Roman"/>
          <w:szCs w:val="24"/>
        </w:rPr>
      </w:pPr>
      <w:r w:rsidRPr="00552F6C">
        <w:rPr>
          <w:rFonts w:cs="Times New Roman"/>
          <w:szCs w:val="24"/>
        </w:rPr>
        <w:lastRenderedPageBreak/>
        <w:t xml:space="preserve">Declaro </w:t>
      </w:r>
      <w:r>
        <w:rPr>
          <w:rFonts w:cs="Times New Roman"/>
          <w:szCs w:val="24"/>
        </w:rPr>
        <w:t xml:space="preserve">ser a autora desta dissertação, que constitui um trabalho original e inédito, que nunca foi submetido (no seu todo ou qualquer das suas partes) a outra instituição de ensino superior para a obtenção de um grau académico ou outra habilitação. Acrescento, ainda, que tenho consciência de que o plágio – a utilização de elementos alheios sem </w:t>
      </w:r>
      <w:r w:rsidR="003F4837">
        <w:rPr>
          <w:rFonts w:cs="Times New Roman"/>
          <w:szCs w:val="24"/>
        </w:rPr>
        <w:t>referência</w:t>
      </w:r>
      <w:r>
        <w:rPr>
          <w:rFonts w:cs="Times New Roman"/>
          <w:szCs w:val="24"/>
        </w:rPr>
        <w:t xml:space="preserve"> ao seu autor – constitui falta de ética, que pode resultar na anulação do presente trabalho. A presente dissertação, respeita as normas vigentes no Manual para a elaboração de dissertações do ISCAL e, especificamente, a norma americana para </w:t>
      </w:r>
      <w:r w:rsidR="003F4837">
        <w:rPr>
          <w:rFonts w:cs="Times New Roman"/>
          <w:szCs w:val="24"/>
        </w:rPr>
        <w:t>referenciação</w:t>
      </w:r>
      <w:r>
        <w:rPr>
          <w:rFonts w:cs="Times New Roman"/>
          <w:szCs w:val="24"/>
        </w:rPr>
        <w:t xml:space="preserve"> bibliográfica </w:t>
      </w:r>
      <w:proofErr w:type="spellStart"/>
      <w:r w:rsidRPr="003F4837">
        <w:rPr>
          <w:rFonts w:cs="Times New Roman"/>
          <w:i/>
          <w:szCs w:val="24"/>
        </w:rPr>
        <w:t>American</w:t>
      </w:r>
      <w:proofErr w:type="spellEnd"/>
      <w:r w:rsidRPr="003F4837">
        <w:rPr>
          <w:rFonts w:cs="Times New Roman"/>
          <w:i/>
          <w:szCs w:val="24"/>
        </w:rPr>
        <w:t xml:space="preserve"> </w:t>
      </w:r>
      <w:proofErr w:type="spellStart"/>
      <w:r w:rsidRPr="003F4837">
        <w:rPr>
          <w:rFonts w:cs="Times New Roman"/>
          <w:i/>
          <w:szCs w:val="24"/>
        </w:rPr>
        <w:t>Psychological</w:t>
      </w:r>
      <w:proofErr w:type="spellEnd"/>
      <w:r w:rsidRPr="003F4837">
        <w:rPr>
          <w:rFonts w:cs="Times New Roman"/>
          <w:i/>
          <w:szCs w:val="24"/>
        </w:rPr>
        <w:t xml:space="preserve"> </w:t>
      </w:r>
      <w:proofErr w:type="spellStart"/>
      <w:r w:rsidRPr="003F4837">
        <w:rPr>
          <w:rFonts w:cs="Times New Roman"/>
          <w:i/>
          <w:szCs w:val="24"/>
        </w:rPr>
        <w:t>Association</w:t>
      </w:r>
      <w:proofErr w:type="spellEnd"/>
      <w:r>
        <w:rPr>
          <w:rFonts w:cs="Times New Roman"/>
          <w:szCs w:val="24"/>
        </w:rPr>
        <w:t xml:space="preserve"> – APA) e o texto respeita a ortografia </w:t>
      </w:r>
      <w:r w:rsidR="003F4837">
        <w:rPr>
          <w:rFonts w:cs="Times New Roman"/>
          <w:szCs w:val="24"/>
        </w:rPr>
        <w:t xml:space="preserve">pós-acordo ortográfico. </w:t>
      </w:r>
    </w:p>
    <w:p w14:paraId="3103B23F" w14:textId="77777777" w:rsidR="006A6AAC" w:rsidRDefault="006A6AAC" w:rsidP="006A6AAC">
      <w:pPr>
        <w:jc w:val="center"/>
        <w:rPr>
          <w:rFonts w:cs="Times New Roman"/>
          <w:b/>
          <w:spacing w:val="20"/>
          <w:sz w:val="28"/>
        </w:rPr>
      </w:pPr>
    </w:p>
    <w:p w14:paraId="75D9EDFB" w14:textId="77777777" w:rsidR="006A6AAC" w:rsidRDefault="006A6AAC" w:rsidP="006A6AAC">
      <w:pPr>
        <w:jc w:val="center"/>
        <w:rPr>
          <w:rFonts w:cs="Times New Roman"/>
          <w:b/>
          <w:spacing w:val="20"/>
          <w:sz w:val="28"/>
        </w:rPr>
      </w:pPr>
    </w:p>
    <w:p w14:paraId="448BA0E2" w14:textId="77777777" w:rsidR="006A6AAC" w:rsidRDefault="006A6AAC" w:rsidP="006A6AAC">
      <w:pPr>
        <w:jc w:val="center"/>
        <w:rPr>
          <w:rFonts w:cs="Times New Roman"/>
          <w:b/>
          <w:spacing w:val="20"/>
          <w:sz w:val="28"/>
        </w:rPr>
      </w:pPr>
    </w:p>
    <w:p w14:paraId="3BA7CAC1" w14:textId="77777777" w:rsidR="006A6AAC" w:rsidRDefault="006A6AAC" w:rsidP="006A6AAC">
      <w:pPr>
        <w:jc w:val="center"/>
        <w:rPr>
          <w:rFonts w:cs="Times New Roman"/>
          <w:b/>
          <w:spacing w:val="20"/>
          <w:sz w:val="28"/>
        </w:rPr>
      </w:pPr>
    </w:p>
    <w:p w14:paraId="2F1A20FC" w14:textId="77777777" w:rsidR="006A6AAC" w:rsidRDefault="006A6AAC" w:rsidP="006A6AAC">
      <w:pPr>
        <w:jc w:val="center"/>
        <w:rPr>
          <w:rFonts w:cs="Times New Roman"/>
          <w:b/>
          <w:spacing w:val="20"/>
          <w:sz w:val="28"/>
        </w:rPr>
      </w:pPr>
    </w:p>
    <w:p w14:paraId="18703958" w14:textId="77777777" w:rsidR="006A6AAC" w:rsidRDefault="006A6AAC" w:rsidP="006A6AAC">
      <w:pPr>
        <w:jc w:val="center"/>
        <w:rPr>
          <w:rFonts w:cs="Times New Roman"/>
          <w:b/>
          <w:spacing w:val="20"/>
          <w:sz w:val="28"/>
        </w:rPr>
      </w:pPr>
    </w:p>
    <w:p w14:paraId="2454979F" w14:textId="77777777" w:rsidR="006A6AAC" w:rsidRDefault="006A6AAC" w:rsidP="006A6AAC">
      <w:pPr>
        <w:jc w:val="center"/>
        <w:rPr>
          <w:rFonts w:cs="Times New Roman"/>
          <w:b/>
          <w:spacing w:val="20"/>
          <w:sz w:val="28"/>
        </w:rPr>
      </w:pPr>
    </w:p>
    <w:p w14:paraId="5C498082" w14:textId="77777777" w:rsidR="006A6AAC" w:rsidRDefault="006A6AAC" w:rsidP="006A6AAC">
      <w:pPr>
        <w:jc w:val="center"/>
        <w:rPr>
          <w:rFonts w:cs="Times New Roman"/>
          <w:b/>
          <w:spacing w:val="20"/>
          <w:sz w:val="28"/>
        </w:rPr>
      </w:pPr>
    </w:p>
    <w:p w14:paraId="0AD3DB97" w14:textId="77777777" w:rsidR="006A6AAC" w:rsidRDefault="006A6AAC" w:rsidP="006A6AAC">
      <w:pPr>
        <w:jc w:val="center"/>
        <w:rPr>
          <w:rFonts w:cs="Times New Roman"/>
          <w:b/>
          <w:spacing w:val="20"/>
          <w:sz w:val="28"/>
        </w:rPr>
      </w:pPr>
    </w:p>
    <w:p w14:paraId="7C9BD398" w14:textId="77777777" w:rsidR="006A6AAC" w:rsidRDefault="006A6AAC" w:rsidP="006A6AAC">
      <w:pPr>
        <w:jc w:val="center"/>
        <w:rPr>
          <w:rFonts w:cs="Times New Roman"/>
          <w:b/>
          <w:spacing w:val="20"/>
          <w:sz w:val="28"/>
        </w:rPr>
      </w:pPr>
    </w:p>
    <w:p w14:paraId="2BC22719" w14:textId="77777777" w:rsidR="003F4837" w:rsidRDefault="003F4837" w:rsidP="003F4837">
      <w:pPr>
        <w:rPr>
          <w:rFonts w:cs="Times New Roman"/>
          <w:b/>
          <w:spacing w:val="20"/>
          <w:sz w:val="28"/>
        </w:rPr>
      </w:pPr>
    </w:p>
    <w:p w14:paraId="32FBFC13" w14:textId="77777777" w:rsidR="00552F6C" w:rsidRDefault="00552F6C" w:rsidP="00552F6C">
      <w:pPr>
        <w:jc w:val="center"/>
        <w:rPr>
          <w:rFonts w:cs="Times New Roman"/>
          <w:b/>
          <w:spacing w:val="20"/>
          <w:sz w:val="28"/>
        </w:rPr>
      </w:pPr>
      <w:r w:rsidRPr="008842DF">
        <w:rPr>
          <w:rFonts w:cs="Times New Roman"/>
          <w:b/>
          <w:spacing w:val="20"/>
          <w:sz w:val="28"/>
        </w:rPr>
        <w:lastRenderedPageBreak/>
        <w:t>Dedicatória</w:t>
      </w:r>
    </w:p>
    <w:p w14:paraId="08024677" w14:textId="47BE45B8" w:rsidR="00552F6C" w:rsidRDefault="00552F6C" w:rsidP="00B2392F">
      <w:pPr>
        <w:jc w:val="center"/>
        <w:rPr>
          <w:rFonts w:cs="Times New Roman"/>
          <w:b/>
          <w:spacing w:val="20"/>
          <w:sz w:val="28"/>
        </w:rPr>
      </w:pPr>
      <w:r>
        <w:rPr>
          <w:rFonts w:cs="Times New Roman"/>
          <w:szCs w:val="24"/>
        </w:rPr>
        <w:t>A toda a minha família que partilha desta vitória comigo!</w:t>
      </w:r>
    </w:p>
    <w:p w14:paraId="59681A31" w14:textId="77777777" w:rsidR="006A6AAC" w:rsidRDefault="006A6AAC" w:rsidP="006A6AAC">
      <w:pPr>
        <w:jc w:val="center"/>
        <w:rPr>
          <w:rFonts w:cs="Times New Roman"/>
          <w:b/>
          <w:spacing w:val="20"/>
          <w:sz w:val="28"/>
        </w:rPr>
      </w:pPr>
    </w:p>
    <w:p w14:paraId="09C1A0DF" w14:textId="77777777" w:rsidR="006A6AAC" w:rsidRDefault="006A6AAC" w:rsidP="006A6AAC">
      <w:pPr>
        <w:jc w:val="center"/>
        <w:rPr>
          <w:rFonts w:cs="Times New Roman"/>
          <w:b/>
          <w:spacing w:val="20"/>
          <w:sz w:val="28"/>
        </w:rPr>
      </w:pPr>
    </w:p>
    <w:p w14:paraId="64454108" w14:textId="77777777" w:rsidR="006A6AAC" w:rsidRDefault="006A6AAC" w:rsidP="006A6AAC">
      <w:pPr>
        <w:jc w:val="center"/>
        <w:rPr>
          <w:rFonts w:cs="Times New Roman"/>
          <w:b/>
          <w:spacing w:val="20"/>
          <w:sz w:val="28"/>
        </w:rPr>
      </w:pPr>
    </w:p>
    <w:p w14:paraId="4FDCCEAF" w14:textId="77777777" w:rsidR="006A6AAC" w:rsidRDefault="006A6AAC" w:rsidP="006A6AAC">
      <w:pPr>
        <w:jc w:val="center"/>
        <w:rPr>
          <w:rFonts w:cs="Times New Roman"/>
          <w:b/>
          <w:spacing w:val="20"/>
          <w:sz w:val="28"/>
        </w:rPr>
      </w:pPr>
    </w:p>
    <w:p w14:paraId="64F1F64D" w14:textId="77777777" w:rsidR="006A6AAC" w:rsidRDefault="006A6AAC" w:rsidP="006A6AAC">
      <w:pPr>
        <w:jc w:val="center"/>
        <w:rPr>
          <w:rFonts w:cs="Times New Roman"/>
          <w:b/>
          <w:spacing w:val="20"/>
          <w:sz w:val="28"/>
        </w:rPr>
      </w:pPr>
    </w:p>
    <w:p w14:paraId="3182C2F0" w14:textId="77777777" w:rsidR="006A6AAC" w:rsidRDefault="006A6AAC" w:rsidP="00B2392F">
      <w:pPr>
        <w:ind w:left="720" w:hanging="720"/>
        <w:jc w:val="center"/>
        <w:rPr>
          <w:rFonts w:cs="Times New Roman"/>
          <w:b/>
          <w:spacing w:val="20"/>
          <w:sz w:val="28"/>
        </w:rPr>
      </w:pPr>
    </w:p>
    <w:p w14:paraId="007D384C" w14:textId="77777777" w:rsidR="006A6AAC" w:rsidRDefault="006A6AAC" w:rsidP="006A6AAC">
      <w:pPr>
        <w:jc w:val="center"/>
        <w:rPr>
          <w:rFonts w:cs="Times New Roman"/>
          <w:b/>
          <w:spacing w:val="20"/>
          <w:sz w:val="28"/>
        </w:rPr>
      </w:pPr>
    </w:p>
    <w:p w14:paraId="5EE57D8B" w14:textId="77777777" w:rsidR="006A6AAC" w:rsidRDefault="006A6AAC" w:rsidP="006A6AAC">
      <w:pPr>
        <w:jc w:val="center"/>
        <w:rPr>
          <w:rFonts w:cs="Times New Roman"/>
          <w:b/>
          <w:spacing w:val="20"/>
          <w:sz w:val="28"/>
        </w:rPr>
      </w:pPr>
    </w:p>
    <w:p w14:paraId="250E37B5" w14:textId="77777777" w:rsidR="006A6AAC" w:rsidRDefault="006A6AAC" w:rsidP="006A6AAC">
      <w:pPr>
        <w:jc w:val="center"/>
        <w:rPr>
          <w:rFonts w:cs="Times New Roman"/>
          <w:b/>
          <w:spacing w:val="20"/>
          <w:sz w:val="28"/>
        </w:rPr>
      </w:pPr>
    </w:p>
    <w:p w14:paraId="2D7BE383" w14:textId="77777777" w:rsidR="006A6AAC" w:rsidRDefault="006A6AAC" w:rsidP="006A6AAC">
      <w:pPr>
        <w:jc w:val="center"/>
        <w:rPr>
          <w:rFonts w:cs="Times New Roman"/>
          <w:b/>
          <w:spacing w:val="20"/>
          <w:sz w:val="28"/>
        </w:rPr>
      </w:pPr>
    </w:p>
    <w:p w14:paraId="04D3DA61" w14:textId="77777777" w:rsidR="006A6AAC" w:rsidRDefault="006A6AAC" w:rsidP="006A6AAC">
      <w:pPr>
        <w:jc w:val="center"/>
        <w:rPr>
          <w:rFonts w:cs="Times New Roman"/>
          <w:b/>
          <w:spacing w:val="20"/>
          <w:sz w:val="28"/>
        </w:rPr>
      </w:pPr>
    </w:p>
    <w:p w14:paraId="4E6D8125" w14:textId="77777777" w:rsidR="006A6AAC" w:rsidRDefault="006A6AAC" w:rsidP="006A6AAC">
      <w:pPr>
        <w:jc w:val="center"/>
        <w:rPr>
          <w:rFonts w:cs="Times New Roman"/>
          <w:b/>
          <w:spacing w:val="20"/>
          <w:sz w:val="28"/>
        </w:rPr>
      </w:pPr>
    </w:p>
    <w:p w14:paraId="5A005456" w14:textId="77777777" w:rsidR="006A6AAC" w:rsidRDefault="006A6AAC" w:rsidP="006A6AAC">
      <w:pPr>
        <w:jc w:val="center"/>
        <w:rPr>
          <w:rFonts w:cs="Times New Roman"/>
          <w:b/>
          <w:spacing w:val="20"/>
          <w:sz w:val="28"/>
        </w:rPr>
      </w:pPr>
    </w:p>
    <w:p w14:paraId="59B056A9" w14:textId="77777777" w:rsidR="006A6AAC" w:rsidRDefault="006A6AAC" w:rsidP="006A6AAC">
      <w:pPr>
        <w:jc w:val="center"/>
        <w:rPr>
          <w:rFonts w:cs="Times New Roman"/>
          <w:b/>
          <w:spacing w:val="20"/>
          <w:sz w:val="28"/>
        </w:rPr>
      </w:pPr>
    </w:p>
    <w:p w14:paraId="5CF96F0E" w14:textId="77777777" w:rsidR="006A6AAC" w:rsidRDefault="006A6AAC" w:rsidP="006A6AAC">
      <w:pPr>
        <w:jc w:val="center"/>
        <w:rPr>
          <w:rFonts w:cs="Times New Roman"/>
          <w:b/>
          <w:spacing w:val="20"/>
          <w:sz w:val="28"/>
        </w:rPr>
      </w:pPr>
    </w:p>
    <w:p w14:paraId="682647DF" w14:textId="77777777" w:rsidR="006A6AAC" w:rsidRDefault="006A6AAC" w:rsidP="006A6AAC">
      <w:pPr>
        <w:jc w:val="center"/>
        <w:rPr>
          <w:rFonts w:cs="Times New Roman"/>
          <w:b/>
          <w:spacing w:val="20"/>
          <w:sz w:val="28"/>
        </w:rPr>
      </w:pPr>
    </w:p>
    <w:p w14:paraId="1FA02369" w14:textId="77777777" w:rsidR="006A6AAC" w:rsidRDefault="006A6AAC" w:rsidP="006A6AAC">
      <w:pPr>
        <w:jc w:val="center"/>
        <w:rPr>
          <w:rFonts w:cs="Times New Roman"/>
          <w:b/>
          <w:spacing w:val="20"/>
          <w:sz w:val="28"/>
        </w:rPr>
      </w:pPr>
    </w:p>
    <w:p w14:paraId="5D7B2E1D" w14:textId="77777777" w:rsidR="006A6AAC" w:rsidRDefault="006A6AAC" w:rsidP="006A6AAC">
      <w:pPr>
        <w:jc w:val="center"/>
        <w:rPr>
          <w:rFonts w:cs="Times New Roman"/>
          <w:b/>
          <w:spacing w:val="20"/>
          <w:sz w:val="28"/>
        </w:rPr>
      </w:pPr>
    </w:p>
    <w:p w14:paraId="59A4E680" w14:textId="77777777" w:rsidR="006A6AAC" w:rsidRDefault="006A6AAC" w:rsidP="006A6AAC">
      <w:pPr>
        <w:rPr>
          <w:rFonts w:cs="Times New Roman"/>
          <w:b/>
          <w:spacing w:val="20"/>
          <w:sz w:val="28"/>
        </w:rPr>
      </w:pPr>
    </w:p>
    <w:p w14:paraId="262B9FC8" w14:textId="77777777" w:rsidR="006A6AAC" w:rsidRDefault="006A6AAC" w:rsidP="006A6AAC">
      <w:pPr>
        <w:rPr>
          <w:rFonts w:cs="Times New Roman"/>
          <w:b/>
          <w:spacing w:val="20"/>
          <w:sz w:val="28"/>
        </w:rPr>
      </w:pPr>
    </w:p>
    <w:p w14:paraId="729D88FB" w14:textId="77777777" w:rsidR="006A6AAC" w:rsidRDefault="006A6AAC" w:rsidP="006A6AAC">
      <w:pPr>
        <w:jc w:val="center"/>
        <w:rPr>
          <w:rFonts w:cs="Times New Roman"/>
          <w:b/>
          <w:spacing w:val="20"/>
          <w:sz w:val="28"/>
        </w:rPr>
      </w:pPr>
    </w:p>
    <w:p w14:paraId="2A153F77" w14:textId="77777777" w:rsidR="006A6AAC" w:rsidRDefault="006A6AAC" w:rsidP="006A6AAC">
      <w:pPr>
        <w:jc w:val="center"/>
        <w:rPr>
          <w:rFonts w:cs="Times New Roman"/>
          <w:b/>
          <w:spacing w:val="20"/>
          <w:sz w:val="28"/>
        </w:rPr>
      </w:pPr>
    </w:p>
    <w:p w14:paraId="209CF069" w14:textId="77777777" w:rsidR="006A6AAC" w:rsidRDefault="006A6AAC" w:rsidP="006A6AAC">
      <w:pPr>
        <w:jc w:val="center"/>
        <w:rPr>
          <w:rFonts w:cs="Times New Roman"/>
          <w:b/>
          <w:spacing w:val="20"/>
          <w:sz w:val="28"/>
        </w:rPr>
      </w:pPr>
    </w:p>
    <w:p w14:paraId="73203D34" w14:textId="77777777" w:rsidR="00552F6C" w:rsidRDefault="00552F6C" w:rsidP="003F4837">
      <w:pPr>
        <w:rPr>
          <w:rFonts w:cs="Times New Roman"/>
          <w:b/>
          <w:spacing w:val="20"/>
          <w:sz w:val="28"/>
        </w:rPr>
      </w:pPr>
    </w:p>
    <w:p w14:paraId="34F3ED17" w14:textId="77777777" w:rsidR="006A6AAC" w:rsidRDefault="006A6AAC" w:rsidP="006A6AAC">
      <w:pPr>
        <w:jc w:val="center"/>
        <w:rPr>
          <w:rFonts w:cs="Times New Roman"/>
          <w:b/>
          <w:spacing w:val="20"/>
          <w:sz w:val="28"/>
        </w:rPr>
      </w:pPr>
      <w:r>
        <w:rPr>
          <w:rFonts w:cs="Times New Roman"/>
          <w:b/>
          <w:spacing w:val="20"/>
          <w:sz w:val="28"/>
        </w:rPr>
        <w:lastRenderedPageBreak/>
        <w:t>Agradecimentos</w:t>
      </w:r>
    </w:p>
    <w:p w14:paraId="0CDB5FA7" w14:textId="77777777" w:rsidR="006A6AAC" w:rsidRDefault="006A6AAC" w:rsidP="006A6AAC">
      <w:pPr>
        <w:autoSpaceDE w:val="0"/>
        <w:autoSpaceDN w:val="0"/>
        <w:adjustRightInd w:val="0"/>
        <w:spacing w:after="0" w:line="360" w:lineRule="auto"/>
        <w:jc w:val="both"/>
        <w:rPr>
          <w:rFonts w:cs="Times New Roman"/>
          <w:szCs w:val="24"/>
        </w:rPr>
      </w:pPr>
      <w:r w:rsidRPr="00954DEA">
        <w:rPr>
          <w:rFonts w:cs="Times New Roman"/>
          <w:szCs w:val="24"/>
        </w:rPr>
        <w:t xml:space="preserve">Agradeço </w:t>
      </w:r>
      <w:r>
        <w:rPr>
          <w:rFonts w:cs="Times New Roman"/>
          <w:szCs w:val="24"/>
        </w:rPr>
        <w:t>à Professora Paula Santos e à Professora Carla Martinho pela partilha de conhecimentos que me permitiram realizar este trabalho, pela dedicação e pela presença ao longo de todo este percurso.</w:t>
      </w:r>
    </w:p>
    <w:p w14:paraId="56F14A68" w14:textId="77777777" w:rsidR="006A6AAC" w:rsidRDefault="006A6AAC" w:rsidP="006A6AAC">
      <w:pPr>
        <w:autoSpaceDE w:val="0"/>
        <w:autoSpaceDN w:val="0"/>
        <w:adjustRightInd w:val="0"/>
        <w:spacing w:after="0" w:line="360" w:lineRule="auto"/>
        <w:jc w:val="both"/>
        <w:rPr>
          <w:rFonts w:cs="Times New Roman"/>
          <w:szCs w:val="24"/>
        </w:rPr>
      </w:pPr>
      <w:r>
        <w:rPr>
          <w:rFonts w:cs="Times New Roman"/>
          <w:szCs w:val="24"/>
        </w:rPr>
        <w:t>Agradecer a toda a minha família pela compreensão e apoio ao longo de todo este trabalho.</w:t>
      </w:r>
    </w:p>
    <w:p w14:paraId="01C04F3A" w14:textId="77777777" w:rsidR="006A6AAC" w:rsidRDefault="006A6AAC" w:rsidP="006A6AAC">
      <w:pPr>
        <w:autoSpaceDE w:val="0"/>
        <w:autoSpaceDN w:val="0"/>
        <w:adjustRightInd w:val="0"/>
        <w:spacing w:after="0" w:line="360" w:lineRule="auto"/>
        <w:jc w:val="both"/>
        <w:rPr>
          <w:rFonts w:cs="Times New Roman"/>
          <w:szCs w:val="24"/>
        </w:rPr>
      </w:pPr>
      <w:r>
        <w:rPr>
          <w:rFonts w:cs="Times New Roman"/>
          <w:szCs w:val="24"/>
        </w:rPr>
        <w:t>Ao meu namorado que, em todos os momentos, esteve ao meu lado a dar-me muita força.</w:t>
      </w:r>
    </w:p>
    <w:p w14:paraId="49AC1692" w14:textId="77777777" w:rsidR="006A6AAC" w:rsidRDefault="006A6AAC" w:rsidP="006A6AAC">
      <w:pPr>
        <w:autoSpaceDE w:val="0"/>
        <w:autoSpaceDN w:val="0"/>
        <w:adjustRightInd w:val="0"/>
        <w:spacing w:after="0" w:line="360" w:lineRule="auto"/>
        <w:jc w:val="both"/>
        <w:rPr>
          <w:rFonts w:cs="Times New Roman"/>
          <w:szCs w:val="24"/>
        </w:rPr>
      </w:pPr>
      <w:r>
        <w:rPr>
          <w:rFonts w:cs="Times New Roman"/>
          <w:szCs w:val="24"/>
        </w:rPr>
        <w:t>Um agradecer especial, a toda a Equipa PSE, que me apoiaram, que me ajudaram e que depositaram muita confiança em mim.</w:t>
      </w:r>
    </w:p>
    <w:p w14:paraId="69EAC936" w14:textId="77777777" w:rsidR="006A6AAC" w:rsidRDefault="006A6AAC" w:rsidP="006A6AAC">
      <w:pPr>
        <w:autoSpaceDE w:val="0"/>
        <w:autoSpaceDN w:val="0"/>
        <w:adjustRightInd w:val="0"/>
        <w:spacing w:after="0" w:line="360" w:lineRule="auto"/>
        <w:jc w:val="both"/>
        <w:rPr>
          <w:rFonts w:cs="Times New Roman"/>
          <w:szCs w:val="24"/>
        </w:rPr>
      </w:pPr>
      <w:r>
        <w:rPr>
          <w:rFonts w:cs="Times New Roman"/>
          <w:szCs w:val="24"/>
        </w:rPr>
        <w:t xml:space="preserve">Ao meu grupo de amigos que me ergueram sempre a cabeça nos momentos mais complicados e que sempre me apoiaram. </w:t>
      </w:r>
    </w:p>
    <w:p w14:paraId="6F361C38" w14:textId="77777777" w:rsidR="006A6AAC" w:rsidRDefault="006A6AAC" w:rsidP="006A6AAC">
      <w:pPr>
        <w:autoSpaceDE w:val="0"/>
        <w:autoSpaceDN w:val="0"/>
        <w:adjustRightInd w:val="0"/>
        <w:spacing w:after="0" w:line="360" w:lineRule="auto"/>
        <w:jc w:val="both"/>
        <w:rPr>
          <w:rFonts w:cs="Times New Roman"/>
          <w:szCs w:val="24"/>
        </w:rPr>
      </w:pPr>
      <w:r>
        <w:rPr>
          <w:rFonts w:cs="Times New Roman"/>
          <w:szCs w:val="24"/>
        </w:rPr>
        <w:t>A todos o meu enorme e sincero agradecimento!</w:t>
      </w:r>
    </w:p>
    <w:p w14:paraId="09E57700" w14:textId="77777777" w:rsidR="006A6AAC" w:rsidRPr="00954DEA" w:rsidRDefault="006A6AAC" w:rsidP="006A6AAC">
      <w:pPr>
        <w:autoSpaceDE w:val="0"/>
        <w:autoSpaceDN w:val="0"/>
        <w:adjustRightInd w:val="0"/>
        <w:spacing w:after="0" w:line="360" w:lineRule="auto"/>
        <w:jc w:val="both"/>
        <w:rPr>
          <w:rFonts w:cs="Times New Roman"/>
          <w:szCs w:val="24"/>
        </w:rPr>
      </w:pPr>
    </w:p>
    <w:p w14:paraId="4312E8A2" w14:textId="77777777" w:rsidR="006A6AAC" w:rsidRDefault="006A6AAC" w:rsidP="006A6AAC">
      <w:pPr>
        <w:jc w:val="center"/>
        <w:rPr>
          <w:rFonts w:cs="Times New Roman"/>
          <w:b/>
          <w:spacing w:val="20"/>
          <w:sz w:val="28"/>
        </w:rPr>
      </w:pPr>
    </w:p>
    <w:p w14:paraId="47735A14" w14:textId="77777777" w:rsidR="006A6AAC" w:rsidRDefault="006A6AAC" w:rsidP="006A6AAC">
      <w:pPr>
        <w:jc w:val="center"/>
        <w:rPr>
          <w:rFonts w:cs="Times New Roman"/>
          <w:b/>
          <w:spacing w:val="20"/>
          <w:sz w:val="28"/>
        </w:rPr>
      </w:pPr>
    </w:p>
    <w:p w14:paraId="2F539931" w14:textId="77777777" w:rsidR="006A6AAC" w:rsidRDefault="006A6AAC" w:rsidP="006A6AAC">
      <w:pPr>
        <w:jc w:val="center"/>
        <w:rPr>
          <w:rFonts w:cs="Times New Roman"/>
          <w:b/>
          <w:spacing w:val="20"/>
          <w:sz w:val="28"/>
        </w:rPr>
      </w:pPr>
    </w:p>
    <w:p w14:paraId="3528C42B" w14:textId="77777777" w:rsidR="006A6AAC" w:rsidRDefault="006A6AAC" w:rsidP="006A6AAC">
      <w:pPr>
        <w:jc w:val="center"/>
        <w:rPr>
          <w:rFonts w:cs="Times New Roman"/>
          <w:b/>
          <w:spacing w:val="20"/>
          <w:sz w:val="28"/>
        </w:rPr>
      </w:pPr>
    </w:p>
    <w:p w14:paraId="77FA7784" w14:textId="77777777" w:rsidR="006A6AAC" w:rsidRDefault="006A6AAC" w:rsidP="006A6AAC">
      <w:pPr>
        <w:jc w:val="center"/>
        <w:rPr>
          <w:rFonts w:cs="Times New Roman"/>
          <w:b/>
          <w:spacing w:val="20"/>
          <w:sz w:val="28"/>
        </w:rPr>
      </w:pPr>
    </w:p>
    <w:p w14:paraId="5EC7F13F" w14:textId="77777777" w:rsidR="006A6AAC" w:rsidRDefault="006A6AAC" w:rsidP="006A6AAC">
      <w:pPr>
        <w:jc w:val="center"/>
        <w:rPr>
          <w:rFonts w:cs="Times New Roman"/>
          <w:b/>
          <w:spacing w:val="20"/>
          <w:sz w:val="28"/>
        </w:rPr>
      </w:pPr>
    </w:p>
    <w:p w14:paraId="377EE61D" w14:textId="77777777" w:rsidR="006A6AAC" w:rsidRDefault="006A6AAC" w:rsidP="006A6AAC">
      <w:pPr>
        <w:jc w:val="center"/>
        <w:rPr>
          <w:rFonts w:cs="Times New Roman"/>
          <w:b/>
          <w:spacing w:val="20"/>
          <w:sz w:val="28"/>
        </w:rPr>
      </w:pPr>
    </w:p>
    <w:p w14:paraId="1A4EB36A" w14:textId="77777777" w:rsidR="006A6AAC" w:rsidRDefault="006A6AAC" w:rsidP="006A6AAC">
      <w:pPr>
        <w:jc w:val="center"/>
        <w:rPr>
          <w:rFonts w:cs="Times New Roman"/>
          <w:b/>
          <w:spacing w:val="20"/>
          <w:sz w:val="28"/>
        </w:rPr>
      </w:pPr>
    </w:p>
    <w:p w14:paraId="5845AAEB" w14:textId="77777777" w:rsidR="006A6AAC" w:rsidRDefault="006A6AAC" w:rsidP="006A6AAC">
      <w:pPr>
        <w:jc w:val="center"/>
        <w:rPr>
          <w:rFonts w:cs="Times New Roman"/>
          <w:b/>
          <w:spacing w:val="20"/>
          <w:sz w:val="28"/>
        </w:rPr>
      </w:pPr>
    </w:p>
    <w:p w14:paraId="03BAE92B" w14:textId="77777777" w:rsidR="006A6AAC" w:rsidRDefault="006A6AAC" w:rsidP="006A6AAC">
      <w:pPr>
        <w:jc w:val="center"/>
        <w:rPr>
          <w:rFonts w:cs="Times New Roman"/>
          <w:b/>
          <w:spacing w:val="20"/>
          <w:sz w:val="28"/>
        </w:rPr>
      </w:pPr>
    </w:p>
    <w:p w14:paraId="348FCA66" w14:textId="77777777" w:rsidR="006A6AAC" w:rsidRDefault="006A6AAC" w:rsidP="006A6AAC">
      <w:pPr>
        <w:jc w:val="center"/>
        <w:rPr>
          <w:rFonts w:cs="Times New Roman"/>
          <w:b/>
          <w:spacing w:val="20"/>
          <w:sz w:val="28"/>
        </w:rPr>
      </w:pPr>
    </w:p>
    <w:p w14:paraId="0B54723D" w14:textId="77777777" w:rsidR="006A6AAC" w:rsidRDefault="006A6AAC" w:rsidP="006A6AAC">
      <w:pPr>
        <w:jc w:val="center"/>
        <w:rPr>
          <w:rFonts w:cs="Times New Roman"/>
          <w:b/>
          <w:spacing w:val="20"/>
          <w:sz w:val="28"/>
        </w:rPr>
      </w:pPr>
    </w:p>
    <w:p w14:paraId="41AF5711" w14:textId="77777777" w:rsidR="006A6AAC" w:rsidRDefault="006A6AAC" w:rsidP="006A6AAC">
      <w:pPr>
        <w:jc w:val="center"/>
        <w:rPr>
          <w:rFonts w:cs="Times New Roman"/>
          <w:b/>
          <w:spacing w:val="20"/>
          <w:sz w:val="28"/>
        </w:rPr>
      </w:pPr>
    </w:p>
    <w:p w14:paraId="7EABF6E5" w14:textId="77777777" w:rsidR="006A6AAC" w:rsidRDefault="006A6AAC" w:rsidP="006A6AAC">
      <w:pPr>
        <w:jc w:val="center"/>
        <w:rPr>
          <w:rFonts w:cs="Times New Roman"/>
          <w:b/>
          <w:spacing w:val="20"/>
          <w:sz w:val="28"/>
        </w:rPr>
      </w:pPr>
    </w:p>
    <w:p w14:paraId="262BB996" w14:textId="77777777" w:rsidR="006A6AAC" w:rsidRDefault="006A6AAC" w:rsidP="006A6AAC">
      <w:pPr>
        <w:jc w:val="center"/>
        <w:rPr>
          <w:rFonts w:cs="Times New Roman"/>
          <w:b/>
          <w:spacing w:val="20"/>
          <w:sz w:val="28"/>
        </w:rPr>
      </w:pPr>
    </w:p>
    <w:p w14:paraId="47B1FA3D" w14:textId="77777777" w:rsidR="006A6AAC" w:rsidRDefault="006A6AAC" w:rsidP="00AD4D09">
      <w:pPr>
        <w:rPr>
          <w:rFonts w:cs="Times New Roman"/>
          <w:b/>
          <w:spacing w:val="20"/>
          <w:sz w:val="28"/>
        </w:rPr>
      </w:pPr>
    </w:p>
    <w:p w14:paraId="11D9DE2A" w14:textId="77777777" w:rsidR="006A6AAC" w:rsidRDefault="006A6AAC" w:rsidP="006A6AAC">
      <w:pPr>
        <w:jc w:val="center"/>
        <w:rPr>
          <w:rFonts w:cs="Times New Roman"/>
          <w:b/>
          <w:spacing w:val="20"/>
          <w:sz w:val="28"/>
        </w:rPr>
      </w:pPr>
      <w:r>
        <w:rPr>
          <w:rFonts w:cs="Times New Roman"/>
          <w:b/>
          <w:spacing w:val="20"/>
          <w:sz w:val="28"/>
        </w:rPr>
        <w:lastRenderedPageBreak/>
        <w:t xml:space="preserve">Resumo </w:t>
      </w:r>
    </w:p>
    <w:p w14:paraId="632F0E44" w14:textId="4020AB8C" w:rsidR="00F008C5" w:rsidRDefault="00582449" w:rsidP="006A6AAC">
      <w:pPr>
        <w:spacing w:line="360" w:lineRule="auto"/>
        <w:jc w:val="both"/>
        <w:rPr>
          <w:rFonts w:cs="Times New Roman"/>
        </w:rPr>
      </w:pPr>
      <w:r>
        <w:rPr>
          <w:rFonts w:cs="Times New Roman"/>
        </w:rPr>
        <w:t>Para uma democracia saudável</w:t>
      </w:r>
      <w:r w:rsidR="00206A8D">
        <w:rPr>
          <w:rFonts w:cs="Times New Roman"/>
        </w:rPr>
        <w:t xml:space="preserve"> e para a promoção do combate à corrupção</w:t>
      </w:r>
      <w:r>
        <w:rPr>
          <w:rFonts w:cs="Times New Roman"/>
        </w:rPr>
        <w:t>, a transparência torna-se uma condição necessári</w:t>
      </w:r>
      <w:r w:rsidR="00F544A6">
        <w:rPr>
          <w:rFonts w:cs="Times New Roman"/>
        </w:rPr>
        <w:t>a</w:t>
      </w:r>
      <w:r>
        <w:rPr>
          <w:rFonts w:cs="Times New Roman"/>
        </w:rPr>
        <w:t xml:space="preserve"> nos governos. </w:t>
      </w:r>
      <w:r w:rsidR="00206A8D">
        <w:rPr>
          <w:rFonts w:cs="Times New Roman"/>
        </w:rPr>
        <w:t>Se nos focarmos em governos a nível local, a an</w:t>
      </w:r>
      <w:r w:rsidR="00F544A6">
        <w:rPr>
          <w:rFonts w:cs="Times New Roman"/>
        </w:rPr>
        <w:t>á</w:t>
      </w:r>
      <w:r w:rsidR="00206A8D">
        <w:rPr>
          <w:rFonts w:cs="Times New Roman"/>
        </w:rPr>
        <w:t xml:space="preserve">lise da transparência torna-se, também, fundamental no âmbito das políticas públicas. </w:t>
      </w:r>
    </w:p>
    <w:p w14:paraId="42650A36" w14:textId="43A06FA0" w:rsidR="006A6AAC" w:rsidRDefault="006A6AAC" w:rsidP="006A6AAC">
      <w:pPr>
        <w:spacing w:line="360" w:lineRule="auto"/>
        <w:jc w:val="both"/>
        <w:rPr>
          <w:rFonts w:cs="Times New Roman"/>
        </w:rPr>
      </w:pPr>
      <w:r>
        <w:rPr>
          <w:rFonts w:cs="Times New Roman"/>
        </w:rPr>
        <w:t>Anualmente é calculado, pela Transparência e Integridade – Associação Cívica</w:t>
      </w:r>
      <w:r w:rsidR="00962182">
        <w:rPr>
          <w:rFonts w:cs="Times New Roman"/>
        </w:rPr>
        <w:t xml:space="preserve">, </w:t>
      </w:r>
      <w:r>
        <w:rPr>
          <w:rFonts w:cs="Times New Roman"/>
        </w:rPr>
        <w:t>o Índice de Transparência Municipal</w:t>
      </w:r>
      <w:r w:rsidR="00582449">
        <w:rPr>
          <w:rFonts w:cs="Times New Roman"/>
        </w:rPr>
        <w:t>, através de dados divulgados pelos municípios, que</w:t>
      </w:r>
      <w:r>
        <w:rPr>
          <w:rFonts w:cs="Times New Roman"/>
        </w:rPr>
        <w:t xml:space="preserve"> indica, numa escala de 0 a 100, o nível de transparência de cada </w:t>
      </w:r>
      <w:r w:rsidR="00582449">
        <w:rPr>
          <w:rFonts w:cs="Times New Roman"/>
        </w:rPr>
        <w:t>um</w:t>
      </w:r>
      <w:r>
        <w:rPr>
          <w:rFonts w:cs="Times New Roman"/>
        </w:rPr>
        <w:t xml:space="preserve">. </w:t>
      </w:r>
      <w:r w:rsidR="00F544A6">
        <w:rPr>
          <w:rFonts w:cs="Times New Roman"/>
        </w:rPr>
        <w:t>A</w:t>
      </w:r>
      <w:r>
        <w:rPr>
          <w:rFonts w:cs="Times New Roman"/>
        </w:rPr>
        <w:t xml:space="preserve"> presente dissertação tem como objetivo analisar quais as determinantes que influenciam este índice para um período temporal desde o ano 2013 ao ano 2017.</w:t>
      </w:r>
    </w:p>
    <w:p w14:paraId="394581EC" w14:textId="7E627E47" w:rsidR="006A6AAC" w:rsidRDefault="006A6AAC" w:rsidP="006A6AAC">
      <w:pPr>
        <w:spacing w:line="360" w:lineRule="auto"/>
        <w:jc w:val="both"/>
        <w:rPr>
          <w:rFonts w:cs="Times New Roman"/>
        </w:rPr>
      </w:pPr>
      <w:r>
        <w:rPr>
          <w:rFonts w:cs="Times New Roman"/>
        </w:rPr>
        <w:t xml:space="preserve">Para a realização do estudo recorreu-se à análise descritiva e ao modelo da regressão linear múltipla com dados em painel através de um conjunto de dados </w:t>
      </w:r>
      <w:r w:rsidR="00FF6EC1">
        <w:rPr>
          <w:rFonts w:cs="Times New Roman"/>
        </w:rPr>
        <w:t xml:space="preserve">disponibilizados pelo </w:t>
      </w:r>
      <w:r w:rsidRPr="00874410">
        <w:rPr>
          <w:rFonts w:cs="Times New Roman"/>
        </w:rPr>
        <w:t>Instituto Nacional de Estatística</w:t>
      </w:r>
      <w:r w:rsidR="00AD4D09">
        <w:rPr>
          <w:rFonts w:cs="Times New Roman"/>
        </w:rPr>
        <w:t>,</w:t>
      </w:r>
      <w:r>
        <w:rPr>
          <w:rFonts w:cs="Times New Roman"/>
        </w:rPr>
        <w:t xml:space="preserve"> PORDATA e Direção Geral das Autarquias Locais</w:t>
      </w:r>
      <w:r w:rsidR="00962182">
        <w:rPr>
          <w:rFonts w:cs="Times New Roman"/>
        </w:rPr>
        <w:t>.</w:t>
      </w:r>
    </w:p>
    <w:p w14:paraId="3A961F70" w14:textId="23935910" w:rsidR="006A6AAC" w:rsidRDefault="006A6AAC" w:rsidP="006A6AAC">
      <w:pPr>
        <w:spacing w:line="360" w:lineRule="auto"/>
        <w:jc w:val="both"/>
        <w:rPr>
          <w:rFonts w:cs="Times New Roman"/>
        </w:rPr>
      </w:pPr>
      <w:r>
        <w:rPr>
          <w:rFonts w:cs="Times New Roman"/>
        </w:rPr>
        <w:t xml:space="preserve">Como principal conclusão da investigação realizada retira-se que </w:t>
      </w:r>
      <w:r w:rsidR="00603AD8">
        <w:rPr>
          <w:rFonts w:cs="Times New Roman"/>
        </w:rPr>
        <w:t>tai</w:t>
      </w:r>
      <w:r>
        <w:rPr>
          <w:rFonts w:cs="Times New Roman"/>
        </w:rPr>
        <w:t xml:space="preserve">s </w:t>
      </w:r>
      <w:r w:rsidRPr="00925ED7">
        <w:rPr>
          <w:rFonts w:cs="Times New Roman"/>
        </w:rPr>
        <w:t xml:space="preserve">variáveis </w:t>
      </w:r>
      <w:r w:rsidR="00603AD8">
        <w:rPr>
          <w:rFonts w:cs="Times New Roman"/>
        </w:rPr>
        <w:t xml:space="preserve">como </w:t>
      </w:r>
      <w:r w:rsidR="00221957">
        <w:rPr>
          <w:rFonts w:cs="Times New Roman"/>
        </w:rPr>
        <w:t>i</w:t>
      </w:r>
      <w:r w:rsidRPr="00925ED7">
        <w:rPr>
          <w:rFonts w:cs="Times New Roman"/>
        </w:rPr>
        <w:t xml:space="preserve">deologia do </w:t>
      </w:r>
      <w:r w:rsidR="00221957">
        <w:rPr>
          <w:rFonts w:cs="Times New Roman"/>
        </w:rPr>
        <w:t>p</w:t>
      </w:r>
      <w:r w:rsidRPr="00925ED7">
        <w:rPr>
          <w:rFonts w:cs="Times New Roman"/>
        </w:rPr>
        <w:t xml:space="preserve">artido </w:t>
      </w:r>
      <w:r w:rsidR="00221957">
        <w:rPr>
          <w:rFonts w:cs="Times New Roman"/>
        </w:rPr>
        <w:t>p</w:t>
      </w:r>
      <w:r w:rsidRPr="00925ED7">
        <w:rPr>
          <w:rFonts w:cs="Times New Roman"/>
        </w:rPr>
        <w:t>ol</w:t>
      </w:r>
      <w:r w:rsidR="00000838" w:rsidRPr="00925ED7">
        <w:rPr>
          <w:rFonts w:cs="Times New Roman"/>
        </w:rPr>
        <w:t>í</w:t>
      </w:r>
      <w:r w:rsidRPr="00925ED7">
        <w:rPr>
          <w:rFonts w:cs="Times New Roman"/>
        </w:rPr>
        <w:t xml:space="preserve">tico, </w:t>
      </w:r>
      <w:r w:rsidR="00925ED7" w:rsidRPr="00925ED7">
        <w:rPr>
          <w:rFonts w:cs="Times New Roman"/>
        </w:rPr>
        <w:t xml:space="preserve">o </w:t>
      </w:r>
      <w:r w:rsidR="00221957">
        <w:rPr>
          <w:rFonts w:cs="Times New Roman"/>
        </w:rPr>
        <w:t>v</w:t>
      </w:r>
      <w:r w:rsidR="00925ED7" w:rsidRPr="00925ED7">
        <w:rPr>
          <w:rFonts w:cs="Times New Roman"/>
        </w:rPr>
        <w:t xml:space="preserve">alor do </w:t>
      </w:r>
      <w:r w:rsidR="00221957">
        <w:rPr>
          <w:rFonts w:cs="Times New Roman"/>
        </w:rPr>
        <w:t>e</w:t>
      </w:r>
      <w:r w:rsidR="00925ED7" w:rsidRPr="00925ED7">
        <w:rPr>
          <w:rFonts w:cs="Times New Roman"/>
        </w:rPr>
        <w:t xml:space="preserve">ndividamento, </w:t>
      </w:r>
      <w:r w:rsidRPr="00925ED7">
        <w:rPr>
          <w:rFonts w:cs="Times New Roman"/>
        </w:rPr>
        <w:t xml:space="preserve">a </w:t>
      </w:r>
      <w:r w:rsidR="000A23D0">
        <w:rPr>
          <w:rFonts w:eastAsiaTheme="minorEastAsia" w:cs="Times New Roman"/>
        </w:rPr>
        <w:t xml:space="preserve">despesa efetiva </w:t>
      </w:r>
      <w:r w:rsidR="000A23D0" w:rsidRPr="00506E82">
        <w:rPr>
          <w:rFonts w:eastAsiaTheme="minorEastAsia" w:cs="Times New Roman"/>
          <w:i/>
          <w:iCs/>
        </w:rPr>
        <w:t>per capita</w:t>
      </w:r>
      <w:r w:rsidRPr="00925ED7">
        <w:rPr>
          <w:rFonts w:cs="Times New Roman"/>
        </w:rPr>
        <w:t>,</w:t>
      </w:r>
      <w:r w:rsidR="00925ED7" w:rsidRPr="00925ED7">
        <w:rPr>
          <w:rFonts w:cs="Times New Roman"/>
        </w:rPr>
        <w:t xml:space="preserve"> a </w:t>
      </w:r>
      <w:r w:rsidR="00221957">
        <w:rPr>
          <w:rFonts w:cs="Times New Roman"/>
        </w:rPr>
        <w:t>p</w:t>
      </w:r>
      <w:r w:rsidR="00925ED7" w:rsidRPr="00925ED7">
        <w:rPr>
          <w:rFonts w:cs="Times New Roman"/>
        </w:rPr>
        <w:t xml:space="preserve">opulação </w:t>
      </w:r>
      <w:r w:rsidR="00221957">
        <w:rPr>
          <w:rFonts w:cs="Times New Roman"/>
        </w:rPr>
        <w:t>r</w:t>
      </w:r>
      <w:r w:rsidR="00925ED7" w:rsidRPr="00925ED7">
        <w:rPr>
          <w:rFonts w:cs="Times New Roman"/>
        </w:rPr>
        <w:t>esidente</w:t>
      </w:r>
      <w:r w:rsidR="000E127E">
        <w:rPr>
          <w:rFonts w:cs="Times New Roman"/>
        </w:rPr>
        <w:t xml:space="preserve">, </w:t>
      </w:r>
      <w:r w:rsidR="00603AD8">
        <w:rPr>
          <w:rFonts w:cs="Times New Roman"/>
        </w:rPr>
        <w:t xml:space="preserve">a </w:t>
      </w:r>
      <w:r w:rsidR="000E127E">
        <w:rPr>
          <w:rFonts w:cs="Times New Roman"/>
        </w:rPr>
        <w:t xml:space="preserve">taxa de população idosa, </w:t>
      </w:r>
      <w:r w:rsidRPr="00925ED7">
        <w:rPr>
          <w:rFonts w:cs="Times New Roman"/>
        </w:rPr>
        <w:t xml:space="preserve">a </w:t>
      </w:r>
      <w:r w:rsidR="00221957">
        <w:rPr>
          <w:rFonts w:cs="Times New Roman"/>
        </w:rPr>
        <w:t>t</w:t>
      </w:r>
      <w:r w:rsidRPr="00925ED7">
        <w:rPr>
          <w:rFonts w:cs="Times New Roman"/>
        </w:rPr>
        <w:t xml:space="preserve">axa de </w:t>
      </w:r>
      <w:r w:rsidR="00221957">
        <w:rPr>
          <w:rFonts w:cs="Times New Roman"/>
        </w:rPr>
        <w:t>d</w:t>
      </w:r>
      <w:r w:rsidR="00925ED7" w:rsidRPr="00925ED7">
        <w:rPr>
          <w:rFonts w:cs="Times New Roman"/>
        </w:rPr>
        <w:t>esemprego</w:t>
      </w:r>
      <w:r w:rsidR="000E127E">
        <w:rPr>
          <w:rFonts w:cs="Times New Roman"/>
        </w:rPr>
        <w:t xml:space="preserve"> e a percentagem de abstenção</w:t>
      </w:r>
      <w:r w:rsidRPr="00925ED7">
        <w:rPr>
          <w:rFonts w:cs="Times New Roman"/>
        </w:rPr>
        <w:t xml:space="preserve"> </w:t>
      </w:r>
      <w:r w:rsidRPr="00874410">
        <w:rPr>
          <w:rFonts w:cs="Times New Roman"/>
        </w:rPr>
        <w:t>dos municípios</w:t>
      </w:r>
      <w:r>
        <w:rPr>
          <w:rFonts w:cs="Times New Roman"/>
        </w:rPr>
        <w:t xml:space="preserve"> demonstraram ser estatisticamente significativa</w:t>
      </w:r>
      <w:r w:rsidR="00000838">
        <w:rPr>
          <w:rFonts w:cs="Times New Roman"/>
        </w:rPr>
        <w:t>s</w:t>
      </w:r>
      <w:r>
        <w:rPr>
          <w:rFonts w:cs="Times New Roman"/>
        </w:rPr>
        <w:t xml:space="preserve"> como determinantes do nível de transparência municipal, para os 308 municípios portugueses incluídos </w:t>
      </w:r>
      <w:r w:rsidR="009E457E">
        <w:rPr>
          <w:rFonts w:cs="Times New Roman"/>
        </w:rPr>
        <w:t>n</w:t>
      </w:r>
      <w:r>
        <w:rPr>
          <w:rFonts w:cs="Times New Roman"/>
        </w:rPr>
        <w:t xml:space="preserve">o estudo. </w:t>
      </w:r>
      <w:r w:rsidRPr="00874410">
        <w:rPr>
          <w:rFonts w:cs="Times New Roman"/>
        </w:rPr>
        <w:t xml:space="preserve"> </w:t>
      </w:r>
    </w:p>
    <w:p w14:paraId="2C40EA53" w14:textId="77777777" w:rsidR="006A6AAC" w:rsidRDefault="006A6AAC" w:rsidP="006A6AAC">
      <w:pPr>
        <w:spacing w:line="360" w:lineRule="auto"/>
        <w:jc w:val="both"/>
        <w:rPr>
          <w:rFonts w:cs="Times New Roman"/>
        </w:rPr>
      </w:pPr>
      <w:r>
        <w:rPr>
          <w:rFonts w:cs="Times New Roman"/>
        </w:rPr>
        <w:t xml:space="preserve"> </w:t>
      </w:r>
    </w:p>
    <w:p w14:paraId="516A3570" w14:textId="1576ACB2" w:rsidR="006A6AAC" w:rsidRDefault="006A6AAC" w:rsidP="001E180C">
      <w:pPr>
        <w:spacing w:line="360" w:lineRule="auto"/>
        <w:ind w:left="2155" w:hanging="2155"/>
        <w:jc w:val="both"/>
        <w:rPr>
          <w:rFonts w:cs="Times New Roman"/>
          <w:b/>
        </w:rPr>
      </w:pPr>
      <w:r w:rsidRPr="004C3263">
        <w:rPr>
          <w:rFonts w:cs="Times New Roman"/>
          <w:b/>
        </w:rPr>
        <w:t>Palavra</w:t>
      </w:r>
      <w:r w:rsidR="00603AD8">
        <w:rPr>
          <w:rFonts w:cs="Times New Roman"/>
          <w:b/>
        </w:rPr>
        <w:t>s</w:t>
      </w:r>
      <w:r w:rsidRPr="004C3263">
        <w:rPr>
          <w:rFonts w:cs="Times New Roman"/>
          <w:b/>
        </w:rPr>
        <w:t xml:space="preserve"> – </w:t>
      </w:r>
      <w:r w:rsidR="00582449" w:rsidRPr="004C3263">
        <w:rPr>
          <w:rFonts w:cs="Times New Roman"/>
          <w:b/>
        </w:rPr>
        <w:t>chave:</w:t>
      </w:r>
      <w:r w:rsidR="00582449">
        <w:rPr>
          <w:rFonts w:cs="Times New Roman"/>
        </w:rPr>
        <w:t xml:space="preserve"> </w:t>
      </w:r>
      <w:r w:rsidR="00206A8D">
        <w:rPr>
          <w:rFonts w:cs="Times New Roman"/>
        </w:rPr>
        <w:t xml:space="preserve">corrupção, </w:t>
      </w:r>
      <w:r w:rsidR="001E180C">
        <w:rPr>
          <w:rFonts w:cs="Times New Roman"/>
        </w:rPr>
        <w:t>dados em painel</w:t>
      </w:r>
      <w:r w:rsidRPr="004C3263">
        <w:rPr>
          <w:rFonts w:cs="Times New Roman"/>
        </w:rPr>
        <w:t xml:space="preserve">, </w:t>
      </w:r>
      <w:r w:rsidR="001E180C">
        <w:rPr>
          <w:rFonts w:cs="Times New Roman"/>
        </w:rPr>
        <w:t>determinantes</w:t>
      </w:r>
      <w:r>
        <w:rPr>
          <w:rFonts w:cs="Times New Roman"/>
        </w:rPr>
        <w:t>,</w:t>
      </w:r>
      <w:r w:rsidR="001E180C">
        <w:rPr>
          <w:rFonts w:cs="Times New Roman"/>
        </w:rPr>
        <w:t xml:space="preserve"> divulgação,</w:t>
      </w:r>
      <w:r>
        <w:rPr>
          <w:rFonts w:cs="Times New Roman"/>
        </w:rPr>
        <w:t xml:space="preserve"> índice</w:t>
      </w:r>
      <w:r w:rsidR="00B81FAF">
        <w:rPr>
          <w:rFonts w:cs="Times New Roman"/>
        </w:rPr>
        <w:t xml:space="preserve"> transparência municipal</w:t>
      </w:r>
    </w:p>
    <w:p w14:paraId="7290E7DF" w14:textId="77777777" w:rsidR="006A6AAC" w:rsidRDefault="006A6AAC" w:rsidP="006A6AAC">
      <w:pPr>
        <w:jc w:val="center"/>
        <w:rPr>
          <w:rFonts w:cs="Times New Roman"/>
          <w:b/>
          <w:spacing w:val="20"/>
          <w:sz w:val="28"/>
        </w:rPr>
      </w:pPr>
    </w:p>
    <w:p w14:paraId="3C1C3C37" w14:textId="77777777" w:rsidR="006A6AAC" w:rsidRDefault="006A6AAC" w:rsidP="006A6AAC">
      <w:pPr>
        <w:jc w:val="center"/>
        <w:rPr>
          <w:rFonts w:cs="Times New Roman"/>
          <w:b/>
          <w:spacing w:val="20"/>
          <w:sz w:val="28"/>
        </w:rPr>
      </w:pPr>
    </w:p>
    <w:p w14:paraId="223EDA88" w14:textId="77777777" w:rsidR="006A6AAC" w:rsidRDefault="006A6AAC" w:rsidP="006A6AAC">
      <w:pPr>
        <w:jc w:val="center"/>
        <w:rPr>
          <w:rFonts w:cs="Times New Roman"/>
          <w:b/>
          <w:spacing w:val="20"/>
          <w:sz w:val="28"/>
        </w:rPr>
      </w:pPr>
    </w:p>
    <w:p w14:paraId="38515E60" w14:textId="249E6A49" w:rsidR="00206A8D" w:rsidRDefault="00206A8D" w:rsidP="006A6AAC">
      <w:pPr>
        <w:rPr>
          <w:rFonts w:cs="Times New Roman"/>
          <w:b/>
          <w:spacing w:val="20"/>
          <w:sz w:val="28"/>
        </w:rPr>
      </w:pPr>
    </w:p>
    <w:p w14:paraId="6C602B17" w14:textId="77777777" w:rsidR="00206A8D" w:rsidRDefault="00206A8D" w:rsidP="006A6AAC">
      <w:pPr>
        <w:rPr>
          <w:rFonts w:cs="Times New Roman"/>
          <w:b/>
          <w:spacing w:val="20"/>
          <w:sz w:val="28"/>
        </w:rPr>
      </w:pPr>
    </w:p>
    <w:p w14:paraId="0826FDB1" w14:textId="77777777" w:rsidR="00B81FAF" w:rsidRDefault="00B81FAF" w:rsidP="006A6AAC">
      <w:pPr>
        <w:rPr>
          <w:rFonts w:cs="Times New Roman"/>
          <w:b/>
          <w:spacing w:val="20"/>
          <w:sz w:val="28"/>
        </w:rPr>
      </w:pPr>
    </w:p>
    <w:p w14:paraId="33EF12FD" w14:textId="6A0D0729" w:rsidR="006A6AAC" w:rsidRDefault="006A6AAC" w:rsidP="006A6AAC">
      <w:pPr>
        <w:jc w:val="center"/>
        <w:rPr>
          <w:rFonts w:cs="Times New Roman"/>
          <w:b/>
          <w:spacing w:val="20"/>
          <w:sz w:val="28"/>
          <w:lang w:val="en-US"/>
        </w:rPr>
      </w:pPr>
      <w:r w:rsidRPr="00B41AD3">
        <w:rPr>
          <w:rFonts w:cs="Times New Roman"/>
          <w:b/>
          <w:spacing w:val="20"/>
          <w:sz w:val="28"/>
          <w:lang w:val="en-US"/>
        </w:rPr>
        <w:lastRenderedPageBreak/>
        <w:t>Abstract</w:t>
      </w:r>
    </w:p>
    <w:p w14:paraId="31AAF87E" w14:textId="76A9B598" w:rsidR="00206A8D" w:rsidRPr="00206A8D" w:rsidRDefault="00206A8D" w:rsidP="00206A8D">
      <w:pPr>
        <w:spacing w:line="360" w:lineRule="auto"/>
        <w:jc w:val="both"/>
        <w:rPr>
          <w:rFonts w:cs="Times New Roman"/>
          <w:lang w:val="en-US"/>
        </w:rPr>
      </w:pPr>
      <w:r w:rsidRPr="00206A8D">
        <w:rPr>
          <w:rFonts w:cs="Times New Roman"/>
          <w:lang w:val="en-US"/>
        </w:rPr>
        <w:t>For a healthy democracy</w:t>
      </w:r>
      <w:r>
        <w:rPr>
          <w:rFonts w:cs="Times New Roman"/>
          <w:lang w:val="en-US"/>
        </w:rPr>
        <w:t xml:space="preserve"> and to promote the fight against corruption, transparency becomes a necessary condition in governments. If we focus on governments at the local level the analysis of transparency also becomes essential within the scope of public policies.</w:t>
      </w:r>
    </w:p>
    <w:p w14:paraId="37D10FD9" w14:textId="08F221A6" w:rsidR="006A6AAC" w:rsidRDefault="006A6AAC" w:rsidP="006A6AAC">
      <w:pPr>
        <w:spacing w:line="360" w:lineRule="auto"/>
        <w:jc w:val="both"/>
        <w:rPr>
          <w:rFonts w:cs="Times New Roman"/>
          <w:lang w:val="en-US"/>
        </w:rPr>
      </w:pPr>
      <w:r>
        <w:rPr>
          <w:rFonts w:cs="Times New Roman"/>
          <w:lang w:val="en-US"/>
        </w:rPr>
        <w:t>It is calculated annually, by Transparency and Integrity – Civic Association</w:t>
      </w:r>
      <w:r w:rsidR="00962182">
        <w:rPr>
          <w:rFonts w:cs="Times New Roman"/>
          <w:lang w:val="en-US"/>
        </w:rPr>
        <w:t xml:space="preserve">, </w:t>
      </w:r>
      <w:r>
        <w:rPr>
          <w:rFonts w:cs="Times New Roman"/>
          <w:lang w:val="en-US"/>
        </w:rPr>
        <w:t>the Municipal Transparency Index which indicates,</w:t>
      </w:r>
      <w:r w:rsidR="00206A8D">
        <w:rPr>
          <w:rFonts w:ascii="Arial" w:hAnsi="Arial" w:cs="Arial"/>
          <w:color w:val="202124"/>
          <w:sz w:val="42"/>
          <w:szCs w:val="42"/>
          <w:shd w:val="clear" w:color="auto" w:fill="F8F9FA"/>
          <w:lang w:val="en-US"/>
        </w:rPr>
        <w:t xml:space="preserve"> </w:t>
      </w:r>
      <w:r w:rsidR="00206A8D" w:rsidRPr="00206A8D">
        <w:rPr>
          <w:rFonts w:cs="Times New Roman"/>
          <w:lang w:val="en-US"/>
        </w:rPr>
        <w:t>through data released by municipalities</w:t>
      </w:r>
      <w:r w:rsidR="00206A8D">
        <w:rPr>
          <w:rFonts w:cs="Times New Roman"/>
          <w:lang w:val="en-US"/>
        </w:rPr>
        <w:t>, on</w:t>
      </w:r>
      <w:r>
        <w:rPr>
          <w:rFonts w:cs="Times New Roman"/>
          <w:lang w:val="en-US"/>
        </w:rPr>
        <w:t xml:space="preserve"> a scale of 0 to 100, the level of transparency of each municipality. </w:t>
      </w:r>
      <w:r w:rsidR="00113672">
        <w:rPr>
          <w:rFonts w:cs="Times New Roman"/>
          <w:lang w:val="en-US"/>
        </w:rPr>
        <w:t>T</w:t>
      </w:r>
      <w:r>
        <w:rPr>
          <w:rFonts w:cs="Times New Roman"/>
          <w:lang w:val="en-US"/>
        </w:rPr>
        <w:t>his dissertation aims to analyze the determinants that influence this index for a period from 2013 to 2017.</w:t>
      </w:r>
    </w:p>
    <w:p w14:paraId="6A59D544" w14:textId="507BA7DB" w:rsidR="006A6AAC" w:rsidRDefault="006A6AAC" w:rsidP="006A6AAC">
      <w:pPr>
        <w:spacing w:line="360" w:lineRule="auto"/>
        <w:jc w:val="both"/>
        <w:rPr>
          <w:rFonts w:cs="Times New Roman"/>
          <w:lang w:val="en-US"/>
        </w:rPr>
      </w:pPr>
      <w:r>
        <w:rPr>
          <w:rFonts w:cs="Times New Roman"/>
          <w:lang w:val="en-US"/>
        </w:rPr>
        <w:t xml:space="preserve">To carry out the study, was used descriptive analysis and the multiple linear regression model </w:t>
      </w:r>
      <w:r w:rsidR="00603AD8">
        <w:rPr>
          <w:rFonts w:cs="Times New Roman"/>
          <w:lang w:val="en-US"/>
        </w:rPr>
        <w:t xml:space="preserve">for </w:t>
      </w:r>
      <w:r>
        <w:rPr>
          <w:rFonts w:cs="Times New Roman"/>
          <w:lang w:val="en-US"/>
        </w:rPr>
        <w:t xml:space="preserve">panel data through a set of data </w:t>
      </w:r>
      <w:r w:rsidR="00603AD8">
        <w:rPr>
          <w:rFonts w:cs="Times New Roman"/>
          <w:lang w:val="en-US"/>
        </w:rPr>
        <w:t>available at</w:t>
      </w:r>
      <w:r>
        <w:rPr>
          <w:rFonts w:cs="Times New Roman"/>
          <w:lang w:val="en-US"/>
        </w:rPr>
        <w:t xml:space="preserve"> the National Statistics Institute</w:t>
      </w:r>
      <w:r w:rsidR="00962182">
        <w:rPr>
          <w:rFonts w:cs="Times New Roman"/>
          <w:lang w:val="en-US"/>
        </w:rPr>
        <w:t xml:space="preserve">, </w:t>
      </w:r>
      <w:r>
        <w:rPr>
          <w:rFonts w:cs="Times New Roman"/>
          <w:lang w:val="en-US"/>
        </w:rPr>
        <w:t>PORDATA and the General Directorate of Local Authorities</w:t>
      </w:r>
      <w:r w:rsidR="00962182">
        <w:rPr>
          <w:rFonts w:cs="Times New Roman"/>
          <w:lang w:val="en-US"/>
        </w:rPr>
        <w:t>.</w:t>
      </w:r>
    </w:p>
    <w:p w14:paraId="13577EF4" w14:textId="32E36469" w:rsidR="006A6AAC" w:rsidRPr="00D34695" w:rsidRDefault="006A6AAC" w:rsidP="006A6AAC">
      <w:pPr>
        <w:spacing w:line="360" w:lineRule="auto"/>
        <w:jc w:val="both"/>
        <w:rPr>
          <w:rFonts w:cs="Times New Roman"/>
          <w:lang w:val="en-US"/>
        </w:rPr>
      </w:pPr>
      <w:r>
        <w:rPr>
          <w:rFonts w:cs="Times New Roman"/>
          <w:lang w:val="en-US"/>
        </w:rPr>
        <w:t xml:space="preserve">As the main conclusion of the investigation carried out, it is deduced that </w:t>
      </w:r>
      <w:r w:rsidR="00603AD8">
        <w:rPr>
          <w:rFonts w:cs="Times New Roman"/>
          <w:lang w:val="en-US"/>
        </w:rPr>
        <w:t>such</w:t>
      </w:r>
      <w:r>
        <w:rPr>
          <w:rFonts w:cs="Times New Roman"/>
          <w:lang w:val="en-US"/>
        </w:rPr>
        <w:t xml:space="preserve"> variables </w:t>
      </w:r>
      <w:r w:rsidR="00603AD8">
        <w:rPr>
          <w:rFonts w:cs="Times New Roman"/>
          <w:lang w:val="en-US"/>
        </w:rPr>
        <w:t xml:space="preserve">as </w:t>
      </w:r>
      <w:r w:rsidR="00221957">
        <w:rPr>
          <w:rFonts w:cs="Times New Roman"/>
          <w:lang w:val="en-US"/>
        </w:rPr>
        <w:t>i</w:t>
      </w:r>
      <w:r>
        <w:rPr>
          <w:rFonts w:cs="Times New Roman"/>
          <w:lang w:val="en-US"/>
        </w:rPr>
        <w:t xml:space="preserve">deology of the </w:t>
      </w:r>
      <w:r w:rsidR="00221957">
        <w:rPr>
          <w:rFonts w:cs="Times New Roman"/>
          <w:lang w:val="en-US"/>
        </w:rPr>
        <w:t>p</w:t>
      </w:r>
      <w:r>
        <w:rPr>
          <w:rFonts w:cs="Times New Roman"/>
          <w:lang w:val="en-US"/>
        </w:rPr>
        <w:t xml:space="preserve">olitical </w:t>
      </w:r>
      <w:r w:rsidR="00221957">
        <w:rPr>
          <w:rFonts w:cs="Times New Roman"/>
          <w:lang w:val="en-US"/>
        </w:rPr>
        <w:t>p</w:t>
      </w:r>
      <w:r>
        <w:rPr>
          <w:rFonts w:cs="Times New Roman"/>
          <w:lang w:val="en-US"/>
        </w:rPr>
        <w:t>arty,</w:t>
      </w:r>
      <w:r w:rsidR="00925ED7">
        <w:rPr>
          <w:rFonts w:cs="Times New Roman"/>
          <w:lang w:val="en-US"/>
        </w:rPr>
        <w:t xml:space="preserve"> the </w:t>
      </w:r>
      <w:r w:rsidR="00221957">
        <w:rPr>
          <w:rFonts w:cs="Times New Roman"/>
          <w:lang w:val="en-US"/>
        </w:rPr>
        <w:t>i</w:t>
      </w:r>
      <w:r w:rsidR="00925ED7">
        <w:rPr>
          <w:rFonts w:cs="Times New Roman"/>
          <w:lang w:val="en-US"/>
        </w:rPr>
        <w:t xml:space="preserve">ndebtedness </w:t>
      </w:r>
      <w:r w:rsidR="00221957">
        <w:rPr>
          <w:rFonts w:cs="Times New Roman"/>
          <w:lang w:val="en-US"/>
        </w:rPr>
        <w:t>v</w:t>
      </w:r>
      <w:r w:rsidR="00925ED7">
        <w:rPr>
          <w:rFonts w:cs="Times New Roman"/>
          <w:lang w:val="en-US"/>
        </w:rPr>
        <w:t>alue,</w:t>
      </w:r>
      <w:r>
        <w:rPr>
          <w:rFonts w:cs="Times New Roman"/>
          <w:lang w:val="en-US"/>
        </w:rPr>
        <w:t xml:space="preserve"> the </w:t>
      </w:r>
      <w:r w:rsidR="00506E82">
        <w:rPr>
          <w:rFonts w:cs="Times New Roman"/>
          <w:lang w:val="en-US"/>
        </w:rPr>
        <w:t xml:space="preserve">effective expenditure </w:t>
      </w:r>
      <w:r w:rsidR="00506E82" w:rsidRPr="00506E82">
        <w:rPr>
          <w:rFonts w:cs="Times New Roman"/>
          <w:i/>
          <w:iCs/>
          <w:lang w:val="en-US"/>
        </w:rPr>
        <w:t>per capita</w:t>
      </w:r>
      <w:r>
        <w:rPr>
          <w:rFonts w:cs="Times New Roman"/>
          <w:lang w:val="en-US"/>
        </w:rPr>
        <w:t>,</w:t>
      </w:r>
      <w:r w:rsidR="00925ED7">
        <w:rPr>
          <w:rFonts w:cs="Times New Roman"/>
          <w:lang w:val="en-US"/>
        </w:rPr>
        <w:t xml:space="preserve"> the </w:t>
      </w:r>
      <w:r w:rsidR="00221957">
        <w:rPr>
          <w:rFonts w:cs="Times New Roman"/>
          <w:lang w:val="en-US"/>
        </w:rPr>
        <w:t>r</w:t>
      </w:r>
      <w:r w:rsidR="00925ED7">
        <w:rPr>
          <w:rFonts w:cs="Times New Roman"/>
          <w:lang w:val="en-US"/>
        </w:rPr>
        <w:t xml:space="preserve">esident </w:t>
      </w:r>
      <w:r w:rsidR="00221957">
        <w:rPr>
          <w:rFonts w:cs="Times New Roman"/>
          <w:lang w:val="en-US"/>
        </w:rPr>
        <w:t>p</w:t>
      </w:r>
      <w:r w:rsidR="00925ED7">
        <w:rPr>
          <w:rFonts w:cs="Times New Roman"/>
          <w:lang w:val="en-US"/>
        </w:rPr>
        <w:t>opulation</w:t>
      </w:r>
      <w:r w:rsidR="000E127E">
        <w:rPr>
          <w:rFonts w:cs="Times New Roman"/>
          <w:lang w:val="en-US"/>
        </w:rPr>
        <w:t xml:space="preserve">, </w:t>
      </w:r>
      <w:r w:rsidR="00320DBF">
        <w:rPr>
          <w:rFonts w:cs="Times New Roman"/>
          <w:lang w:val="en-US"/>
        </w:rPr>
        <w:t xml:space="preserve">elderly population rate, </w:t>
      </w:r>
      <w:r>
        <w:rPr>
          <w:rFonts w:cs="Times New Roman"/>
          <w:lang w:val="en-US"/>
        </w:rPr>
        <w:t xml:space="preserve">the </w:t>
      </w:r>
      <w:r w:rsidR="00221957">
        <w:rPr>
          <w:rFonts w:cs="Times New Roman"/>
          <w:lang w:val="en-US"/>
        </w:rPr>
        <w:t>u</w:t>
      </w:r>
      <w:r w:rsidR="00925ED7">
        <w:rPr>
          <w:rFonts w:cs="Times New Roman"/>
          <w:lang w:val="en-US"/>
        </w:rPr>
        <w:t>nemployment</w:t>
      </w:r>
      <w:r w:rsidR="00320DBF">
        <w:rPr>
          <w:rFonts w:cs="Times New Roman"/>
          <w:lang w:val="en-US"/>
        </w:rPr>
        <w:t xml:space="preserve"> and the abstention percentage</w:t>
      </w:r>
      <w:r>
        <w:rPr>
          <w:rFonts w:cs="Times New Roman"/>
          <w:lang w:val="en-US"/>
        </w:rPr>
        <w:t xml:space="preserve"> </w:t>
      </w:r>
      <w:r w:rsidR="00221957">
        <w:rPr>
          <w:rFonts w:cs="Times New Roman"/>
          <w:lang w:val="en-US"/>
        </w:rPr>
        <w:t>r</w:t>
      </w:r>
      <w:r>
        <w:rPr>
          <w:rFonts w:cs="Times New Roman"/>
          <w:lang w:val="en-US"/>
        </w:rPr>
        <w:t xml:space="preserve">ate of the municipalities demonstrated to be statistically significant as determinants </w:t>
      </w:r>
      <w:r w:rsidR="00603AD8">
        <w:rPr>
          <w:rFonts w:cs="Times New Roman"/>
          <w:lang w:val="en-US"/>
        </w:rPr>
        <w:t xml:space="preserve">of </w:t>
      </w:r>
      <w:r>
        <w:rPr>
          <w:rFonts w:cs="Times New Roman"/>
          <w:lang w:val="en-US"/>
        </w:rPr>
        <w:t>the level of municipal transparency for the 308 Portuguese Municipalities included in the study.</w:t>
      </w:r>
    </w:p>
    <w:p w14:paraId="1EAE03AD" w14:textId="77777777" w:rsidR="006A6AAC" w:rsidRPr="00954DEA" w:rsidRDefault="006A6AAC" w:rsidP="006A6AAC">
      <w:pPr>
        <w:spacing w:line="360" w:lineRule="auto"/>
        <w:jc w:val="both"/>
        <w:rPr>
          <w:rFonts w:cs="Times New Roman"/>
          <w:lang w:val="en-US"/>
        </w:rPr>
      </w:pPr>
    </w:p>
    <w:p w14:paraId="14CFBDB2" w14:textId="6CAA03B7" w:rsidR="006A6AAC" w:rsidRPr="006A6AAC" w:rsidRDefault="006A6AAC" w:rsidP="001E180C">
      <w:pPr>
        <w:pStyle w:val="HTMLpr-formatado"/>
        <w:shd w:val="clear" w:color="auto" w:fill="FFFFFF"/>
        <w:spacing w:line="360" w:lineRule="auto"/>
        <w:ind w:left="1985" w:hanging="1985"/>
        <w:rPr>
          <w:rFonts w:ascii="Times New Roman" w:eastAsiaTheme="minorHAnsi" w:hAnsi="Times New Roman" w:cs="Times New Roman"/>
          <w:sz w:val="24"/>
          <w:szCs w:val="22"/>
          <w:lang w:val="en-US"/>
        </w:rPr>
      </w:pPr>
      <w:proofErr w:type="gramStart"/>
      <w:r w:rsidRPr="006A6AAC">
        <w:rPr>
          <w:rFonts w:ascii="Times New Roman" w:eastAsiaTheme="minorHAnsi" w:hAnsi="Times New Roman" w:cs="Times New Roman"/>
          <w:b/>
          <w:sz w:val="24"/>
          <w:szCs w:val="22"/>
          <w:lang w:val="en-US"/>
        </w:rPr>
        <w:t>Key-word</w:t>
      </w:r>
      <w:r w:rsidR="00603AD8">
        <w:rPr>
          <w:rFonts w:ascii="Times New Roman" w:eastAsiaTheme="minorHAnsi" w:hAnsi="Times New Roman" w:cs="Times New Roman"/>
          <w:b/>
          <w:sz w:val="24"/>
          <w:szCs w:val="22"/>
          <w:lang w:val="en-US"/>
        </w:rPr>
        <w:t>s</w:t>
      </w:r>
      <w:proofErr w:type="gramEnd"/>
      <w:r w:rsidRPr="006A6AAC">
        <w:rPr>
          <w:rFonts w:ascii="Times New Roman" w:eastAsiaTheme="minorHAnsi" w:hAnsi="Times New Roman" w:cs="Times New Roman"/>
          <w:b/>
          <w:sz w:val="24"/>
          <w:szCs w:val="22"/>
          <w:lang w:val="en-US"/>
        </w:rPr>
        <w:t xml:space="preserve">: </w:t>
      </w:r>
      <w:r w:rsidR="00206A8D" w:rsidRPr="00206A8D">
        <w:rPr>
          <w:rFonts w:ascii="Times New Roman" w:eastAsiaTheme="minorHAnsi" w:hAnsi="Times New Roman" w:cs="Times New Roman"/>
          <w:sz w:val="24"/>
          <w:szCs w:val="22"/>
          <w:lang w:val="en-US"/>
        </w:rPr>
        <w:t xml:space="preserve">corruption, </w:t>
      </w:r>
      <w:r w:rsidR="001E180C">
        <w:rPr>
          <w:rFonts w:ascii="Times New Roman" w:eastAsiaTheme="minorHAnsi" w:hAnsi="Times New Roman" w:cs="Times New Roman"/>
          <w:sz w:val="24"/>
          <w:szCs w:val="22"/>
          <w:lang w:val="en-US"/>
        </w:rPr>
        <w:t xml:space="preserve">panel data, determinants, </w:t>
      </w:r>
      <w:r w:rsidRPr="006A6AAC">
        <w:rPr>
          <w:rFonts w:ascii="Times New Roman" w:eastAsiaTheme="minorHAnsi" w:hAnsi="Times New Roman" w:cs="Times New Roman"/>
          <w:sz w:val="24"/>
          <w:szCs w:val="22"/>
          <w:lang w:val="en-US"/>
        </w:rPr>
        <w:t xml:space="preserve">disclosure, </w:t>
      </w:r>
      <w:r w:rsidR="00B81FAF">
        <w:rPr>
          <w:rFonts w:ascii="Times New Roman" w:eastAsiaTheme="minorHAnsi" w:hAnsi="Times New Roman" w:cs="Times New Roman"/>
          <w:sz w:val="24"/>
          <w:szCs w:val="22"/>
          <w:lang w:val="en-US"/>
        </w:rPr>
        <w:t xml:space="preserve">municipal transparency </w:t>
      </w:r>
      <w:r w:rsidRPr="006A6AAC">
        <w:rPr>
          <w:rFonts w:ascii="Times New Roman" w:eastAsiaTheme="minorHAnsi" w:hAnsi="Times New Roman" w:cs="Times New Roman"/>
          <w:sz w:val="24"/>
          <w:szCs w:val="22"/>
          <w:lang w:val="en-US"/>
        </w:rPr>
        <w:t>index</w:t>
      </w:r>
    </w:p>
    <w:p w14:paraId="00AD11D6" w14:textId="77777777" w:rsidR="006A6AAC" w:rsidRPr="006A6AAC" w:rsidRDefault="006A6AAC" w:rsidP="001E180C">
      <w:pPr>
        <w:pStyle w:val="HTMLpr-formatado"/>
        <w:shd w:val="clear" w:color="auto" w:fill="FFFFFF"/>
        <w:spacing w:line="360" w:lineRule="auto"/>
        <w:rPr>
          <w:rFonts w:ascii="Times New Roman" w:eastAsiaTheme="minorHAnsi" w:hAnsi="Times New Roman" w:cs="Times New Roman"/>
          <w:sz w:val="24"/>
          <w:szCs w:val="22"/>
          <w:lang w:val="en-US"/>
        </w:rPr>
      </w:pPr>
    </w:p>
    <w:p w14:paraId="0A91ECC0" w14:textId="77777777" w:rsidR="006A6AAC" w:rsidRPr="00B41AD3" w:rsidRDefault="006A6AAC" w:rsidP="006A6AAC">
      <w:pPr>
        <w:rPr>
          <w:lang w:val="en-US"/>
        </w:rPr>
      </w:pPr>
    </w:p>
    <w:p w14:paraId="31CD15E7" w14:textId="588FE08B" w:rsidR="006A6AAC" w:rsidRDefault="006A6AAC" w:rsidP="00AD4D09">
      <w:pPr>
        <w:pStyle w:val="Cabealhodondice"/>
        <w:spacing w:line="360" w:lineRule="auto"/>
        <w:rPr>
          <w:rFonts w:ascii="Times New Roman" w:eastAsiaTheme="minorHAnsi" w:hAnsi="Times New Roman" w:cs="Times New Roman"/>
          <w:bCs w:val="0"/>
          <w:color w:val="auto"/>
          <w:szCs w:val="22"/>
          <w:lang w:val="en-US"/>
        </w:rPr>
      </w:pPr>
    </w:p>
    <w:p w14:paraId="22A60A84" w14:textId="77777777" w:rsidR="00AD4D09" w:rsidRPr="00AD4D09" w:rsidRDefault="00AD4D09" w:rsidP="00AD4D09">
      <w:pPr>
        <w:rPr>
          <w:lang w:val="en-US"/>
        </w:rPr>
      </w:pPr>
    </w:p>
    <w:p w14:paraId="6AA3AD1F" w14:textId="24356750" w:rsidR="002F2D70" w:rsidRDefault="002F2D70" w:rsidP="002F2D70">
      <w:pPr>
        <w:rPr>
          <w:lang w:val="en-US"/>
        </w:rPr>
      </w:pPr>
    </w:p>
    <w:p w14:paraId="0E3AEAE4" w14:textId="77777777" w:rsidR="00CE45E8" w:rsidRDefault="00CE45E8" w:rsidP="006A6AAC">
      <w:pPr>
        <w:rPr>
          <w:lang w:val="en-US"/>
        </w:rPr>
      </w:pPr>
    </w:p>
    <w:p w14:paraId="735E8CFB" w14:textId="77777777" w:rsidR="00266F84" w:rsidRDefault="00266F84" w:rsidP="006A6AAC">
      <w:pPr>
        <w:rPr>
          <w:lang w:val="en-US"/>
        </w:rPr>
      </w:pPr>
    </w:p>
    <w:sdt>
      <w:sdtPr>
        <w:rPr>
          <w:rFonts w:asciiTheme="minorHAnsi" w:eastAsiaTheme="minorHAnsi" w:hAnsiTheme="minorHAnsi" w:cstheme="minorBidi"/>
          <w:b w:val="0"/>
          <w:bCs w:val="0"/>
          <w:color w:val="auto"/>
          <w:spacing w:val="0"/>
          <w:sz w:val="22"/>
          <w:szCs w:val="22"/>
        </w:rPr>
        <w:id w:val="-285747653"/>
        <w:docPartObj>
          <w:docPartGallery w:val="Table of Contents"/>
          <w:docPartUnique/>
        </w:docPartObj>
      </w:sdtPr>
      <w:sdtEndPr>
        <w:rPr>
          <w:rFonts w:ascii="Times New Roman" w:hAnsi="Times New Roman"/>
          <w:sz w:val="24"/>
        </w:rPr>
      </w:sdtEndPr>
      <w:sdtContent>
        <w:p w14:paraId="163D4C70" w14:textId="48AA0F19" w:rsidR="006A6AAC" w:rsidRPr="006A6AAC" w:rsidRDefault="00025AC7" w:rsidP="006A6AAC">
          <w:pPr>
            <w:pStyle w:val="Cabealhodondice"/>
            <w:spacing w:line="360" w:lineRule="auto"/>
            <w:jc w:val="center"/>
            <w:rPr>
              <w:rFonts w:ascii="Times New Roman" w:hAnsi="Times New Roman" w:cs="Times New Roman"/>
              <w:color w:val="auto"/>
              <w:szCs w:val="24"/>
            </w:rPr>
          </w:pPr>
          <w:r w:rsidRPr="00025AC7">
            <w:rPr>
              <w:rFonts w:ascii="Times New Roman" w:hAnsi="Times New Roman" w:cs="Times New Roman"/>
              <w:color w:val="auto"/>
              <w:szCs w:val="24"/>
            </w:rPr>
            <w:t>Índice</w:t>
          </w:r>
        </w:p>
        <w:bookmarkStart w:id="1" w:name="_Hlk54373658"/>
        <w:p w14:paraId="1C3BB1BB" w14:textId="25CC50B6" w:rsidR="00E054BB" w:rsidRDefault="00025AC7">
          <w:pPr>
            <w:pStyle w:val="ndice1"/>
            <w:rPr>
              <w:rFonts w:asciiTheme="minorHAnsi" w:hAnsiTheme="minorHAnsi"/>
              <w:noProof/>
              <w:sz w:val="22"/>
              <w:lang w:eastAsia="pt-PT"/>
            </w:rPr>
          </w:pPr>
          <w:r w:rsidRPr="00025AC7">
            <w:rPr>
              <w:rFonts w:cs="Times New Roman"/>
              <w:szCs w:val="24"/>
            </w:rPr>
            <w:fldChar w:fldCharType="begin"/>
          </w:r>
          <w:r w:rsidRPr="00025AC7">
            <w:rPr>
              <w:rFonts w:cs="Times New Roman"/>
              <w:szCs w:val="24"/>
            </w:rPr>
            <w:instrText xml:space="preserve"> TOC \o "1-3" \h \z \u </w:instrText>
          </w:r>
          <w:r w:rsidRPr="00025AC7">
            <w:rPr>
              <w:rFonts w:cs="Times New Roman"/>
              <w:szCs w:val="24"/>
            </w:rPr>
            <w:fldChar w:fldCharType="separate"/>
          </w:r>
          <w:hyperlink w:anchor="_Toc66624184" w:history="1">
            <w:r w:rsidR="00E054BB" w:rsidRPr="004B09D8">
              <w:rPr>
                <w:rStyle w:val="Hiperligao"/>
                <w:noProof/>
              </w:rPr>
              <w:t>Índice de Tabelas</w:t>
            </w:r>
            <w:r w:rsidR="00E054BB">
              <w:rPr>
                <w:noProof/>
                <w:webHidden/>
              </w:rPr>
              <w:tab/>
            </w:r>
            <w:r w:rsidR="00E054BB">
              <w:rPr>
                <w:noProof/>
                <w:webHidden/>
              </w:rPr>
              <w:fldChar w:fldCharType="begin"/>
            </w:r>
            <w:r w:rsidR="00E054BB">
              <w:rPr>
                <w:noProof/>
                <w:webHidden/>
              </w:rPr>
              <w:instrText xml:space="preserve"> PAGEREF _Toc66624184 \h </w:instrText>
            </w:r>
            <w:r w:rsidR="00E054BB">
              <w:rPr>
                <w:noProof/>
                <w:webHidden/>
              </w:rPr>
            </w:r>
            <w:r w:rsidR="00E054BB">
              <w:rPr>
                <w:noProof/>
                <w:webHidden/>
              </w:rPr>
              <w:fldChar w:fldCharType="separate"/>
            </w:r>
            <w:r w:rsidR="00380A6F">
              <w:rPr>
                <w:noProof/>
                <w:webHidden/>
              </w:rPr>
              <w:t>XI</w:t>
            </w:r>
            <w:r w:rsidR="00E054BB">
              <w:rPr>
                <w:noProof/>
                <w:webHidden/>
              </w:rPr>
              <w:fldChar w:fldCharType="end"/>
            </w:r>
          </w:hyperlink>
        </w:p>
        <w:p w14:paraId="391E1851" w14:textId="3A280D29" w:rsidR="00E054BB" w:rsidRDefault="00E054BB">
          <w:pPr>
            <w:pStyle w:val="ndice1"/>
            <w:rPr>
              <w:rFonts w:asciiTheme="minorHAnsi" w:hAnsiTheme="minorHAnsi"/>
              <w:noProof/>
              <w:sz w:val="22"/>
              <w:lang w:eastAsia="pt-PT"/>
            </w:rPr>
          </w:pPr>
          <w:hyperlink w:anchor="_Toc66624185" w:history="1">
            <w:r w:rsidRPr="004B09D8">
              <w:rPr>
                <w:rStyle w:val="Hiperligao"/>
                <w:noProof/>
              </w:rPr>
              <w:t>Índice de Gráficos</w:t>
            </w:r>
            <w:r>
              <w:rPr>
                <w:noProof/>
                <w:webHidden/>
              </w:rPr>
              <w:tab/>
            </w:r>
            <w:r>
              <w:rPr>
                <w:noProof/>
                <w:webHidden/>
              </w:rPr>
              <w:fldChar w:fldCharType="begin"/>
            </w:r>
            <w:r>
              <w:rPr>
                <w:noProof/>
                <w:webHidden/>
              </w:rPr>
              <w:instrText xml:space="preserve"> PAGEREF _Toc66624185 \h </w:instrText>
            </w:r>
            <w:r>
              <w:rPr>
                <w:noProof/>
                <w:webHidden/>
              </w:rPr>
            </w:r>
            <w:r>
              <w:rPr>
                <w:noProof/>
                <w:webHidden/>
              </w:rPr>
              <w:fldChar w:fldCharType="separate"/>
            </w:r>
            <w:r w:rsidR="00380A6F">
              <w:rPr>
                <w:noProof/>
                <w:webHidden/>
              </w:rPr>
              <w:t>XII</w:t>
            </w:r>
            <w:r>
              <w:rPr>
                <w:noProof/>
                <w:webHidden/>
              </w:rPr>
              <w:fldChar w:fldCharType="end"/>
            </w:r>
          </w:hyperlink>
        </w:p>
        <w:p w14:paraId="5297BCE8" w14:textId="2E955294" w:rsidR="00E054BB" w:rsidRDefault="00E054BB">
          <w:pPr>
            <w:pStyle w:val="ndice1"/>
            <w:rPr>
              <w:rFonts w:asciiTheme="minorHAnsi" w:hAnsiTheme="minorHAnsi"/>
              <w:noProof/>
              <w:sz w:val="22"/>
              <w:lang w:eastAsia="pt-PT"/>
            </w:rPr>
          </w:pPr>
          <w:hyperlink w:anchor="_Toc66624186" w:history="1">
            <w:r w:rsidRPr="004B09D8">
              <w:rPr>
                <w:rStyle w:val="Hiperligao"/>
                <w:noProof/>
              </w:rPr>
              <w:t>Índice de Quadros</w:t>
            </w:r>
            <w:r>
              <w:rPr>
                <w:noProof/>
                <w:webHidden/>
              </w:rPr>
              <w:tab/>
            </w:r>
            <w:r>
              <w:rPr>
                <w:noProof/>
                <w:webHidden/>
              </w:rPr>
              <w:fldChar w:fldCharType="begin"/>
            </w:r>
            <w:r>
              <w:rPr>
                <w:noProof/>
                <w:webHidden/>
              </w:rPr>
              <w:instrText xml:space="preserve"> PAGEREF _Toc66624186 \h </w:instrText>
            </w:r>
            <w:r>
              <w:rPr>
                <w:noProof/>
                <w:webHidden/>
              </w:rPr>
            </w:r>
            <w:r>
              <w:rPr>
                <w:noProof/>
                <w:webHidden/>
              </w:rPr>
              <w:fldChar w:fldCharType="separate"/>
            </w:r>
            <w:r w:rsidR="00380A6F">
              <w:rPr>
                <w:noProof/>
                <w:webHidden/>
              </w:rPr>
              <w:t>XIII</w:t>
            </w:r>
            <w:r>
              <w:rPr>
                <w:noProof/>
                <w:webHidden/>
              </w:rPr>
              <w:fldChar w:fldCharType="end"/>
            </w:r>
          </w:hyperlink>
        </w:p>
        <w:p w14:paraId="2236F630" w14:textId="246AAA20" w:rsidR="00E054BB" w:rsidRDefault="00E054BB">
          <w:pPr>
            <w:pStyle w:val="ndice1"/>
            <w:rPr>
              <w:rFonts w:asciiTheme="minorHAnsi" w:hAnsiTheme="minorHAnsi"/>
              <w:noProof/>
              <w:sz w:val="22"/>
              <w:lang w:eastAsia="pt-PT"/>
            </w:rPr>
          </w:pPr>
          <w:hyperlink w:anchor="_Toc66624187" w:history="1">
            <w:r w:rsidRPr="004B09D8">
              <w:rPr>
                <w:rStyle w:val="Hiperligao"/>
                <w:noProof/>
              </w:rPr>
              <w:t>Lista de Abreviaturas</w:t>
            </w:r>
            <w:r>
              <w:rPr>
                <w:noProof/>
                <w:webHidden/>
              </w:rPr>
              <w:tab/>
            </w:r>
            <w:r>
              <w:rPr>
                <w:noProof/>
                <w:webHidden/>
              </w:rPr>
              <w:fldChar w:fldCharType="begin"/>
            </w:r>
            <w:r>
              <w:rPr>
                <w:noProof/>
                <w:webHidden/>
              </w:rPr>
              <w:instrText xml:space="preserve"> PAGEREF _Toc66624187 \h </w:instrText>
            </w:r>
            <w:r>
              <w:rPr>
                <w:noProof/>
                <w:webHidden/>
              </w:rPr>
            </w:r>
            <w:r>
              <w:rPr>
                <w:noProof/>
                <w:webHidden/>
              </w:rPr>
              <w:fldChar w:fldCharType="separate"/>
            </w:r>
            <w:r w:rsidR="00380A6F">
              <w:rPr>
                <w:noProof/>
                <w:webHidden/>
              </w:rPr>
              <w:t>XIV</w:t>
            </w:r>
            <w:r>
              <w:rPr>
                <w:noProof/>
                <w:webHidden/>
              </w:rPr>
              <w:fldChar w:fldCharType="end"/>
            </w:r>
          </w:hyperlink>
        </w:p>
        <w:p w14:paraId="318F441D" w14:textId="3B2D5E94" w:rsidR="00E054BB" w:rsidRDefault="00E054BB">
          <w:pPr>
            <w:pStyle w:val="ndice1"/>
            <w:tabs>
              <w:tab w:val="left" w:pos="440"/>
            </w:tabs>
            <w:rPr>
              <w:rFonts w:asciiTheme="minorHAnsi" w:hAnsiTheme="minorHAnsi"/>
              <w:noProof/>
              <w:sz w:val="22"/>
              <w:lang w:eastAsia="pt-PT"/>
            </w:rPr>
          </w:pPr>
          <w:hyperlink w:anchor="_Toc66624188" w:history="1">
            <w:r w:rsidRPr="004B09D8">
              <w:rPr>
                <w:rStyle w:val="Hiperligao"/>
                <w:noProof/>
              </w:rPr>
              <w:t>1.</w:t>
            </w:r>
            <w:r>
              <w:rPr>
                <w:rFonts w:asciiTheme="minorHAnsi" w:hAnsiTheme="minorHAnsi"/>
                <w:noProof/>
                <w:sz w:val="22"/>
                <w:lang w:eastAsia="pt-PT"/>
              </w:rPr>
              <w:tab/>
            </w:r>
            <w:r w:rsidRPr="004B09D8">
              <w:rPr>
                <w:rStyle w:val="Hiperligao"/>
                <w:noProof/>
              </w:rPr>
              <w:t>Introdução</w:t>
            </w:r>
            <w:r>
              <w:rPr>
                <w:noProof/>
                <w:webHidden/>
              </w:rPr>
              <w:tab/>
            </w:r>
            <w:r>
              <w:rPr>
                <w:noProof/>
                <w:webHidden/>
              </w:rPr>
              <w:fldChar w:fldCharType="begin"/>
            </w:r>
            <w:r>
              <w:rPr>
                <w:noProof/>
                <w:webHidden/>
              </w:rPr>
              <w:instrText xml:space="preserve"> PAGEREF _Toc66624188 \h </w:instrText>
            </w:r>
            <w:r>
              <w:rPr>
                <w:noProof/>
                <w:webHidden/>
              </w:rPr>
            </w:r>
            <w:r>
              <w:rPr>
                <w:noProof/>
                <w:webHidden/>
              </w:rPr>
              <w:fldChar w:fldCharType="separate"/>
            </w:r>
            <w:r w:rsidR="00380A6F">
              <w:rPr>
                <w:noProof/>
                <w:webHidden/>
              </w:rPr>
              <w:t>1</w:t>
            </w:r>
            <w:r>
              <w:rPr>
                <w:noProof/>
                <w:webHidden/>
              </w:rPr>
              <w:fldChar w:fldCharType="end"/>
            </w:r>
          </w:hyperlink>
        </w:p>
        <w:p w14:paraId="6034DA9C" w14:textId="3E23850E" w:rsidR="00E054BB" w:rsidRDefault="00E054BB">
          <w:pPr>
            <w:pStyle w:val="ndice2"/>
            <w:rPr>
              <w:rFonts w:asciiTheme="minorHAnsi" w:hAnsiTheme="minorHAnsi"/>
              <w:noProof/>
              <w:sz w:val="22"/>
              <w:lang w:eastAsia="pt-PT"/>
            </w:rPr>
          </w:pPr>
          <w:hyperlink w:anchor="_Toc66624189" w:history="1">
            <w:r w:rsidRPr="004B09D8">
              <w:rPr>
                <w:rStyle w:val="Hiperligao"/>
                <w:noProof/>
              </w:rPr>
              <w:t>1.1.</w:t>
            </w:r>
            <w:r>
              <w:rPr>
                <w:rFonts w:asciiTheme="minorHAnsi" w:hAnsiTheme="minorHAnsi"/>
                <w:noProof/>
                <w:sz w:val="22"/>
                <w:lang w:eastAsia="pt-PT"/>
              </w:rPr>
              <w:tab/>
            </w:r>
            <w:r w:rsidRPr="004B09D8">
              <w:rPr>
                <w:rStyle w:val="Hiperligao"/>
                <w:noProof/>
              </w:rPr>
              <w:t>Enquadramento</w:t>
            </w:r>
            <w:r>
              <w:rPr>
                <w:noProof/>
                <w:webHidden/>
              </w:rPr>
              <w:tab/>
            </w:r>
            <w:r>
              <w:rPr>
                <w:noProof/>
                <w:webHidden/>
              </w:rPr>
              <w:fldChar w:fldCharType="begin"/>
            </w:r>
            <w:r>
              <w:rPr>
                <w:noProof/>
                <w:webHidden/>
              </w:rPr>
              <w:instrText xml:space="preserve"> PAGEREF _Toc66624189 \h </w:instrText>
            </w:r>
            <w:r>
              <w:rPr>
                <w:noProof/>
                <w:webHidden/>
              </w:rPr>
            </w:r>
            <w:r>
              <w:rPr>
                <w:noProof/>
                <w:webHidden/>
              </w:rPr>
              <w:fldChar w:fldCharType="separate"/>
            </w:r>
            <w:r w:rsidR="00380A6F">
              <w:rPr>
                <w:noProof/>
                <w:webHidden/>
              </w:rPr>
              <w:t>1</w:t>
            </w:r>
            <w:r>
              <w:rPr>
                <w:noProof/>
                <w:webHidden/>
              </w:rPr>
              <w:fldChar w:fldCharType="end"/>
            </w:r>
          </w:hyperlink>
        </w:p>
        <w:p w14:paraId="66B376D9" w14:textId="637C8557" w:rsidR="00E054BB" w:rsidRDefault="00E054BB">
          <w:pPr>
            <w:pStyle w:val="ndice2"/>
            <w:rPr>
              <w:rFonts w:asciiTheme="minorHAnsi" w:hAnsiTheme="minorHAnsi"/>
              <w:noProof/>
              <w:sz w:val="22"/>
              <w:lang w:eastAsia="pt-PT"/>
            </w:rPr>
          </w:pPr>
          <w:hyperlink w:anchor="_Toc66624190" w:history="1">
            <w:r w:rsidRPr="004B09D8">
              <w:rPr>
                <w:rStyle w:val="Hiperligao"/>
                <w:noProof/>
              </w:rPr>
              <w:t>1.2.</w:t>
            </w:r>
            <w:r>
              <w:rPr>
                <w:rFonts w:asciiTheme="minorHAnsi" w:hAnsiTheme="minorHAnsi"/>
                <w:noProof/>
                <w:sz w:val="22"/>
                <w:lang w:eastAsia="pt-PT"/>
              </w:rPr>
              <w:tab/>
            </w:r>
            <w:r w:rsidRPr="004B09D8">
              <w:rPr>
                <w:rStyle w:val="Hiperligao"/>
                <w:noProof/>
              </w:rPr>
              <w:t>Objetivo e contributo</w:t>
            </w:r>
            <w:r>
              <w:rPr>
                <w:noProof/>
                <w:webHidden/>
              </w:rPr>
              <w:tab/>
            </w:r>
            <w:r>
              <w:rPr>
                <w:noProof/>
                <w:webHidden/>
              </w:rPr>
              <w:fldChar w:fldCharType="begin"/>
            </w:r>
            <w:r>
              <w:rPr>
                <w:noProof/>
                <w:webHidden/>
              </w:rPr>
              <w:instrText xml:space="preserve"> PAGEREF _Toc66624190 \h </w:instrText>
            </w:r>
            <w:r>
              <w:rPr>
                <w:noProof/>
                <w:webHidden/>
              </w:rPr>
            </w:r>
            <w:r>
              <w:rPr>
                <w:noProof/>
                <w:webHidden/>
              </w:rPr>
              <w:fldChar w:fldCharType="separate"/>
            </w:r>
            <w:r w:rsidR="00380A6F">
              <w:rPr>
                <w:noProof/>
                <w:webHidden/>
              </w:rPr>
              <w:t>2</w:t>
            </w:r>
            <w:r>
              <w:rPr>
                <w:noProof/>
                <w:webHidden/>
              </w:rPr>
              <w:fldChar w:fldCharType="end"/>
            </w:r>
          </w:hyperlink>
        </w:p>
        <w:p w14:paraId="0DE35D6B" w14:textId="137730B5" w:rsidR="00E054BB" w:rsidRDefault="00E054BB">
          <w:pPr>
            <w:pStyle w:val="ndice2"/>
            <w:rPr>
              <w:rFonts w:asciiTheme="minorHAnsi" w:hAnsiTheme="minorHAnsi"/>
              <w:noProof/>
              <w:sz w:val="22"/>
              <w:lang w:eastAsia="pt-PT"/>
            </w:rPr>
          </w:pPr>
          <w:hyperlink w:anchor="_Toc66624191" w:history="1">
            <w:r w:rsidRPr="004B09D8">
              <w:rPr>
                <w:rStyle w:val="Hiperligao"/>
                <w:noProof/>
              </w:rPr>
              <w:t>1.3.</w:t>
            </w:r>
            <w:r>
              <w:rPr>
                <w:rFonts w:asciiTheme="minorHAnsi" w:hAnsiTheme="minorHAnsi"/>
                <w:noProof/>
                <w:sz w:val="22"/>
                <w:lang w:eastAsia="pt-PT"/>
              </w:rPr>
              <w:tab/>
            </w:r>
            <w:r w:rsidRPr="004B09D8">
              <w:rPr>
                <w:rStyle w:val="Hiperligao"/>
                <w:noProof/>
              </w:rPr>
              <w:t>Estrutura da dissertação</w:t>
            </w:r>
            <w:r>
              <w:rPr>
                <w:noProof/>
                <w:webHidden/>
              </w:rPr>
              <w:tab/>
            </w:r>
            <w:r>
              <w:rPr>
                <w:noProof/>
                <w:webHidden/>
              </w:rPr>
              <w:fldChar w:fldCharType="begin"/>
            </w:r>
            <w:r>
              <w:rPr>
                <w:noProof/>
                <w:webHidden/>
              </w:rPr>
              <w:instrText xml:space="preserve"> PAGEREF _Toc66624191 \h </w:instrText>
            </w:r>
            <w:r>
              <w:rPr>
                <w:noProof/>
                <w:webHidden/>
              </w:rPr>
            </w:r>
            <w:r>
              <w:rPr>
                <w:noProof/>
                <w:webHidden/>
              </w:rPr>
              <w:fldChar w:fldCharType="separate"/>
            </w:r>
            <w:r w:rsidR="00380A6F">
              <w:rPr>
                <w:noProof/>
                <w:webHidden/>
              </w:rPr>
              <w:t>2</w:t>
            </w:r>
            <w:r>
              <w:rPr>
                <w:noProof/>
                <w:webHidden/>
              </w:rPr>
              <w:fldChar w:fldCharType="end"/>
            </w:r>
          </w:hyperlink>
        </w:p>
        <w:p w14:paraId="66838BA4" w14:textId="79513B30" w:rsidR="00E054BB" w:rsidRDefault="00E054BB">
          <w:pPr>
            <w:pStyle w:val="ndice1"/>
            <w:tabs>
              <w:tab w:val="left" w:pos="440"/>
            </w:tabs>
            <w:rPr>
              <w:rFonts w:asciiTheme="minorHAnsi" w:hAnsiTheme="minorHAnsi"/>
              <w:noProof/>
              <w:sz w:val="22"/>
              <w:lang w:eastAsia="pt-PT"/>
            </w:rPr>
          </w:pPr>
          <w:hyperlink w:anchor="_Toc66624192" w:history="1">
            <w:r w:rsidRPr="004B09D8">
              <w:rPr>
                <w:rStyle w:val="Hiperligao"/>
                <w:noProof/>
              </w:rPr>
              <w:t>2.</w:t>
            </w:r>
            <w:r>
              <w:rPr>
                <w:rFonts w:asciiTheme="minorHAnsi" w:hAnsiTheme="minorHAnsi"/>
                <w:noProof/>
                <w:sz w:val="22"/>
                <w:lang w:eastAsia="pt-PT"/>
              </w:rPr>
              <w:tab/>
            </w:r>
            <w:r w:rsidRPr="004B09D8">
              <w:rPr>
                <w:rStyle w:val="Hiperligao"/>
                <w:noProof/>
              </w:rPr>
              <w:t>Transparência na administração pública</w:t>
            </w:r>
            <w:r>
              <w:rPr>
                <w:noProof/>
                <w:webHidden/>
              </w:rPr>
              <w:tab/>
            </w:r>
            <w:r>
              <w:rPr>
                <w:noProof/>
                <w:webHidden/>
              </w:rPr>
              <w:fldChar w:fldCharType="begin"/>
            </w:r>
            <w:r>
              <w:rPr>
                <w:noProof/>
                <w:webHidden/>
              </w:rPr>
              <w:instrText xml:space="preserve"> PAGEREF _Toc66624192 \h </w:instrText>
            </w:r>
            <w:r>
              <w:rPr>
                <w:noProof/>
                <w:webHidden/>
              </w:rPr>
            </w:r>
            <w:r>
              <w:rPr>
                <w:noProof/>
                <w:webHidden/>
              </w:rPr>
              <w:fldChar w:fldCharType="separate"/>
            </w:r>
            <w:r w:rsidR="00380A6F">
              <w:rPr>
                <w:noProof/>
                <w:webHidden/>
              </w:rPr>
              <w:t>4</w:t>
            </w:r>
            <w:r>
              <w:rPr>
                <w:noProof/>
                <w:webHidden/>
              </w:rPr>
              <w:fldChar w:fldCharType="end"/>
            </w:r>
          </w:hyperlink>
        </w:p>
        <w:p w14:paraId="5F90EE24" w14:textId="2E8D8B89" w:rsidR="00E054BB" w:rsidRDefault="00E054BB">
          <w:pPr>
            <w:pStyle w:val="ndice2"/>
            <w:rPr>
              <w:rFonts w:asciiTheme="minorHAnsi" w:hAnsiTheme="minorHAnsi"/>
              <w:noProof/>
              <w:sz w:val="22"/>
              <w:lang w:eastAsia="pt-PT"/>
            </w:rPr>
          </w:pPr>
          <w:hyperlink w:anchor="_Toc66624193" w:history="1">
            <w:r w:rsidRPr="004B09D8">
              <w:rPr>
                <w:rStyle w:val="Hiperligao"/>
                <w:noProof/>
              </w:rPr>
              <w:t>2.1.</w:t>
            </w:r>
            <w:r>
              <w:rPr>
                <w:rFonts w:asciiTheme="minorHAnsi" w:hAnsiTheme="minorHAnsi"/>
                <w:noProof/>
                <w:sz w:val="22"/>
                <w:lang w:eastAsia="pt-PT"/>
              </w:rPr>
              <w:tab/>
            </w:r>
            <w:r w:rsidRPr="004B09D8">
              <w:rPr>
                <w:rStyle w:val="Hiperligao"/>
                <w:noProof/>
              </w:rPr>
              <w:t>A importância da transparência na administração pública</w:t>
            </w:r>
            <w:r>
              <w:rPr>
                <w:noProof/>
                <w:webHidden/>
              </w:rPr>
              <w:tab/>
            </w:r>
            <w:r>
              <w:rPr>
                <w:noProof/>
                <w:webHidden/>
              </w:rPr>
              <w:fldChar w:fldCharType="begin"/>
            </w:r>
            <w:r>
              <w:rPr>
                <w:noProof/>
                <w:webHidden/>
              </w:rPr>
              <w:instrText xml:space="preserve"> PAGEREF _Toc66624193 \h </w:instrText>
            </w:r>
            <w:r>
              <w:rPr>
                <w:noProof/>
                <w:webHidden/>
              </w:rPr>
            </w:r>
            <w:r>
              <w:rPr>
                <w:noProof/>
                <w:webHidden/>
              </w:rPr>
              <w:fldChar w:fldCharType="separate"/>
            </w:r>
            <w:r w:rsidR="00380A6F">
              <w:rPr>
                <w:noProof/>
                <w:webHidden/>
              </w:rPr>
              <w:t>4</w:t>
            </w:r>
            <w:r>
              <w:rPr>
                <w:noProof/>
                <w:webHidden/>
              </w:rPr>
              <w:fldChar w:fldCharType="end"/>
            </w:r>
          </w:hyperlink>
        </w:p>
        <w:p w14:paraId="560CB391" w14:textId="288BDEF7" w:rsidR="00E054BB" w:rsidRDefault="00E054BB">
          <w:pPr>
            <w:pStyle w:val="ndice2"/>
            <w:rPr>
              <w:rFonts w:asciiTheme="minorHAnsi" w:hAnsiTheme="minorHAnsi"/>
              <w:noProof/>
              <w:sz w:val="22"/>
              <w:lang w:eastAsia="pt-PT"/>
            </w:rPr>
          </w:pPr>
          <w:hyperlink w:anchor="_Toc66624194" w:history="1">
            <w:r w:rsidRPr="004B09D8">
              <w:rPr>
                <w:rStyle w:val="Hiperligao"/>
                <w:noProof/>
              </w:rPr>
              <w:t>2.2.</w:t>
            </w:r>
            <w:r>
              <w:rPr>
                <w:rFonts w:asciiTheme="minorHAnsi" w:hAnsiTheme="minorHAnsi"/>
                <w:noProof/>
                <w:sz w:val="22"/>
                <w:lang w:eastAsia="pt-PT"/>
              </w:rPr>
              <w:tab/>
            </w:r>
            <w:r w:rsidRPr="004B09D8">
              <w:rPr>
                <w:rStyle w:val="Hiperligao"/>
                <w:noProof/>
              </w:rPr>
              <w:t>A transparência política e a transparência administrativa</w:t>
            </w:r>
            <w:r>
              <w:rPr>
                <w:noProof/>
                <w:webHidden/>
              </w:rPr>
              <w:tab/>
            </w:r>
            <w:r>
              <w:rPr>
                <w:noProof/>
                <w:webHidden/>
              </w:rPr>
              <w:fldChar w:fldCharType="begin"/>
            </w:r>
            <w:r>
              <w:rPr>
                <w:noProof/>
                <w:webHidden/>
              </w:rPr>
              <w:instrText xml:space="preserve"> PAGEREF _Toc66624194 \h </w:instrText>
            </w:r>
            <w:r>
              <w:rPr>
                <w:noProof/>
                <w:webHidden/>
              </w:rPr>
            </w:r>
            <w:r>
              <w:rPr>
                <w:noProof/>
                <w:webHidden/>
              </w:rPr>
              <w:fldChar w:fldCharType="separate"/>
            </w:r>
            <w:r w:rsidR="00380A6F">
              <w:rPr>
                <w:noProof/>
                <w:webHidden/>
              </w:rPr>
              <w:t>6</w:t>
            </w:r>
            <w:r>
              <w:rPr>
                <w:noProof/>
                <w:webHidden/>
              </w:rPr>
              <w:fldChar w:fldCharType="end"/>
            </w:r>
          </w:hyperlink>
        </w:p>
        <w:p w14:paraId="4051AF5F" w14:textId="184D68B2" w:rsidR="00E054BB" w:rsidRDefault="00E054BB">
          <w:pPr>
            <w:pStyle w:val="ndice2"/>
            <w:rPr>
              <w:rFonts w:asciiTheme="minorHAnsi" w:hAnsiTheme="minorHAnsi"/>
              <w:noProof/>
              <w:sz w:val="22"/>
              <w:lang w:eastAsia="pt-PT"/>
            </w:rPr>
          </w:pPr>
          <w:hyperlink w:anchor="_Toc66624195" w:history="1">
            <w:r w:rsidRPr="004B09D8">
              <w:rPr>
                <w:rStyle w:val="Hiperligao"/>
                <w:noProof/>
              </w:rPr>
              <w:t>2.3.</w:t>
            </w:r>
            <w:r>
              <w:rPr>
                <w:rFonts w:asciiTheme="minorHAnsi" w:hAnsiTheme="minorHAnsi"/>
                <w:noProof/>
                <w:sz w:val="22"/>
                <w:lang w:eastAsia="pt-PT"/>
              </w:rPr>
              <w:tab/>
            </w:r>
            <w:r w:rsidRPr="004B09D8">
              <w:rPr>
                <w:rStyle w:val="Hiperligao"/>
                <w:noProof/>
              </w:rPr>
              <w:t>A transparência e a corrupção</w:t>
            </w:r>
            <w:r>
              <w:rPr>
                <w:noProof/>
                <w:webHidden/>
              </w:rPr>
              <w:tab/>
            </w:r>
            <w:r>
              <w:rPr>
                <w:noProof/>
                <w:webHidden/>
              </w:rPr>
              <w:fldChar w:fldCharType="begin"/>
            </w:r>
            <w:r>
              <w:rPr>
                <w:noProof/>
                <w:webHidden/>
              </w:rPr>
              <w:instrText xml:space="preserve"> PAGEREF _Toc66624195 \h </w:instrText>
            </w:r>
            <w:r>
              <w:rPr>
                <w:noProof/>
                <w:webHidden/>
              </w:rPr>
            </w:r>
            <w:r>
              <w:rPr>
                <w:noProof/>
                <w:webHidden/>
              </w:rPr>
              <w:fldChar w:fldCharType="separate"/>
            </w:r>
            <w:r w:rsidR="00380A6F">
              <w:rPr>
                <w:noProof/>
                <w:webHidden/>
              </w:rPr>
              <w:t>8</w:t>
            </w:r>
            <w:r>
              <w:rPr>
                <w:noProof/>
                <w:webHidden/>
              </w:rPr>
              <w:fldChar w:fldCharType="end"/>
            </w:r>
          </w:hyperlink>
        </w:p>
        <w:p w14:paraId="18C1A65B" w14:textId="24EC4AB5" w:rsidR="00E054BB" w:rsidRDefault="00E054BB">
          <w:pPr>
            <w:pStyle w:val="ndice2"/>
            <w:rPr>
              <w:rFonts w:asciiTheme="minorHAnsi" w:hAnsiTheme="minorHAnsi"/>
              <w:noProof/>
              <w:sz w:val="22"/>
              <w:lang w:eastAsia="pt-PT"/>
            </w:rPr>
          </w:pPr>
          <w:hyperlink w:anchor="_Toc66624196" w:history="1">
            <w:r w:rsidRPr="004B09D8">
              <w:rPr>
                <w:rStyle w:val="Hiperligao"/>
                <w:noProof/>
              </w:rPr>
              <w:t>2.4.</w:t>
            </w:r>
            <w:r>
              <w:rPr>
                <w:rFonts w:asciiTheme="minorHAnsi" w:hAnsiTheme="minorHAnsi"/>
                <w:noProof/>
                <w:sz w:val="22"/>
                <w:lang w:eastAsia="pt-PT"/>
              </w:rPr>
              <w:tab/>
            </w:r>
            <w:r w:rsidRPr="004B09D8">
              <w:rPr>
                <w:rStyle w:val="Hiperligao"/>
                <w:noProof/>
              </w:rPr>
              <w:t>Determinantes da transparência na administração pública</w:t>
            </w:r>
            <w:r>
              <w:rPr>
                <w:noProof/>
                <w:webHidden/>
              </w:rPr>
              <w:tab/>
            </w:r>
            <w:r>
              <w:rPr>
                <w:noProof/>
                <w:webHidden/>
              </w:rPr>
              <w:fldChar w:fldCharType="begin"/>
            </w:r>
            <w:r>
              <w:rPr>
                <w:noProof/>
                <w:webHidden/>
              </w:rPr>
              <w:instrText xml:space="preserve"> PAGEREF _Toc66624196 \h </w:instrText>
            </w:r>
            <w:r>
              <w:rPr>
                <w:noProof/>
                <w:webHidden/>
              </w:rPr>
            </w:r>
            <w:r>
              <w:rPr>
                <w:noProof/>
                <w:webHidden/>
              </w:rPr>
              <w:fldChar w:fldCharType="separate"/>
            </w:r>
            <w:r w:rsidR="00380A6F">
              <w:rPr>
                <w:noProof/>
                <w:webHidden/>
              </w:rPr>
              <w:t>10</w:t>
            </w:r>
            <w:r>
              <w:rPr>
                <w:noProof/>
                <w:webHidden/>
              </w:rPr>
              <w:fldChar w:fldCharType="end"/>
            </w:r>
          </w:hyperlink>
        </w:p>
        <w:p w14:paraId="5817B88A" w14:textId="09FB939B" w:rsidR="00E054BB" w:rsidRDefault="00E054BB">
          <w:pPr>
            <w:pStyle w:val="ndice1"/>
            <w:tabs>
              <w:tab w:val="left" w:pos="440"/>
            </w:tabs>
            <w:rPr>
              <w:rFonts w:asciiTheme="minorHAnsi" w:hAnsiTheme="minorHAnsi"/>
              <w:noProof/>
              <w:sz w:val="22"/>
              <w:lang w:eastAsia="pt-PT"/>
            </w:rPr>
          </w:pPr>
          <w:hyperlink w:anchor="_Toc66624197" w:history="1">
            <w:r w:rsidRPr="004B09D8">
              <w:rPr>
                <w:rStyle w:val="Hiperligao"/>
                <w:noProof/>
              </w:rPr>
              <w:t>3.</w:t>
            </w:r>
            <w:r>
              <w:rPr>
                <w:rFonts w:asciiTheme="minorHAnsi" w:hAnsiTheme="minorHAnsi"/>
                <w:noProof/>
                <w:sz w:val="22"/>
                <w:lang w:eastAsia="pt-PT"/>
              </w:rPr>
              <w:tab/>
            </w:r>
            <w:r w:rsidRPr="004B09D8">
              <w:rPr>
                <w:rStyle w:val="Hiperligao"/>
                <w:noProof/>
              </w:rPr>
              <w:t>A transparência nos municípios portugueses</w:t>
            </w:r>
            <w:r>
              <w:rPr>
                <w:noProof/>
                <w:webHidden/>
              </w:rPr>
              <w:tab/>
            </w:r>
            <w:r>
              <w:rPr>
                <w:noProof/>
                <w:webHidden/>
              </w:rPr>
              <w:fldChar w:fldCharType="begin"/>
            </w:r>
            <w:r>
              <w:rPr>
                <w:noProof/>
                <w:webHidden/>
              </w:rPr>
              <w:instrText xml:space="preserve"> PAGEREF _Toc66624197 \h </w:instrText>
            </w:r>
            <w:r>
              <w:rPr>
                <w:noProof/>
                <w:webHidden/>
              </w:rPr>
            </w:r>
            <w:r>
              <w:rPr>
                <w:noProof/>
                <w:webHidden/>
              </w:rPr>
              <w:fldChar w:fldCharType="separate"/>
            </w:r>
            <w:r w:rsidR="00380A6F">
              <w:rPr>
                <w:noProof/>
                <w:webHidden/>
              </w:rPr>
              <w:t>15</w:t>
            </w:r>
            <w:r>
              <w:rPr>
                <w:noProof/>
                <w:webHidden/>
              </w:rPr>
              <w:fldChar w:fldCharType="end"/>
            </w:r>
          </w:hyperlink>
        </w:p>
        <w:p w14:paraId="210F6AEA" w14:textId="0D28610A" w:rsidR="00E054BB" w:rsidRDefault="00E054BB">
          <w:pPr>
            <w:pStyle w:val="ndice2"/>
            <w:rPr>
              <w:rFonts w:asciiTheme="minorHAnsi" w:hAnsiTheme="minorHAnsi"/>
              <w:noProof/>
              <w:sz w:val="22"/>
              <w:lang w:eastAsia="pt-PT"/>
            </w:rPr>
          </w:pPr>
          <w:hyperlink w:anchor="_Toc66624198" w:history="1">
            <w:r w:rsidRPr="004B09D8">
              <w:rPr>
                <w:rStyle w:val="Hiperligao"/>
                <w:noProof/>
              </w:rPr>
              <w:t>3.1.</w:t>
            </w:r>
            <w:r>
              <w:rPr>
                <w:rFonts w:asciiTheme="minorHAnsi" w:hAnsiTheme="minorHAnsi"/>
                <w:noProof/>
                <w:sz w:val="22"/>
                <w:lang w:eastAsia="pt-PT"/>
              </w:rPr>
              <w:tab/>
            </w:r>
            <w:r w:rsidRPr="004B09D8">
              <w:rPr>
                <w:rStyle w:val="Hiperligao"/>
                <w:noProof/>
              </w:rPr>
              <w:t>Definição e composição do setor público português</w:t>
            </w:r>
            <w:r>
              <w:rPr>
                <w:noProof/>
                <w:webHidden/>
              </w:rPr>
              <w:tab/>
            </w:r>
            <w:r>
              <w:rPr>
                <w:noProof/>
                <w:webHidden/>
              </w:rPr>
              <w:fldChar w:fldCharType="begin"/>
            </w:r>
            <w:r>
              <w:rPr>
                <w:noProof/>
                <w:webHidden/>
              </w:rPr>
              <w:instrText xml:space="preserve"> PAGEREF _Toc66624198 \h </w:instrText>
            </w:r>
            <w:r>
              <w:rPr>
                <w:noProof/>
                <w:webHidden/>
              </w:rPr>
            </w:r>
            <w:r>
              <w:rPr>
                <w:noProof/>
                <w:webHidden/>
              </w:rPr>
              <w:fldChar w:fldCharType="separate"/>
            </w:r>
            <w:r w:rsidR="00380A6F">
              <w:rPr>
                <w:noProof/>
                <w:webHidden/>
              </w:rPr>
              <w:t>15</w:t>
            </w:r>
            <w:r>
              <w:rPr>
                <w:noProof/>
                <w:webHidden/>
              </w:rPr>
              <w:fldChar w:fldCharType="end"/>
            </w:r>
          </w:hyperlink>
        </w:p>
        <w:p w14:paraId="6785523F" w14:textId="0C288A5A" w:rsidR="00E054BB" w:rsidRDefault="00E054BB">
          <w:pPr>
            <w:pStyle w:val="ndice2"/>
            <w:rPr>
              <w:rFonts w:asciiTheme="minorHAnsi" w:hAnsiTheme="minorHAnsi"/>
              <w:noProof/>
              <w:sz w:val="22"/>
              <w:lang w:eastAsia="pt-PT"/>
            </w:rPr>
          </w:pPr>
          <w:hyperlink w:anchor="_Toc66624199" w:history="1">
            <w:r w:rsidRPr="004B09D8">
              <w:rPr>
                <w:rStyle w:val="Hiperligao"/>
                <w:rFonts w:cs="Times New Roman"/>
                <w:noProof/>
              </w:rPr>
              <w:t>3.2.</w:t>
            </w:r>
            <w:r>
              <w:rPr>
                <w:rFonts w:asciiTheme="minorHAnsi" w:hAnsiTheme="minorHAnsi"/>
                <w:noProof/>
                <w:sz w:val="22"/>
                <w:lang w:eastAsia="pt-PT"/>
              </w:rPr>
              <w:tab/>
            </w:r>
            <w:r w:rsidRPr="004B09D8">
              <w:rPr>
                <w:rStyle w:val="Hiperligao"/>
                <w:noProof/>
              </w:rPr>
              <w:t>Breve história da evolução dos municípios portugueses</w:t>
            </w:r>
            <w:r>
              <w:rPr>
                <w:noProof/>
                <w:webHidden/>
              </w:rPr>
              <w:tab/>
            </w:r>
            <w:r>
              <w:rPr>
                <w:noProof/>
                <w:webHidden/>
              </w:rPr>
              <w:fldChar w:fldCharType="begin"/>
            </w:r>
            <w:r>
              <w:rPr>
                <w:noProof/>
                <w:webHidden/>
              </w:rPr>
              <w:instrText xml:space="preserve"> PAGEREF _Toc66624199 \h </w:instrText>
            </w:r>
            <w:r>
              <w:rPr>
                <w:noProof/>
                <w:webHidden/>
              </w:rPr>
            </w:r>
            <w:r>
              <w:rPr>
                <w:noProof/>
                <w:webHidden/>
              </w:rPr>
              <w:fldChar w:fldCharType="separate"/>
            </w:r>
            <w:r w:rsidR="00380A6F">
              <w:rPr>
                <w:noProof/>
                <w:webHidden/>
              </w:rPr>
              <w:t>17</w:t>
            </w:r>
            <w:r>
              <w:rPr>
                <w:noProof/>
                <w:webHidden/>
              </w:rPr>
              <w:fldChar w:fldCharType="end"/>
            </w:r>
          </w:hyperlink>
        </w:p>
        <w:p w14:paraId="00B1206B" w14:textId="4495C8DE" w:rsidR="00E054BB" w:rsidRDefault="00E054BB">
          <w:pPr>
            <w:pStyle w:val="ndice2"/>
            <w:rPr>
              <w:rFonts w:asciiTheme="minorHAnsi" w:hAnsiTheme="minorHAnsi"/>
              <w:noProof/>
              <w:sz w:val="22"/>
              <w:lang w:eastAsia="pt-PT"/>
            </w:rPr>
          </w:pPr>
          <w:hyperlink w:anchor="_Toc66624200" w:history="1">
            <w:r w:rsidRPr="004B09D8">
              <w:rPr>
                <w:rStyle w:val="Hiperligao"/>
                <w:noProof/>
              </w:rPr>
              <w:t>3.3.</w:t>
            </w:r>
            <w:r>
              <w:rPr>
                <w:rFonts w:asciiTheme="minorHAnsi" w:hAnsiTheme="minorHAnsi"/>
                <w:noProof/>
                <w:sz w:val="22"/>
                <w:lang w:eastAsia="pt-PT"/>
              </w:rPr>
              <w:tab/>
            </w:r>
            <w:r w:rsidRPr="004B09D8">
              <w:rPr>
                <w:rStyle w:val="Hiperligao"/>
                <w:noProof/>
              </w:rPr>
              <w:t>Implantação da república e os municípios</w:t>
            </w:r>
            <w:r>
              <w:rPr>
                <w:noProof/>
                <w:webHidden/>
              </w:rPr>
              <w:tab/>
            </w:r>
            <w:r>
              <w:rPr>
                <w:noProof/>
                <w:webHidden/>
              </w:rPr>
              <w:fldChar w:fldCharType="begin"/>
            </w:r>
            <w:r>
              <w:rPr>
                <w:noProof/>
                <w:webHidden/>
              </w:rPr>
              <w:instrText xml:space="preserve"> PAGEREF _Toc66624200 \h </w:instrText>
            </w:r>
            <w:r>
              <w:rPr>
                <w:noProof/>
                <w:webHidden/>
              </w:rPr>
            </w:r>
            <w:r>
              <w:rPr>
                <w:noProof/>
                <w:webHidden/>
              </w:rPr>
              <w:fldChar w:fldCharType="separate"/>
            </w:r>
            <w:r w:rsidR="00380A6F">
              <w:rPr>
                <w:noProof/>
                <w:webHidden/>
              </w:rPr>
              <w:t>18</w:t>
            </w:r>
            <w:r>
              <w:rPr>
                <w:noProof/>
                <w:webHidden/>
              </w:rPr>
              <w:fldChar w:fldCharType="end"/>
            </w:r>
          </w:hyperlink>
        </w:p>
        <w:p w14:paraId="26356112" w14:textId="7751D534" w:rsidR="00E054BB" w:rsidRDefault="00E054BB">
          <w:pPr>
            <w:pStyle w:val="ndice2"/>
            <w:rPr>
              <w:rFonts w:asciiTheme="minorHAnsi" w:hAnsiTheme="minorHAnsi"/>
              <w:noProof/>
              <w:sz w:val="22"/>
              <w:lang w:eastAsia="pt-PT"/>
            </w:rPr>
          </w:pPr>
          <w:hyperlink w:anchor="_Toc66624201" w:history="1">
            <w:r w:rsidRPr="004B09D8">
              <w:rPr>
                <w:rStyle w:val="Hiperligao"/>
                <w:noProof/>
              </w:rPr>
              <w:t>3.4.</w:t>
            </w:r>
            <w:r>
              <w:rPr>
                <w:rFonts w:asciiTheme="minorHAnsi" w:hAnsiTheme="minorHAnsi"/>
                <w:noProof/>
                <w:sz w:val="22"/>
                <w:lang w:eastAsia="pt-PT"/>
              </w:rPr>
              <w:tab/>
            </w:r>
            <w:r w:rsidRPr="004B09D8">
              <w:rPr>
                <w:rStyle w:val="Hiperligao"/>
                <w:noProof/>
              </w:rPr>
              <w:t>Composição das autarquias locais</w:t>
            </w:r>
            <w:r>
              <w:rPr>
                <w:noProof/>
                <w:webHidden/>
              </w:rPr>
              <w:tab/>
            </w:r>
            <w:r>
              <w:rPr>
                <w:noProof/>
                <w:webHidden/>
              </w:rPr>
              <w:fldChar w:fldCharType="begin"/>
            </w:r>
            <w:r>
              <w:rPr>
                <w:noProof/>
                <w:webHidden/>
              </w:rPr>
              <w:instrText xml:space="preserve"> PAGEREF _Toc66624201 \h </w:instrText>
            </w:r>
            <w:r>
              <w:rPr>
                <w:noProof/>
                <w:webHidden/>
              </w:rPr>
            </w:r>
            <w:r>
              <w:rPr>
                <w:noProof/>
                <w:webHidden/>
              </w:rPr>
              <w:fldChar w:fldCharType="separate"/>
            </w:r>
            <w:r w:rsidR="00380A6F">
              <w:rPr>
                <w:noProof/>
                <w:webHidden/>
              </w:rPr>
              <w:t>19</w:t>
            </w:r>
            <w:r>
              <w:rPr>
                <w:noProof/>
                <w:webHidden/>
              </w:rPr>
              <w:fldChar w:fldCharType="end"/>
            </w:r>
          </w:hyperlink>
        </w:p>
        <w:p w14:paraId="68D9ABDB" w14:textId="0A757B29" w:rsidR="00E054BB" w:rsidRDefault="00E054BB">
          <w:pPr>
            <w:pStyle w:val="ndice2"/>
            <w:rPr>
              <w:rFonts w:asciiTheme="minorHAnsi" w:hAnsiTheme="minorHAnsi"/>
              <w:noProof/>
              <w:sz w:val="22"/>
              <w:lang w:eastAsia="pt-PT"/>
            </w:rPr>
          </w:pPr>
          <w:hyperlink w:anchor="_Toc66624202" w:history="1">
            <w:r w:rsidRPr="004B09D8">
              <w:rPr>
                <w:rStyle w:val="Hiperligao"/>
                <w:noProof/>
              </w:rPr>
              <w:t>3.5.</w:t>
            </w:r>
            <w:r>
              <w:rPr>
                <w:rFonts w:asciiTheme="minorHAnsi" w:hAnsiTheme="minorHAnsi"/>
                <w:noProof/>
                <w:sz w:val="22"/>
                <w:lang w:eastAsia="pt-PT"/>
              </w:rPr>
              <w:tab/>
            </w:r>
            <w:r w:rsidRPr="004B09D8">
              <w:rPr>
                <w:rStyle w:val="Hiperligao"/>
                <w:noProof/>
              </w:rPr>
              <w:t>Índice de transparência municipal</w:t>
            </w:r>
            <w:r>
              <w:rPr>
                <w:noProof/>
                <w:webHidden/>
              </w:rPr>
              <w:tab/>
            </w:r>
            <w:r>
              <w:rPr>
                <w:noProof/>
                <w:webHidden/>
              </w:rPr>
              <w:fldChar w:fldCharType="begin"/>
            </w:r>
            <w:r>
              <w:rPr>
                <w:noProof/>
                <w:webHidden/>
              </w:rPr>
              <w:instrText xml:space="preserve"> PAGEREF _Toc66624202 \h </w:instrText>
            </w:r>
            <w:r>
              <w:rPr>
                <w:noProof/>
                <w:webHidden/>
              </w:rPr>
            </w:r>
            <w:r>
              <w:rPr>
                <w:noProof/>
                <w:webHidden/>
              </w:rPr>
              <w:fldChar w:fldCharType="separate"/>
            </w:r>
            <w:r w:rsidR="00380A6F">
              <w:rPr>
                <w:noProof/>
                <w:webHidden/>
              </w:rPr>
              <w:t>21</w:t>
            </w:r>
            <w:r>
              <w:rPr>
                <w:noProof/>
                <w:webHidden/>
              </w:rPr>
              <w:fldChar w:fldCharType="end"/>
            </w:r>
          </w:hyperlink>
        </w:p>
        <w:p w14:paraId="01A2DE5F" w14:textId="761E2184" w:rsidR="00E054BB" w:rsidRDefault="00E054BB">
          <w:pPr>
            <w:pStyle w:val="ndice2"/>
            <w:tabs>
              <w:tab w:val="left" w:pos="1320"/>
            </w:tabs>
            <w:rPr>
              <w:rFonts w:asciiTheme="minorHAnsi" w:hAnsiTheme="minorHAnsi"/>
              <w:noProof/>
              <w:sz w:val="22"/>
              <w:lang w:eastAsia="pt-PT"/>
            </w:rPr>
          </w:pPr>
          <w:hyperlink w:anchor="_Toc66624203" w:history="1">
            <w:r w:rsidRPr="004B09D8">
              <w:rPr>
                <w:rStyle w:val="Hiperligao"/>
                <w:noProof/>
              </w:rPr>
              <w:t>3.5.1.</w:t>
            </w:r>
            <w:r>
              <w:rPr>
                <w:rFonts w:asciiTheme="minorHAnsi" w:hAnsiTheme="minorHAnsi"/>
                <w:noProof/>
                <w:sz w:val="22"/>
                <w:lang w:eastAsia="pt-PT"/>
              </w:rPr>
              <w:tab/>
            </w:r>
            <w:r w:rsidRPr="004B09D8">
              <w:rPr>
                <w:rStyle w:val="Hiperligao"/>
                <w:noProof/>
              </w:rPr>
              <w:t>Fórmula de cálculo do índice de transparência municipal</w:t>
            </w:r>
            <w:r>
              <w:rPr>
                <w:noProof/>
                <w:webHidden/>
              </w:rPr>
              <w:tab/>
            </w:r>
            <w:r>
              <w:rPr>
                <w:noProof/>
                <w:webHidden/>
              </w:rPr>
              <w:fldChar w:fldCharType="begin"/>
            </w:r>
            <w:r>
              <w:rPr>
                <w:noProof/>
                <w:webHidden/>
              </w:rPr>
              <w:instrText xml:space="preserve"> PAGEREF _Toc66624203 \h </w:instrText>
            </w:r>
            <w:r>
              <w:rPr>
                <w:noProof/>
                <w:webHidden/>
              </w:rPr>
            </w:r>
            <w:r>
              <w:rPr>
                <w:noProof/>
                <w:webHidden/>
              </w:rPr>
              <w:fldChar w:fldCharType="separate"/>
            </w:r>
            <w:r w:rsidR="00380A6F">
              <w:rPr>
                <w:noProof/>
                <w:webHidden/>
              </w:rPr>
              <w:t>21</w:t>
            </w:r>
            <w:r>
              <w:rPr>
                <w:noProof/>
                <w:webHidden/>
              </w:rPr>
              <w:fldChar w:fldCharType="end"/>
            </w:r>
          </w:hyperlink>
        </w:p>
        <w:p w14:paraId="60398A39" w14:textId="6AD66D8F" w:rsidR="00E054BB" w:rsidRDefault="00E054BB">
          <w:pPr>
            <w:pStyle w:val="ndice2"/>
            <w:rPr>
              <w:rFonts w:asciiTheme="minorHAnsi" w:hAnsiTheme="minorHAnsi"/>
              <w:noProof/>
              <w:sz w:val="22"/>
              <w:lang w:eastAsia="pt-PT"/>
            </w:rPr>
          </w:pPr>
          <w:hyperlink w:anchor="_Toc66624204" w:history="1">
            <w:r w:rsidRPr="004B09D8">
              <w:rPr>
                <w:rStyle w:val="Hiperligao"/>
                <w:noProof/>
              </w:rPr>
              <w:t>3.5.2. Situações fora do âmbito do índice</w:t>
            </w:r>
            <w:r>
              <w:rPr>
                <w:noProof/>
                <w:webHidden/>
              </w:rPr>
              <w:tab/>
            </w:r>
            <w:r>
              <w:rPr>
                <w:noProof/>
                <w:webHidden/>
              </w:rPr>
              <w:fldChar w:fldCharType="begin"/>
            </w:r>
            <w:r>
              <w:rPr>
                <w:noProof/>
                <w:webHidden/>
              </w:rPr>
              <w:instrText xml:space="preserve"> PAGEREF _Toc66624204 \h </w:instrText>
            </w:r>
            <w:r>
              <w:rPr>
                <w:noProof/>
                <w:webHidden/>
              </w:rPr>
            </w:r>
            <w:r>
              <w:rPr>
                <w:noProof/>
                <w:webHidden/>
              </w:rPr>
              <w:fldChar w:fldCharType="separate"/>
            </w:r>
            <w:r w:rsidR="00380A6F">
              <w:rPr>
                <w:noProof/>
                <w:webHidden/>
              </w:rPr>
              <w:t>24</w:t>
            </w:r>
            <w:r>
              <w:rPr>
                <w:noProof/>
                <w:webHidden/>
              </w:rPr>
              <w:fldChar w:fldCharType="end"/>
            </w:r>
          </w:hyperlink>
        </w:p>
        <w:p w14:paraId="1A7890E4" w14:textId="15CBBFC8" w:rsidR="00E054BB" w:rsidRDefault="00E054BB">
          <w:pPr>
            <w:pStyle w:val="ndice2"/>
            <w:rPr>
              <w:rFonts w:asciiTheme="minorHAnsi" w:hAnsiTheme="minorHAnsi"/>
              <w:noProof/>
              <w:sz w:val="22"/>
              <w:lang w:eastAsia="pt-PT"/>
            </w:rPr>
          </w:pPr>
          <w:hyperlink w:anchor="_Toc66624205" w:history="1">
            <w:r w:rsidRPr="004B09D8">
              <w:rPr>
                <w:rStyle w:val="Hiperligao"/>
                <w:noProof/>
              </w:rPr>
              <w:t>3.5.3.  Processo do contraditório</w:t>
            </w:r>
            <w:r>
              <w:rPr>
                <w:noProof/>
                <w:webHidden/>
              </w:rPr>
              <w:tab/>
            </w:r>
            <w:r>
              <w:rPr>
                <w:noProof/>
                <w:webHidden/>
              </w:rPr>
              <w:fldChar w:fldCharType="begin"/>
            </w:r>
            <w:r>
              <w:rPr>
                <w:noProof/>
                <w:webHidden/>
              </w:rPr>
              <w:instrText xml:space="preserve"> PAGEREF _Toc66624205 \h </w:instrText>
            </w:r>
            <w:r>
              <w:rPr>
                <w:noProof/>
                <w:webHidden/>
              </w:rPr>
            </w:r>
            <w:r>
              <w:rPr>
                <w:noProof/>
                <w:webHidden/>
              </w:rPr>
              <w:fldChar w:fldCharType="separate"/>
            </w:r>
            <w:r w:rsidR="00380A6F">
              <w:rPr>
                <w:noProof/>
                <w:webHidden/>
              </w:rPr>
              <w:t>25</w:t>
            </w:r>
            <w:r>
              <w:rPr>
                <w:noProof/>
                <w:webHidden/>
              </w:rPr>
              <w:fldChar w:fldCharType="end"/>
            </w:r>
          </w:hyperlink>
        </w:p>
        <w:p w14:paraId="1E5B3427" w14:textId="5A32F038" w:rsidR="00E054BB" w:rsidRDefault="00E054BB">
          <w:pPr>
            <w:pStyle w:val="ndice1"/>
            <w:tabs>
              <w:tab w:val="left" w:pos="440"/>
            </w:tabs>
            <w:rPr>
              <w:rFonts w:asciiTheme="minorHAnsi" w:hAnsiTheme="minorHAnsi"/>
              <w:noProof/>
              <w:sz w:val="22"/>
              <w:lang w:eastAsia="pt-PT"/>
            </w:rPr>
          </w:pPr>
          <w:hyperlink w:anchor="_Toc66624206" w:history="1">
            <w:r w:rsidRPr="004B09D8">
              <w:rPr>
                <w:rStyle w:val="Hiperligao"/>
                <w:noProof/>
              </w:rPr>
              <w:t>4.</w:t>
            </w:r>
            <w:r>
              <w:rPr>
                <w:rFonts w:asciiTheme="minorHAnsi" w:hAnsiTheme="minorHAnsi"/>
                <w:noProof/>
                <w:sz w:val="22"/>
                <w:lang w:eastAsia="pt-PT"/>
              </w:rPr>
              <w:tab/>
            </w:r>
            <w:r w:rsidRPr="004B09D8">
              <w:rPr>
                <w:rStyle w:val="Hiperligao"/>
                <w:noProof/>
              </w:rPr>
              <w:t>Estudo empírico</w:t>
            </w:r>
            <w:r>
              <w:rPr>
                <w:noProof/>
                <w:webHidden/>
              </w:rPr>
              <w:tab/>
            </w:r>
            <w:r>
              <w:rPr>
                <w:noProof/>
                <w:webHidden/>
              </w:rPr>
              <w:fldChar w:fldCharType="begin"/>
            </w:r>
            <w:r>
              <w:rPr>
                <w:noProof/>
                <w:webHidden/>
              </w:rPr>
              <w:instrText xml:space="preserve"> PAGEREF _Toc66624206 \h </w:instrText>
            </w:r>
            <w:r>
              <w:rPr>
                <w:noProof/>
                <w:webHidden/>
              </w:rPr>
            </w:r>
            <w:r>
              <w:rPr>
                <w:noProof/>
                <w:webHidden/>
              </w:rPr>
              <w:fldChar w:fldCharType="separate"/>
            </w:r>
            <w:r w:rsidR="00380A6F">
              <w:rPr>
                <w:noProof/>
                <w:webHidden/>
              </w:rPr>
              <w:t>27</w:t>
            </w:r>
            <w:r>
              <w:rPr>
                <w:noProof/>
                <w:webHidden/>
              </w:rPr>
              <w:fldChar w:fldCharType="end"/>
            </w:r>
          </w:hyperlink>
        </w:p>
        <w:p w14:paraId="2BEC6DEC" w14:textId="18361B57" w:rsidR="00E054BB" w:rsidRDefault="00E054BB">
          <w:pPr>
            <w:pStyle w:val="ndice2"/>
            <w:rPr>
              <w:rFonts w:asciiTheme="minorHAnsi" w:hAnsiTheme="minorHAnsi"/>
              <w:noProof/>
              <w:sz w:val="22"/>
              <w:lang w:eastAsia="pt-PT"/>
            </w:rPr>
          </w:pPr>
          <w:hyperlink w:anchor="_Toc66624207" w:history="1">
            <w:r w:rsidRPr="004B09D8">
              <w:rPr>
                <w:rStyle w:val="Hiperligao"/>
                <w:noProof/>
              </w:rPr>
              <w:t>4.1.</w:t>
            </w:r>
            <w:r>
              <w:rPr>
                <w:rFonts w:asciiTheme="minorHAnsi" w:hAnsiTheme="minorHAnsi"/>
                <w:noProof/>
                <w:sz w:val="22"/>
                <w:lang w:eastAsia="pt-PT"/>
              </w:rPr>
              <w:tab/>
            </w:r>
            <w:r w:rsidRPr="004B09D8">
              <w:rPr>
                <w:rStyle w:val="Hiperligao"/>
                <w:noProof/>
              </w:rPr>
              <w:t>Caracterização das variáveis</w:t>
            </w:r>
            <w:r>
              <w:rPr>
                <w:noProof/>
                <w:webHidden/>
              </w:rPr>
              <w:tab/>
            </w:r>
            <w:r>
              <w:rPr>
                <w:noProof/>
                <w:webHidden/>
              </w:rPr>
              <w:fldChar w:fldCharType="begin"/>
            </w:r>
            <w:r>
              <w:rPr>
                <w:noProof/>
                <w:webHidden/>
              </w:rPr>
              <w:instrText xml:space="preserve"> PAGEREF _Toc66624207 \h </w:instrText>
            </w:r>
            <w:r>
              <w:rPr>
                <w:noProof/>
                <w:webHidden/>
              </w:rPr>
            </w:r>
            <w:r>
              <w:rPr>
                <w:noProof/>
                <w:webHidden/>
              </w:rPr>
              <w:fldChar w:fldCharType="separate"/>
            </w:r>
            <w:r w:rsidR="00380A6F">
              <w:rPr>
                <w:noProof/>
                <w:webHidden/>
              </w:rPr>
              <w:t>27</w:t>
            </w:r>
            <w:r>
              <w:rPr>
                <w:noProof/>
                <w:webHidden/>
              </w:rPr>
              <w:fldChar w:fldCharType="end"/>
            </w:r>
          </w:hyperlink>
        </w:p>
        <w:p w14:paraId="2841C197" w14:textId="6206AF16" w:rsidR="00E054BB" w:rsidRDefault="00E054BB">
          <w:pPr>
            <w:pStyle w:val="ndice2"/>
            <w:rPr>
              <w:rFonts w:asciiTheme="minorHAnsi" w:hAnsiTheme="minorHAnsi"/>
              <w:noProof/>
              <w:sz w:val="22"/>
              <w:lang w:eastAsia="pt-PT"/>
            </w:rPr>
          </w:pPr>
          <w:hyperlink w:anchor="_Toc66624208" w:history="1">
            <w:r w:rsidRPr="004B09D8">
              <w:rPr>
                <w:rStyle w:val="Hiperligao"/>
                <w:noProof/>
              </w:rPr>
              <w:t>4.2.</w:t>
            </w:r>
            <w:r>
              <w:rPr>
                <w:rFonts w:asciiTheme="minorHAnsi" w:hAnsiTheme="minorHAnsi"/>
                <w:noProof/>
                <w:sz w:val="22"/>
                <w:lang w:eastAsia="pt-PT"/>
              </w:rPr>
              <w:tab/>
            </w:r>
            <w:r w:rsidRPr="004B09D8">
              <w:rPr>
                <w:rStyle w:val="Hiperligao"/>
                <w:noProof/>
              </w:rPr>
              <w:t>Hipóteses e metodologia</w:t>
            </w:r>
            <w:r>
              <w:rPr>
                <w:noProof/>
                <w:webHidden/>
              </w:rPr>
              <w:tab/>
            </w:r>
            <w:r>
              <w:rPr>
                <w:noProof/>
                <w:webHidden/>
              </w:rPr>
              <w:fldChar w:fldCharType="begin"/>
            </w:r>
            <w:r>
              <w:rPr>
                <w:noProof/>
                <w:webHidden/>
              </w:rPr>
              <w:instrText xml:space="preserve"> PAGEREF _Toc66624208 \h </w:instrText>
            </w:r>
            <w:r>
              <w:rPr>
                <w:noProof/>
                <w:webHidden/>
              </w:rPr>
            </w:r>
            <w:r>
              <w:rPr>
                <w:noProof/>
                <w:webHidden/>
              </w:rPr>
              <w:fldChar w:fldCharType="separate"/>
            </w:r>
            <w:r w:rsidR="00380A6F">
              <w:rPr>
                <w:noProof/>
                <w:webHidden/>
              </w:rPr>
              <w:t>29</w:t>
            </w:r>
            <w:r>
              <w:rPr>
                <w:noProof/>
                <w:webHidden/>
              </w:rPr>
              <w:fldChar w:fldCharType="end"/>
            </w:r>
          </w:hyperlink>
        </w:p>
        <w:p w14:paraId="7DAC82F0" w14:textId="523BD887" w:rsidR="00E054BB" w:rsidRDefault="00E054BB">
          <w:pPr>
            <w:pStyle w:val="ndice2"/>
            <w:rPr>
              <w:rFonts w:asciiTheme="minorHAnsi" w:hAnsiTheme="minorHAnsi"/>
              <w:noProof/>
              <w:sz w:val="22"/>
              <w:lang w:eastAsia="pt-PT"/>
            </w:rPr>
          </w:pPr>
          <w:hyperlink w:anchor="_Toc66624209" w:history="1">
            <w:r w:rsidRPr="004B09D8">
              <w:rPr>
                <w:rStyle w:val="Hiperligao"/>
                <w:noProof/>
              </w:rPr>
              <w:t>4.3.</w:t>
            </w:r>
            <w:r>
              <w:rPr>
                <w:rFonts w:asciiTheme="minorHAnsi" w:hAnsiTheme="minorHAnsi"/>
                <w:noProof/>
                <w:sz w:val="22"/>
                <w:lang w:eastAsia="pt-PT"/>
              </w:rPr>
              <w:tab/>
            </w:r>
            <w:r w:rsidRPr="004B09D8">
              <w:rPr>
                <w:rStyle w:val="Hiperligao"/>
                <w:noProof/>
              </w:rPr>
              <w:t>Análise e discussão de resultados</w:t>
            </w:r>
            <w:r>
              <w:rPr>
                <w:noProof/>
                <w:webHidden/>
              </w:rPr>
              <w:tab/>
            </w:r>
            <w:r>
              <w:rPr>
                <w:noProof/>
                <w:webHidden/>
              </w:rPr>
              <w:fldChar w:fldCharType="begin"/>
            </w:r>
            <w:r>
              <w:rPr>
                <w:noProof/>
                <w:webHidden/>
              </w:rPr>
              <w:instrText xml:space="preserve"> PAGEREF _Toc66624209 \h </w:instrText>
            </w:r>
            <w:r>
              <w:rPr>
                <w:noProof/>
                <w:webHidden/>
              </w:rPr>
            </w:r>
            <w:r>
              <w:rPr>
                <w:noProof/>
                <w:webHidden/>
              </w:rPr>
              <w:fldChar w:fldCharType="separate"/>
            </w:r>
            <w:r w:rsidR="00380A6F">
              <w:rPr>
                <w:noProof/>
                <w:webHidden/>
              </w:rPr>
              <w:t>34</w:t>
            </w:r>
            <w:r>
              <w:rPr>
                <w:noProof/>
                <w:webHidden/>
              </w:rPr>
              <w:fldChar w:fldCharType="end"/>
            </w:r>
          </w:hyperlink>
        </w:p>
        <w:p w14:paraId="5E281D28" w14:textId="44FBDEA8" w:rsidR="00E054BB" w:rsidRDefault="00E054BB">
          <w:pPr>
            <w:pStyle w:val="ndice2"/>
            <w:tabs>
              <w:tab w:val="left" w:pos="1320"/>
            </w:tabs>
            <w:rPr>
              <w:rFonts w:asciiTheme="minorHAnsi" w:hAnsiTheme="minorHAnsi"/>
              <w:noProof/>
              <w:sz w:val="22"/>
              <w:lang w:eastAsia="pt-PT"/>
            </w:rPr>
          </w:pPr>
          <w:hyperlink w:anchor="_Toc66624210" w:history="1">
            <w:r w:rsidRPr="004B09D8">
              <w:rPr>
                <w:rStyle w:val="Hiperligao"/>
                <w:noProof/>
              </w:rPr>
              <w:t>4.3.1.</w:t>
            </w:r>
            <w:r>
              <w:rPr>
                <w:rFonts w:asciiTheme="minorHAnsi" w:hAnsiTheme="minorHAnsi"/>
                <w:noProof/>
                <w:sz w:val="22"/>
                <w:lang w:eastAsia="pt-PT"/>
              </w:rPr>
              <w:tab/>
            </w:r>
            <w:r w:rsidRPr="004B09D8">
              <w:rPr>
                <w:rStyle w:val="Hiperligao"/>
                <w:noProof/>
              </w:rPr>
              <w:t>Estatística descritiva</w:t>
            </w:r>
            <w:r>
              <w:rPr>
                <w:noProof/>
                <w:webHidden/>
              </w:rPr>
              <w:tab/>
            </w:r>
            <w:r>
              <w:rPr>
                <w:noProof/>
                <w:webHidden/>
              </w:rPr>
              <w:fldChar w:fldCharType="begin"/>
            </w:r>
            <w:r>
              <w:rPr>
                <w:noProof/>
                <w:webHidden/>
              </w:rPr>
              <w:instrText xml:space="preserve"> PAGEREF _Toc66624210 \h </w:instrText>
            </w:r>
            <w:r>
              <w:rPr>
                <w:noProof/>
                <w:webHidden/>
              </w:rPr>
            </w:r>
            <w:r>
              <w:rPr>
                <w:noProof/>
                <w:webHidden/>
              </w:rPr>
              <w:fldChar w:fldCharType="separate"/>
            </w:r>
            <w:r w:rsidR="00380A6F">
              <w:rPr>
                <w:noProof/>
                <w:webHidden/>
              </w:rPr>
              <w:t>34</w:t>
            </w:r>
            <w:r>
              <w:rPr>
                <w:noProof/>
                <w:webHidden/>
              </w:rPr>
              <w:fldChar w:fldCharType="end"/>
            </w:r>
          </w:hyperlink>
        </w:p>
        <w:p w14:paraId="43F37DFE" w14:textId="59A6CE69" w:rsidR="00E054BB" w:rsidRDefault="00E054BB">
          <w:pPr>
            <w:pStyle w:val="ndice2"/>
            <w:tabs>
              <w:tab w:val="left" w:pos="1320"/>
            </w:tabs>
            <w:rPr>
              <w:rFonts w:asciiTheme="minorHAnsi" w:hAnsiTheme="minorHAnsi"/>
              <w:noProof/>
              <w:sz w:val="22"/>
              <w:lang w:eastAsia="pt-PT"/>
            </w:rPr>
          </w:pPr>
          <w:hyperlink w:anchor="_Toc66624211" w:history="1">
            <w:r w:rsidRPr="004B09D8">
              <w:rPr>
                <w:rStyle w:val="Hiperligao"/>
                <w:noProof/>
              </w:rPr>
              <w:t>4.3.2.</w:t>
            </w:r>
            <w:r>
              <w:rPr>
                <w:rFonts w:asciiTheme="minorHAnsi" w:hAnsiTheme="minorHAnsi"/>
                <w:noProof/>
                <w:sz w:val="22"/>
                <w:lang w:eastAsia="pt-PT"/>
              </w:rPr>
              <w:tab/>
            </w:r>
            <w:r w:rsidRPr="004B09D8">
              <w:rPr>
                <w:rStyle w:val="Hiperligao"/>
                <w:noProof/>
              </w:rPr>
              <w:t>Análise de distribuições</w:t>
            </w:r>
            <w:r>
              <w:rPr>
                <w:noProof/>
                <w:webHidden/>
              </w:rPr>
              <w:tab/>
            </w:r>
            <w:r>
              <w:rPr>
                <w:noProof/>
                <w:webHidden/>
              </w:rPr>
              <w:fldChar w:fldCharType="begin"/>
            </w:r>
            <w:r>
              <w:rPr>
                <w:noProof/>
                <w:webHidden/>
              </w:rPr>
              <w:instrText xml:space="preserve"> PAGEREF _Toc66624211 \h </w:instrText>
            </w:r>
            <w:r>
              <w:rPr>
                <w:noProof/>
                <w:webHidden/>
              </w:rPr>
            </w:r>
            <w:r>
              <w:rPr>
                <w:noProof/>
                <w:webHidden/>
              </w:rPr>
              <w:fldChar w:fldCharType="separate"/>
            </w:r>
            <w:r w:rsidR="00380A6F">
              <w:rPr>
                <w:noProof/>
                <w:webHidden/>
              </w:rPr>
              <w:t>54</w:t>
            </w:r>
            <w:r>
              <w:rPr>
                <w:noProof/>
                <w:webHidden/>
              </w:rPr>
              <w:fldChar w:fldCharType="end"/>
            </w:r>
          </w:hyperlink>
        </w:p>
        <w:p w14:paraId="6F3559C7" w14:textId="6EF431E3" w:rsidR="00E054BB" w:rsidRDefault="00E054BB">
          <w:pPr>
            <w:pStyle w:val="ndice2"/>
            <w:tabs>
              <w:tab w:val="left" w:pos="1320"/>
            </w:tabs>
            <w:rPr>
              <w:rFonts w:asciiTheme="minorHAnsi" w:hAnsiTheme="minorHAnsi"/>
              <w:noProof/>
              <w:sz w:val="22"/>
              <w:lang w:eastAsia="pt-PT"/>
            </w:rPr>
          </w:pPr>
          <w:hyperlink w:anchor="_Toc66624212" w:history="1">
            <w:r w:rsidRPr="004B09D8">
              <w:rPr>
                <w:rStyle w:val="Hiperligao"/>
                <w:noProof/>
              </w:rPr>
              <w:t>4.3.3.</w:t>
            </w:r>
            <w:r>
              <w:rPr>
                <w:rFonts w:asciiTheme="minorHAnsi" w:hAnsiTheme="minorHAnsi"/>
                <w:noProof/>
                <w:sz w:val="22"/>
                <w:lang w:eastAsia="pt-PT"/>
              </w:rPr>
              <w:tab/>
            </w:r>
            <w:r w:rsidRPr="004B09D8">
              <w:rPr>
                <w:rStyle w:val="Hiperligao"/>
                <w:noProof/>
              </w:rPr>
              <w:t>Modelos de regressão linear múltipla com dados em painel</w:t>
            </w:r>
            <w:r>
              <w:rPr>
                <w:noProof/>
                <w:webHidden/>
              </w:rPr>
              <w:tab/>
            </w:r>
            <w:r>
              <w:rPr>
                <w:noProof/>
                <w:webHidden/>
              </w:rPr>
              <w:fldChar w:fldCharType="begin"/>
            </w:r>
            <w:r>
              <w:rPr>
                <w:noProof/>
                <w:webHidden/>
              </w:rPr>
              <w:instrText xml:space="preserve"> PAGEREF _Toc66624212 \h </w:instrText>
            </w:r>
            <w:r>
              <w:rPr>
                <w:noProof/>
                <w:webHidden/>
              </w:rPr>
            </w:r>
            <w:r>
              <w:rPr>
                <w:noProof/>
                <w:webHidden/>
              </w:rPr>
              <w:fldChar w:fldCharType="separate"/>
            </w:r>
            <w:r w:rsidR="00380A6F">
              <w:rPr>
                <w:noProof/>
                <w:webHidden/>
              </w:rPr>
              <w:t>61</w:t>
            </w:r>
            <w:r>
              <w:rPr>
                <w:noProof/>
                <w:webHidden/>
              </w:rPr>
              <w:fldChar w:fldCharType="end"/>
            </w:r>
          </w:hyperlink>
        </w:p>
        <w:p w14:paraId="6CC225B2" w14:textId="6B0ADB3F" w:rsidR="00E054BB" w:rsidRDefault="00E054BB">
          <w:pPr>
            <w:pStyle w:val="ndice2"/>
            <w:tabs>
              <w:tab w:val="left" w:pos="1320"/>
            </w:tabs>
            <w:rPr>
              <w:rFonts w:asciiTheme="minorHAnsi" w:hAnsiTheme="minorHAnsi"/>
              <w:noProof/>
              <w:sz w:val="22"/>
              <w:lang w:eastAsia="pt-PT"/>
            </w:rPr>
          </w:pPr>
          <w:hyperlink w:anchor="_Toc66624213" w:history="1">
            <w:r w:rsidRPr="004B09D8">
              <w:rPr>
                <w:rStyle w:val="Hiperligao"/>
                <w:noProof/>
              </w:rPr>
              <w:t>4.3.3.1.</w:t>
            </w:r>
            <w:r>
              <w:rPr>
                <w:rFonts w:asciiTheme="minorHAnsi" w:hAnsiTheme="minorHAnsi"/>
                <w:noProof/>
                <w:sz w:val="22"/>
                <w:lang w:eastAsia="pt-PT"/>
              </w:rPr>
              <w:tab/>
            </w:r>
            <w:r w:rsidRPr="004B09D8">
              <w:rPr>
                <w:rStyle w:val="Hiperligao"/>
                <w:noProof/>
              </w:rPr>
              <w:t xml:space="preserve">Modelo </w:t>
            </w:r>
            <w:r w:rsidRPr="004B09D8">
              <w:rPr>
                <w:rStyle w:val="Hiperligao"/>
                <w:i/>
                <w:iCs/>
                <w:noProof/>
              </w:rPr>
              <w:t>Pooled</w:t>
            </w:r>
            <w:r>
              <w:rPr>
                <w:noProof/>
                <w:webHidden/>
              </w:rPr>
              <w:tab/>
            </w:r>
            <w:r>
              <w:rPr>
                <w:noProof/>
                <w:webHidden/>
              </w:rPr>
              <w:fldChar w:fldCharType="begin"/>
            </w:r>
            <w:r>
              <w:rPr>
                <w:noProof/>
                <w:webHidden/>
              </w:rPr>
              <w:instrText xml:space="preserve"> PAGEREF _Toc66624213 \h </w:instrText>
            </w:r>
            <w:r>
              <w:rPr>
                <w:noProof/>
                <w:webHidden/>
              </w:rPr>
            </w:r>
            <w:r>
              <w:rPr>
                <w:noProof/>
                <w:webHidden/>
              </w:rPr>
              <w:fldChar w:fldCharType="separate"/>
            </w:r>
            <w:r w:rsidR="00380A6F">
              <w:rPr>
                <w:noProof/>
                <w:webHidden/>
              </w:rPr>
              <w:t>69</w:t>
            </w:r>
            <w:r>
              <w:rPr>
                <w:noProof/>
                <w:webHidden/>
              </w:rPr>
              <w:fldChar w:fldCharType="end"/>
            </w:r>
          </w:hyperlink>
        </w:p>
        <w:p w14:paraId="6F2D07FC" w14:textId="36611BA9" w:rsidR="00E054BB" w:rsidRDefault="00E054BB">
          <w:pPr>
            <w:pStyle w:val="ndice2"/>
            <w:tabs>
              <w:tab w:val="left" w:pos="1320"/>
            </w:tabs>
            <w:rPr>
              <w:rFonts w:asciiTheme="minorHAnsi" w:hAnsiTheme="minorHAnsi"/>
              <w:noProof/>
              <w:sz w:val="22"/>
              <w:lang w:eastAsia="pt-PT"/>
            </w:rPr>
          </w:pPr>
          <w:hyperlink w:anchor="_Toc66624214" w:history="1">
            <w:r w:rsidRPr="004B09D8">
              <w:rPr>
                <w:rStyle w:val="Hiperligao"/>
                <w:noProof/>
              </w:rPr>
              <w:t>4.3.3.2.</w:t>
            </w:r>
            <w:r>
              <w:rPr>
                <w:rFonts w:asciiTheme="minorHAnsi" w:hAnsiTheme="minorHAnsi"/>
                <w:noProof/>
                <w:sz w:val="22"/>
                <w:lang w:eastAsia="pt-PT"/>
              </w:rPr>
              <w:tab/>
            </w:r>
            <w:r w:rsidRPr="004B09D8">
              <w:rPr>
                <w:rStyle w:val="Hiperligao"/>
                <w:noProof/>
              </w:rPr>
              <w:t xml:space="preserve">Modelo de efeitos fixos </w:t>
            </w:r>
            <w:r w:rsidRPr="004B09D8">
              <w:rPr>
                <w:rStyle w:val="Hiperligao"/>
                <w:i/>
                <w:iCs/>
                <w:noProof/>
              </w:rPr>
              <w:t>versus</w:t>
            </w:r>
            <w:r w:rsidRPr="004B09D8">
              <w:rPr>
                <w:rStyle w:val="Hiperligao"/>
                <w:noProof/>
              </w:rPr>
              <w:t xml:space="preserve"> modelo de efeitos aleatórios</w:t>
            </w:r>
            <w:r>
              <w:rPr>
                <w:noProof/>
                <w:webHidden/>
              </w:rPr>
              <w:tab/>
            </w:r>
            <w:r>
              <w:rPr>
                <w:noProof/>
                <w:webHidden/>
              </w:rPr>
              <w:fldChar w:fldCharType="begin"/>
            </w:r>
            <w:r>
              <w:rPr>
                <w:noProof/>
                <w:webHidden/>
              </w:rPr>
              <w:instrText xml:space="preserve"> PAGEREF _Toc66624214 \h </w:instrText>
            </w:r>
            <w:r>
              <w:rPr>
                <w:noProof/>
                <w:webHidden/>
              </w:rPr>
            </w:r>
            <w:r>
              <w:rPr>
                <w:noProof/>
                <w:webHidden/>
              </w:rPr>
              <w:fldChar w:fldCharType="separate"/>
            </w:r>
            <w:r w:rsidR="00380A6F">
              <w:rPr>
                <w:noProof/>
                <w:webHidden/>
              </w:rPr>
              <w:t>69</w:t>
            </w:r>
            <w:r>
              <w:rPr>
                <w:noProof/>
                <w:webHidden/>
              </w:rPr>
              <w:fldChar w:fldCharType="end"/>
            </w:r>
          </w:hyperlink>
        </w:p>
        <w:p w14:paraId="2D984529" w14:textId="2790A0D9" w:rsidR="00E054BB" w:rsidRDefault="00E054BB">
          <w:pPr>
            <w:pStyle w:val="ndice1"/>
            <w:tabs>
              <w:tab w:val="left" w:pos="440"/>
            </w:tabs>
            <w:rPr>
              <w:rFonts w:asciiTheme="minorHAnsi" w:hAnsiTheme="minorHAnsi"/>
              <w:noProof/>
              <w:sz w:val="22"/>
              <w:lang w:eastAsia="pt-PT"/>
            </w:rPr>
          </w:pPr>
          <w:hyperlink w:anchor="_Toc66624215" w:history="1">
            <w:r w:rsidRPr="004B09D8">
              <w:rPr>
                <w:rStyle w:val="Hiperligao"/>
                <w:noProof/>
              </w:rPr>
              <w:t>5.</w:t>
            </w:r>
            <w:r>
              <w:rPr>
                <w:rFonts w:asciiTheme="minorHAnsi" w:hAnsiTheme="minorHAnsi"/>
                <w:noProof/>
                <w:sz w:val="22"/>
                <w:lang w:eastAsia="pt-PT"/>
              </w:rPr>
              <w:tab/>
            </w:r>
            <w:r w:rsidRPr="004B09D8">
              <w:rPr>
                <w:rStyle w:val="Hiperligao"/>
                <w:noProof/>
              </w:rPr>
              <w:t>Considerações finais</w:t>
            </w:r>
            <w:r>
              <w:rPr>
                <w:noProof/>
                <w:webHidden/>
              </w:rPr>
              <w:tab/>
            </w:r>
            <w:r>
              <w:rPr>
                <w:noProof/>
                <w:webHidden/>
              </w:rPr>
              <w:fldChar w:fldCharType="begin"/>
            </w:r>
            <w:r>
              <w:rPr>
                <w:noProof/>
                <w:webHidden/>
              </w:rPr>
              <w:instrText xml:space="preserve"> PAGEREF _Toc66624215 \h </w:instrText>
            </w:r>
            <w:r>
              <w:rPr>
                <w:noProof/>
                <w:webHidden/>
              </w:rPr>
            </w:r>
            <w:r>
              <w:rPr>
                <w:noProof/>
                <w:webHidden/>
              </w:rPr>
              <w:fldChar w:fldCharType="separate"/>
            </w:r>
            <w:r w:rsidR="00380A6F">
              <w:rPr>
                <w:noProof/>
                <w:webHidden/>
              </w:rPr>
              <w:t>75</w:t>
            </w:r>
            <w:r>
              <w:rPr>
                <w:noProof/>
                <w:webHidden/>
              </w:rPr>
              <w:fldChar w:fldCharType="end"/>
            </w:r>
          </w:hyperlink>
        </w:p>
        <w:p w14:paraId="45A1FE0D" w14:textId="67B47E2C" w:rsidR="00E054BB" w:rsidRDefault="00E054BB">
          <w:pPr>
            <w:pStyle w:val="ndice2"/>
            <w:rPr>
              <w:rFonts w:asciiTheme="minorHAnsi" w:hAnsiTheme="minorHAnsi"/>
              <w:noProof/>
              <w:sz w:val="22"/>
              <w:lang w:eastAsia="pt-PT"/>
            </w:rPr>
          </w:pPr>
          <w:hyperlink w:anchor="_Toc66624216" w:history="1">
            <w:r w:rsidRPr="004B09D8">
              <w:rPr>
                <w:rStyle w:val="Hiperligao"/>
                <w:rFonts w:eastAsiaTheme="minorHAnsi"/>
                <w:noProof/>
              </w:rPr>
              <w:t>5.1.</w:t>
            </w:r>
            <w:r>
              <w:rPr>
                <w:rFonts w:asciiTheme="minorHAnsi" w:hAnsiTheme="minorHAnsi"/>
                <w:noProof/>
                <w:sz w:val="22"/>
                <w:lang w:eastAsia="pt-PT"/>
              </w:rPr>
              <w:tab/>
            </w:r>
            <w:r w:rsidRPr="004B09D8">
              <w:rPr>
                <w:rStyle w:val="Hiperligao"/>
                <w:rFonts w:eastAsiaTheme="minorHAnsi"/>
                <w:noProof/>
              </w:rPr>
              <w:t>Conclusões</w:t>
            </w:r>
            <w:r>
              <w:rPr>
                <w:noProof/>
                <w:webHidden/>
              </w:rPr>
              <w:tab/>
            </w:r>
            <w:r>
              <w:rPr>
                <w:noProof/>
                <w:webHidden/>
              </w:rPr>
              <w:fldChar w:fldCharType="begin"/>
            </w:r>
            <w:r>
              <w:rPr>
                <w:noProof/>
                <w:webHidden/>
              </w:rPr>
              <w:instrText xml:space="preserve"> PAGEREF _Toc66624216 \h </w:instrText>
            </w:r>
            <w:r>
              <w:rPr>
                <w:noProof/>
                <w:webHidden/>
              </w:rPr>
            </w:r>
            <w:r>
              <w:rPr>
                <w:noProof/>
                <w:webHidden/>
              </w:rPr>
              <w:fldChar w:fldCharType="separate"/>
            </w:r>
            <w:r w:rsidR="00380A6F">
              <w:rPr>
                <w:noProof/>
                <w:webHidden/>
              </w:rPr>
              <w:t>75</w:t>
            </w:r>
            <w:r>
              <w:rPr>
                <w:noProof/>
                <w:webHidden/>
              </w:rPr>
              <w:fldChar w:fldCharType="end"/>
            </w:r>
          </w:hyperlink>
        </w:p>
        <w:p w14:paraId="729C0F7D" w14:textId="04B0E077" w:rsidR="00E054BB" w:rsidRDefault="00E054BB">
          <w:pPr>
            <w:pStyle w:val="ndice2"/>
            <w:rPr>
              <w:rFonts w:asciiTheme="minorHAnsi" w:hAnsiTheme="minorHAnsi"/>
              <w:noProof/>
              <w:sz w:val="22"/>
              <w:lang w:eastAsia="pt-PT"/>
            </w:rPr>
          </w:pPr>
          <w:hyperlink w:anchor="_Toc66624217" w:history="1">
            <w:r w:rsidRPr="004B09D8">
              <w:rPr>
                <w:rStyle w:val="Hiperligao"/>
                <w:noProof/>
              </w:rPr>
              <w:t>5.2.</w:t>
            </w:r>
            <w:r>
              <w:rPr>
                <w:rFonts w:asciiTheme="minorHAnsi" w:hAnsiTheme="minorHAnsi"/>
                <w:noProof/>
                <w:sz w:val="22"/>
                <w:lang w:eastAsia="pt-PT"/>
              </w:rPr>
              <w:tab/>
            </w:r>
            <w:r w:rsidRPr="004B09D8">
              <w:rPr>
                <w:rStyle w:val="Hiperligao"/>
                <w:noProof/>
              </w:rPr>
              <w:t>Limitações e sugestões para futuras investigações</w:t>
            </w:r>
            <w:r>
              <w:rPr>
                <w:noProof/>
                <w:webHidden/>
              </w:rPr>
              <w:tab/>
            </w:r>
            <w:r>
              <w:rPr>
                <w:noProof/>
                <w:webHidden/>
              </w:rPr>
              <w:fldChar w:fldCharType="begin"/>
            </w:r>
            <w:r>
              <w:rPr>
                <w:noProof/>
                <w:webHidden/>
              </w:rPr>
              <w:instrText xml:space="preserve"> PAGEREF _Toc66624217 \h </w:instrText>
            </w:r>
            <w:r>
              <w:rPr>
                <w:noProof/>
                <w:webHidden/>
              </w:rPr>
            </w:r>
            <w:r>
              <w:rPr>
                <w:noProof/>
                <w:webHidden/>
              </w:rPr>
              <w:fldChar w:fldCharType="separate"/>
            </w:r>
            <w:r w:rsidR="00380A6F">
              <w:rPr>
                <w:noProof/>
                <w:webHidden/>
              </w:rPr>
              <w:t>77</w:t>
            </w:r>
            <w:r>
              <w:rPr>
                <w:noProof/>
                <w:webHidden/>
              </w:rPr>
              <w:fldChar w:fldCharType="end"/>
            </w:r>
          </w:hyperlink>
        </w:p>
        <w:p w14:paraId="680B1549" w14:textId="617B7BC0" w:rsidR="00E054BB" w:rsidRDefault="00E054BB">
          <w:pPr>
            <w:pStyle w:val="ndice1"/>
            <w:rPr>
              <w:rFonts w:asciiTheme="minorHAnsi" w:hAnsiTheme="minorHAnsi"/>
              <w:noProof/>
              <w:sz w:val="22"/>
              <w:lang w:eastAsia="pt-PT"/>
            </w:rPr>
          </w:pPr>
          <w:hyperlink w:anchor="_Toc66624218" w:history="1">
            <w:r w:rsidRPr="004B09D8">
              <w:rPr>
                <w:rStyle w:val="Hiperligao"/>
                <w:noProof/>
              </w:rPr>
              <w:t>Referências bibliográficas</w:t>
            </w:r>
            <w:r>
              <w:rPr>
                <w:noProof/>
                <w:webHidden/>
              </w:rPr>
              <w:tab/>
            </w:r>
            <w:r>
              <w:rPr>
                <w:noProof/>
                <w:webHidden/>
              </w:rPr>
              <w:fldChar w:fldCharType="begin"/>
            </w:r>
            <w:r>
              <w:rPr>
                <w:noProof/>
                <w:webHidden/>
              </w:rPr>
              <w:instrText xml:space="preserve"> PAGEREF _Toc66624218 \h </w:instrText>
            </w:r>
            <w:r>
              <w:rPr>
                <w:noProof/>
                <w:webHidden/>
              </w:rPr>
            </w:r>
            <w:r>
              <w:rPr>
                <w:noProof/>
                <w:webHidden/>
              </w:rPr>
              <w:fldChar w:fldCharType="separate"/>
            </w:r>
            <w:r w:rsidR="00380A6F">
              <w:rPr>
                <w:noProof/>
                <w:webHidden/>
              </w:rPr>
              <w:t>78</w:t>
            </w:r>
            <w:r>
              <w:rPr>
                <w:noProof/>
                <w:webHidden/>
              </w:rPr>
              <w:fldChar w:fldCharType="end"/>
            </w:r>
          </w:hyperlink>
        </w:p>
        <w:p w14:paraId="0C3C7A7F" w14:textId="24EB8B7D" w:rsidR="00E054BB" w:rsidRDefault="00E054BB">
          <w:pPr>
            <w:pStyle w:val="ndice1"/>
            <w:rPr>
              <w:rFonts w:asciiTheme="minorHAnsi" w:hAnsiTheme="minorHAnsi"/>
              <w:noProof/>
              <w:sz w:val="22"/>
              <w:lang w:eastAsia="pt-PT"/>
            </w:rPr>
          </w:pPr>
          <w:hyperlink w:anchor="_Toc66624219" w:history="1">
            <w:r w:rsidRPr="004B09D8">
              <w:rPr>
                <w:rStyle w:val="Hiperligao"/>
                <w:noProof/>
              </w:rPr>
              <w:t>APÊNDICES</w:t>
            </w:r>
            <w:r>
              <w:rPr>
                <w:noProof/>
                <w:webHidden/>
              </w:rPr>
              <w:tab/>
            </w:r>
            <w:r>
              <w:rPr>
                <w:noProof/>
                <w:webHidden/>
              </w:rPr>
              <w:fldChar w:fldCharType="begin"/>
            </w:r>
            <w:r>
              <w:rPr>
                <w:noProof/>
                <w:webHidden/>
              </w:rPr>
              <w:instrText xml:space="preserve"> PAGEREF _Toc66624219 \h </w:instrText>
            </w:r>
            <w:r>
              <w:rPr>
                <w:noProof/>
                <w:webHidden/>
              </w:rPr>
            </w:r>
            <w:r>
              <w:rPr>
                <w:noProof/>
                <w:webHidden/>
              </w:rPr>
              <w:fldChar w:fldCharType="separate"/>
            </w:r>
            <w:r w:rsidR="00380A6F">
              <w:rPr>
                <w:noProof/>
                <w:webHidden/>
              </w:rPr>
              <w:t>83</w:t>
            </w:r>
            <w:r>
              <w:rPr>
                <w:noProof/>
                <w:webHidden/>
              </w:rPr>
              <w:fldChar w:fldCharType="end"/>
            </w:r>
          </w:hyperlink>
        </w:p>
        <w:p w14:paraId="07341FF9" w14:textId="39209C41" w:rsidR="00E054BB" w:rsidRDefault="00E054BB">
          <w:pPr>
            <w:pStyle w:val="ndice2"/>
            <w:rPr>
              <w:rFonts w:asciiTheme="minorHAnsi" w:hAnsiTheme="minorHAnsi"/>
              <w:noProof/>
              <w:sz w:val="22"/>
              <w:lang w:eastAsia="pt-PT"/>
            </w:rPr>
          </w:pPr>
          <w:hyperlink w:anchor="_Toc66624220" w:history="1">
            <w:r w:rsidRPr="004B09D8">
              <w:rPr>
                <w:rStyle w:val="Hiperligao"/>
                <w:noProof/>
              </w:rPr>
              <w:t xml:space="preserve">Apêndice 1 – </w:t>
            </w:r>
            <w:r w:rsidRPr="004B09D8">
              <w:rPr>
                <w:rStyle w:val="Hiperligao"/>
                <w:rFonts w:asciiTheme="majorBidi" w:hAnsiTheme="majorBidi"/>
                <w:noProof/>
              </w:rPr>
              <w:t>Estatísticas descritivas das variáveis em estudo</w:t>
            </w:r>
            <w:r>
              <w:rPr>
                <w:noProof/>
                <w:webHidden/>
              </w:rPr>
              <w:tab/>
            </w:r>
            <w:r>
              <w:rPr>
                <w:noProof/>
                <w:webHidden/>
              </w:rPr>
              <w:fldChar w:fldCharType="begin"/>
            </w:r>
            <w:r>
              <w:rPr>
                <w:noProof/>
                <w:webHidden/>
              </w:rPr>
              <w:instrText xml:space="preserve"> PAGEREF _Toc66624220 \h </w:instrText>
            </w:r>
            <w:r>
              <w:rPr>
                <w:noProof/>
                <w:webHidden/>
              </w:rPr>
            </w:r>
            <w:r>
              <w:rPr>
                <w:noProof/>
                <w:webHidden/>
              </w:rPr>
              <w:fldChar w:fldCharType="separate"/>
            </w:r>
            <w:r w:rsidR="00380A6F">
              <w:rPr>
                <w:noProof/>
                <w:webHidden/>
              </w:rPr>
              <w:t>84</w:t>
            </w:r>
            <w:r>
              <w:rPr>
                <w:noProof/>
                <w:webHidden/>
              </w:rPr>
              <w:fldChar w:fldCharType="end"/>
            </w:r>
          </w:hyperlink>
        </w:p>
        <w:p w14:paraId="75BB5205" w14:textId="2043F6A4" w:rsidR="00E054BB" w:rsidRDefault="00E054BB">
          <w:pPr>
            <w:pStyle w:val="ndice2"/>
            <w:rPr>
              <w:rFonts w:asciiTheme="minorHAnsi" w:hAnsiTheme="minorHAnsi"/>
              <w:noProof/>
              <w:sz w:val="22"/>
              <w:lang w:eastAsia="pt-PT"/>
            </w:rPr>
          </w:pPr>
          <w:hyperlink w:anchor="_Toc66624221" w:history="1">
            <w:r w:rsidRPr="004B09D8">
              <w:rPr>
                <w:rStyle w:val="Hiperligao"/>
                <w:noProof/>
              </w:rPr>
              <w:t xml:space="preserve">Apêndice 2 – </w:t>
            </w:r>
            <w:r w:rsidRPr="004B09D8">
              <w:rPr>
                <w:rStyle w:val="Hiperligao"/>
                <w:rFonts w:asciiTheme="majorBidi" w:hAnsiTheme="majorBidi"/>
                <w:noProof/>
              </w:rPr>
              <w:t>Histogramas do Índice de transparência municipal por grupos</w:t>
            </w:r>
            <w:r>
              <w:rPr>
                <w:noProof/>
                <w:webHidden/>
              </w:rPr>
              <w:tab/>
            </w:r>
            <w:r>
              <w:rPr>
                <w:noProof/>
                <w:webHidden/>
              </w:rPr>
              <w:fldChar w:fldCharType="begin"/>
            </w:r>
            <w:r>
              <w:rPr>
                <w:noProof/>
                <w:webHidden/>
              </w:rPr>
              <w:instrText xml:space="preserve"> PAGEREF _Toc66624221 \h </w:instrText>
            </w:r>
            <w:r>
              <w:rPr>
                <w:noProof/>
                <w:webHidden/>
              </w:rPr>
            </w:r>
            <w:r>
              <w:rPr>
                <w:noProof/>
                <w:webHidden/>
              </w:rPr>
              <w:fldChar w:fldCharType="separate"/>
            </w:r>
            <w:r w:rsidR="00380A6F">
              <w:rPr>
                <w:noProof/>
                <w:webHidden/>
              </w:rPr>
              <w:t>85</w:t>
            </w:r>
            <w:r>
              <w:rPr>
                <w:noProof/>
                <w:webHidden/>
              </w:rPr>
              <w:fldChar w:fldCharType="end"/>
            </w:r>
          </w:hyperlink>
        </w:p>
        <w:p w14:paraId="2E467D5B" w14:textId="0D710C80" w:rsidR="00E054BB" w:rsidRDefault="00E054BB">
          <w:pPr>
            <w:pStyle w:val="ndice2"/>
            <w:rPr>
              <w:rFonts w:asciiTheme="minorHAnsi" w:hAnsiTheme="minorHAnsi"/>
              <w:noProof/>
              <w:sz w:val="22"/>
              <w:lang w:eastAsia="pt-PT"/>
            </w:rPr>
          </w:pPr>
          <w:hyperlink w:anchor="_Toc66624222" w:history="1">
            <w:r w:rsidRPr="004B09D8">
              <w:rPr>
                <w:rStyle w:val="Hiperligao"/>
                <w:noProof/>
              </w:rPr>
              <w:t xml:space="preserve">Apêndice 3 – </w:t>
            </w:r>
            <w:r w:rsidRPr="004B09D8">
              <w:rPr>
                <w:rStyle w:val="Hiperligao"/>
                <w:rFonts w:asciiTheme="majorBidi" w:hAnsiTheme="majorBidi"/>
                <w:noProof/>
              </w:rPr>
              <w:t>Testes de Normalidade do Índice de transparência municipal</w:t>
            </w:r>
            <w:r>
              <w:rPr>
                <w:noProof/>
                <w:webHidden/>
              </w:rPr>
              <w:tab/>
            </w:r>
            <w:r>
              <w:rPr>
                <w:noProof/>
                <w:webHidden/>
              </w:rPr>
              <w:fldChar w:fldCharType="begin"/>
            </w:r>
            <w:r>
              <w:rPr>
                <w:noProof/>
                <w:webHidden/>
              </w:rPr>
              <w:instrText xml:space="preserve"> PAGEREF _Toc66624222 \h </w:instrText>
            </w:r>
            <w:r>
              <w:rPr>
                <w:noProof/>
                <w:webHidden/>
              </w:rPr>
            </w:r>
            <w:r>
              <w:rPr>
                <w:noProof/>
                <w:webHidden/>
              </w:rPr>
              <w:fldChar w:fldCharType="separate"/>
            </w:r>
            <w:r w:rsidR="00380A6F">
              <w:rPr>
                <w:noProof/>
                <w:webHidden/>
              </w:rPr>
              <w:t>87</w:t>
            </w:r>
            <w:r>
              <w:rPr>
                <w:noProof/>
                <w:webHidden/>
              </w:rPr>
              <w:fldChar w:fldCharType="end"/>
            </w:r>
          </w:hyperlink>
        </w:p>
        <w:p w14:paraId="6143E97E" w14:textId="2A975CCD" w:rsidR="00E054BB" w:rsidRDefault="00E054BB">
          <w:pPr>
            <w:pStyle w:val="ndice2"/>
            <w:rPr>
              <w:rFonts w:asciiTheme="minorHAnsi" w:hAnsiTheme="minorHAnsi"/>
              <w:noProof/>
              <w:sz w:val="22"/>
              <w:lang w:eastAsia="pt-PT"/>
            </w:rPr>
          </w:pPr>
          <w:hyperlink w:anchor="_Toc66624223" w:history="1">
            <w:r w:rsidRPr="004B09D8">
              <w:rPr>
                <w:rStyle w:val="Hiperligao"/>
                <w:noProof/>
              </w:rPr>
              <w:t>Apêndice 4 – Postos de Mann-Whitney para o ITM com variáveis independentes</w:t>
            </w:r>
            <w:r>
              <w:rPr>
                <w:noProof/>
                <w:webHidden/>
              </w:rPr>
              <w:tab/>
            </w:r>
            <w:r>
              <w:rPr>
                <w:noProof/>
                <w:webHidden/>
              </w:rPr>
              <w:fldChar w:fldCharType="begin"/>
            </w:r>
            <w:r>
              <w:rPr>
                <w:noProof/>
                <w:webHidden/>
              </w:rPr>
              <w:instrText xml:space="preserve"> PAGEREF _Toc66624223 \h </w:instrText>
            </w:r>
            <w:r>
              <w:rPr>
                <w:noProof/>
                <w:webHidden/>
              </w:rPr>
            </w:r>
            <w:r>
              <w:rPr>
                <w:noProof/>
                <w:webHidden/>
              </w:rPr>
              <w:fldChar w:fldCharType="separate"/>
            </w:r>
            <w:r w:rsidR="00380A6F">
              <w:rPr>
                <w:noProof/>
                <w:webHidden/>
              </w:rPr>
              <w:t>89</w:t>
            </w:r>
            <w:r>
              <w:rPr>
                <w:noProof/>
                <w:webHidden/>
              </w:rPr>
              <w:fldChar w:fldCharType="end"/>
            </w:r>
          </w:hyperlink>
        </w:p>
        <w:p w14:paraId="05617406" w14:textId="4436E1ED" w:rsidR="00E054BB" w:rsidRDefault="00E054BB">
          <w:pPr>
            <w:pStyle w:val="ndice2"/>
            <w:rPr>
              <w:rFonts w:asciiTheme="minorHAnsi" w:hAnsiTheme="minorHAnsi"/>
              <w:noProof/>
              <w:sz w:val="22"/>
              <w:lang w:eastAsia="pt-PT"/>
            </w:rPr>
          </w:pPr>
          <w:hyperlink w:anchor="_Toc66624224" w:history="1">
            <w:r w:rsidRPr="004B09D8">
              <w:rPr>
                <w:rStyle w:val="Hiperligao"/>
                <w:noProof/>
              </w:rPr>
              <w:t>Apêndice 5 – Modelo Pooled</w:t>
            </w:r>
            <w:r>
              <w:rPr>
                <w:noProof/>
                <w:webHidden/>
              </w:rPr>
              <w:tab/>
            </w:r>
            <w:r>
              <w:rPr>
                <w:noProof/>
                <w:webHidden/>
              </w:rPr>
              <w:fldChar w:fldCharType="begin"/>
            </w:r>
            <w:r>
              <w:rPr>
                <w:noProof/>
                <w:webHidden/>
              </w:rPr>
              <w:instrText xml:space="preserve"> PAGEREF _Toc66624224 \h </w:instrText>
            </w:r>
            <w:r>
              <w:rPr>
                <w:noProof/>
                <w:webHidden/>
              </w:rPr>
            </w:r>
            <w:r>
              <w:rPr>
                <w:noProof/>
                <w:webHidden/>
              </w:rPr>
              <w:fldChar w:fldCharType="separate"/>
            </w:r>
            <w:r w:rsidR="00380A6F">
              <w:rPr>
                <w:noProof/>
                <w:webHidden/>
              </w:rPr>
              <w:t>91</w:t>
            </w:r>
            <w:r>
              <w:rPr>
                <w:noProof/>
                <w:webHidden/>
              </w:rPr>
              <w:fldChar w:fldCharType="end"/>
            </w:r>
          </w:hyperlink>
        </w:p>
        <w:p w14:paraId="06ACB737" w14:textId="1B73BE7C" w:rsidR="00E054BB" w:rsidRDefault="00E054BB">
          <w:pPr>
            <w:pStyle w:val="ndice2"/>
            <w:rPr>
              <w:rFonts w:asciiTheme="minorHAnsi" w:hAnsiTheme="minorHAnsi"/>
              <w:noProof/>
              <w:sz w:val="22"/>
              <w:lang w:eastAsia="pt-PT"/>
            </w:rPr>
          </w:pPr>
          <w:hyperlink w:anchor="_Toc66624225" w:history="1">
            <w:r w:rsidRPr="004B09D8">
              <w:rPr>
                <w:rStyle w:val="Hiperligao"/>
                <w:noProof/>
              </w:rPr>
              <w:t>Apêndice 6 – Modelo de Efeito Aleatório</w:t>
            </w:r>
            <w:r>
              <w:rPr>
                <w:noProof/>
                <w:webHidden/>
              </w:rPr>
              <w:tab/>
            </w:r>
            <w:r>
              <w:rPr>
                <w:noProof/>
                <w:webHidden/>
              </w:rPr>
              <w:fldChar w:fldCharType="begin"/>
            </w:r>
            <w:r>
              <w:rPr>
                <w:noProof/>
                <w:webHidden/>
              </w:rPr>
              <w:instrText xml:space="preserve"> PAGEREF _Toc66624225 \h </w:instrText>
            </w:r>
            <w:r>
              <w:rPr>
                <w:noProof/>
                <w:webHidden/>
              </w:rPr>
            </w:r>
            <w:r>
              <w:rPr>
                <w:noProof/>
                <w:webHidden/>
              </w:rPr>
              <w:fldChar w:fldCharType="separate"/>
            </w:r>
            <w:r w:rsidR="00380A6F">
              <w:rPr>
                <w:noProof/>
                <w:webHidden/>
              </w:rPr>
              <w:t>92</w:t>
            </w:r>
            <w:r>
              <w:rPr>
                <w:noProof/>
                <w:webHidden/>
              </w:rPr>
              <w:fldChar w:fldCharType="end"/>
            </w:r>
          </w:hyperlink>
        </w:p>
        <w:p w14:paraId="2AFD72D4" w14:textId="5D4E7C9C" w:rsidR="00E054BB" w:rsidRDefault="00E054BB">
          <w:pPr>
            <w:pStyle w:val="ndice1"/>
            <w:rPr>
              <w:rFonts w:asciiTheme="minorHAnsi" w:hAnsiTheme="minorHAnsi"/>
              <w:noProof/>
              <w:sz w:val="22"/>
              <w:lang w:eastAsia="pt-PT"/>
            </w:rPr>
          </w:pPr>
          <w:hyperlink w:anchor="_Toc66624226" w:history="1">
            <w:r w:rsidRPr="004B09D8">
              <w:rPr>
                <w:rStyle w:val="Hiperligao"/>
                <w:noProof/>
              </w:rPr>
              <w:t>Anexos</w:t>
            </w:r>
            <w:r>
              <w:rPr>
                <w:noProof/>
                <w:webHidden/>
              </w:rPr>
              <w:tab/>
            </w:r>
            <w:r>
              <w:rPr>
                <w:noProof/>
                <w:webHidden/>
              </w:rPr>
              <w:fldChar w:fldCharType="begin"/>
            </w:r>
            <w:r>
              <w:rPr>
                <w:noProof/>
                <w:webHidden/>
              </w:rPr>
              <w:instrText xml:space="preserve"> PAGEREF _Toc66624226 \h </w:instrText>
            </w:r>
            <w:r>
              <w:rPr>
                <w:noProof/>
                <w:webHidden/>
              </w:rPr>
            </w:r>
            <w:r>
              <w:rPr>
                <w:noProof/>
                <w:webHidden/>
              </w:rPr>
              <w:fldChar w:fldCharType="separate"/>
            </w:r>
            <w:r w:rsidR="00380A6F">
              <w:rPr>
                <w:noProof/>
                <w:webHidden/>
              </w:rPr>
              <w:t>93</w:t>
            </w:r>
            <w:r>
              <w:rPr>
                <w:noProof/>
                <w:webHidden/>
              </w:rPr>
              <w:fldChar w:fldCharType="end"/>
            </w:r>
          </w:hyperlink>
        </w:p>
        <w:p w14:paraId="582AEB2F" w14:textId="113BD3D1" w:rsidR="00E054BB" w:rsidRDefault="00E054BB">
          <w:pPr>
            <w:pStyle w:val="ndice2"/>
            <w:rPr>
              <w:rFonts w:asciiTheme="minorHAnsi" w:hAnsiTheme="minorHAnsi"/>
              <w:noProof/>
              <w:sz w:val="22"/>
              <w:lang w:eastAsia="pt-PT"/>
            </w:rPr>
          </w:pPr>
          <w:hyperlink w:anchor="_Toc66624227" w:history="1">
            <w:r w:rsidRPr="004B09D8">
              <w:rPr>
                <w:rStyle w:val="Hiperligao"/>
                <w:noProof/>
              </w:rPr>
              <w:t>Anexo 1 - Valores médios do ITM por regiões, por ano, por ideologia</w:t>
            </w:r>
            <w:r>
              <w:rPr>
                <w:noProof/>
                <w:webHidden/>
              </w:rPr>
              <w:tab/>
            </w:r>
            <w:r>
              <w:rPr>
                <w:noProof/>
                <w:webHidden/>
              </w:rPr>
              <w:fldChar w:fldCharType="begin"/>
            </w:r>
            <w:r>
              <w:rPr>
                <w:noProof/>
                <w:webHidden/>
              </w:rPr>
              <w:instrText xml:space="preserve"> PAGEREF _Toc66624227 \h </w:instrText>
            </w:r>
            <w:r>
              <w:rPr>
                <w:noProof/>
                <w:webHidden/>
              </w:rPr>
            </w:r>
            <w:r>
              <w:rPr>
                <w:noProof/>
                <w:webHidden/>
              </w:rPr>
              <w:fldChar w:fldCharType="separate"/>
            </w:r>
            <w:r w:rsidR="00380A6F">
              <w:rPr>
                <w:noProof/>
                <w:webHidden/>
              </w:rPr>
              <w:t>93</w:t>
            </w:r>
            <w:r>
              <w:rPr>
                <w:noProof/>
                <w:webHidden/>
              </w:rPr>
              <w:fldChar w:fldCharType="end"/>
            </w:r>
          </w:hyperlink>
        </w:p>
        <w:p w14:paraId="7B2B7532" w14:textId="35C10EB3" w:rsidR="000959CD" w:rsidRDefault="00025AC7" w:rsidP="000F46B0">
          <w:pPr>
            <w:spacing w:line="360" w:lineRule="auto"/>
          </w:pPr>
          <w:r w:rsidRPr="00025AC7">
            <w:rPr>
              <w:rFonts w:cs="Times New Roman"/>
              <w:b/>
              <w:bCs/>
              <w:szCs w:val="24"/>
            </w:rPr>
            <w:fldChar w:fldCharType="end"/>
          </w:r>
        </w:p>
      </w:sdtContent>
    </w:sdt>
    <w:p w14:paraId="1E89FD70" w14:textId="77777777" w:rsidR="000959CD" w:rsidRDefault="000959CD" w:rsidP="000959CD"/>
    <w:bookmarkEnd w:id="1"/>
    <w:p w14:paraId="2ECC8529" w14:textId="77777777" w:rsidR="000959CD" w:rsidRPr="000959CD" w:rsidRDefault="000959CD" w:rsidP="000959CD"/>
    <w:p w14:paraId="771D36B4" w14:textId="77777777" w:rsidR="000959CD" w:rsidRDefault="000959CD" w:rsidP="000959CD"/>
    <w:p w14:paraId="36C89C2A" w14:textId="77777777" w:rsidR="000959CD" w:rsidRDefault="000959CD" w:rsidP="000959CD"/>
    <w:p w14:paraId="4B238D24" w14:textId="77777777" w:rsidR="000959CD" w:rsidRDefault="000959CD" w:rsidP="000959CD"/>
    <w:p w14:paraId="2DEA7200" w14:textId="209961A5" w:rsidR="000959CD" w:rsidRDefault="000959CD" w:rsidP="000959CD"/>
    <w:p w14:paraId="3743B38F" w14:textId="77777777" w:rsidR="00221957" w:rsidRDefault="00221957" w:rsidP="000959CD"/>
    <w:p w14:paraId="16242E43" w14:textId="77777777" w:rsidR="000959CD" w:rsidRDefault="000959CD" w:rsidP="000959CD"/>
    <w:p w14:paraId="491BCC00" w14:textId="77777777" w:rsidR="000959CD" w:rsidRDefault="000959CD" w:rsidP="000959CD"/>
    <w:p w14:paraId="0DC9C836" w14:textId="77777777" w:rsidR="00E054BB" w:rsidRDefault="007C00CF" w:rsidP="00E054BB">
      <w:pPr>
        <w:pStyle w:val="Ttulo1"/>
        <w:spacing w:after="240" w:line="360" w:lineRule="auto"/>
        <w:jc w:val="center"/>
        <w:rPr>
          <w:noProof/>
        </w:rPr>
      </w:pPr>
      <w:bookmarkStart w:id="2" w:name="_Toc66624184"/>
      <w:r w:rsidRPr="000A3876">
        <w:lastRenderedPageBreak/>
        <w:t>Índice de Tabelas</w:t>
      </w:r>
      <w:bookmarkEnd w:id="2"/>
      <w:r w:rsidRPr="007F6D51">
        <w:rPr>
          <w:rStyle w:val="Hiperligao"/>
          <w:b w:val="0"/>
          <w:bCs w:val="0"/>
          <w:noProof/>
          <w:szCs w:val="24"/>
        </w:rPr>
        <w:fldChar w:fldCharType="begin"/>
      </w:r>
      <w:r w:rsidRPr="007F6D51">
        <w:rPr>
          <w:rStyle w:val="Hiperligao"/>
          <w:b w:val="0"/>
          <w:bCs w:val="0"/>
          <w:noProof/>
          <w:szCs w:val="24"/>
        </w:rPr>
        <w:instrText xml:space="preserve"> TOC \h \z \c "Tabela" </w:instrText>
      </w:r>
      <w:r w:rsidRPr="007F6D51">
        <w:rPr>
          <w:rStyle w:val="Hiperligao"/>
          <w:b w:val="0"/>
          <w:bCs w:val="0"/>
          <w:noProof/>
          <w:szCs w:val="24"/>
        </w:rPr>
        <w:fldChar w:fldCharType="separate"/>
      </w:r>
    </w:p>
    <w:p w14:paraId="11126921" w14:textId="789D9C28" w:rsid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48" w:history="1">
        <w:r w:rsidRPr="00A65DED">
          <w:rPr>
            <w:rStyle w:val="Hiperligao"/>
            <w:noProof/>
          </w:rPr>
          <w:t>Tabela 3.1 – Indicadores das Dimensões do ITM</w:t>
        </w:r>
        <w:r>
          <w:rPr>
            <w:noProof/>
            <w:webHidden/>
          </w:rPr>
          <w:tab/>
        </w:r>
        <w:r>
          <w:rPr>
            <w:noProof/>
            <w:webHidden/>
          </w:rPr>
          <w:fldChar w:fldCharType="begin"/>
        </w:r>
        <w:r>
          <w:rPr>
            <w:noProof/>
            <w:webHidden/>
          </w:rPr>
          <w:instrText xml:space="preserve"> PAGEREF _Toc66624248 \h </w:instrText>
        </w:r>
        <w:r>
          <w:rPr>
            <w:noProof/>
            <w:webHidden/>
          </w:rPr>
        </w:r>
        <w:r>
          <w:rPr>
            <w:noProof/>
            <w:webHidden/>
          </w:rPr>
          <w:fldChar w:fldCharType="separate"/>
        </w:r>
        <w:r w:rsidR="00380A6F">
          <w:rPr>
            <w:noProof/>
            <w:webHidden/>
          </w:rPr>
          <w:t>22</w:t>
        </w:r>
        <w:r>
          <w:rPr>
            <w:noProof/>
            <w:webHidden/>
          </w:rPr>
          <w:fldChar w:fldCharType="end"/>
        </w:r>
      </w:hyperlink>
    </w:p>
    <w:p w14:paraId="0A57E298" w14:textId="33E30052" w:rsid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49" w:history="1">
        <w:r w:rsidRPr="00A65DED">
          <w:rPr>
            <w:rStyle w:val="Hiperligao"/>
            <w:noProof/>
          </w:rPr>
          <w:t>Tabela 3.2 - Regras de Pontuação por Dimensão</w:t>
        </w:r>
        <w:r>
          <w:rPr>
            <w:noProof/>
            <w:webHidden/>
          </w:rPr>
          <w:tab/>
        </w:r>
        <w:r>
          <w:rPr>
            <w:noProof/>
            <w:webHidden/>
          </w:rPr>
          <w:fldChar w:fldCharType="begin"/>
        </w:r>
        <w:r>
          <w:rPr>
            <w:noProof/>
            <w:webHidden/>
          </w:rPr>
          <w:instrText xml:space="preserve"> PAGEREF _Toc66624249 \h </w:instrText>
        </w:r>
        <w:r>
          <w:rPr>
            <w:noProof/>
            <w:webHidden/>
          </w:rPr>
        </w:r>
        <w:r>
          <w:rPr>
            <w:noProof/>
            <w:webHidden/>
          </w:rPr>
          <w:fldChar w:fldCharType="separate"/>
        </w:r>
        <w:r w:rsidR="00380A6F">
          <w:rPr>
            <w:noProof/>
            <w:webHidden/>
          </w:rPr>
          <w:t>23</w:t>
        </w:r>
        <w:r>
          <w:rPr>
            <w:noProof/>
            <w:webHidden/>
          </w:rPr>
          <w:fldChar w:fldCharType="end"/>
        </w:r>
      </w:hyperlink>
    </w:p>
    <w:p w14:paraId="689C9F42" w14:textId="03464292" w:rsidR="00E054BB" w:rsidRP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50" w:history="1">
        <w:r w:rsidRPr="00E054BB">
          <w:rPr>
            <w:rStyle w:val="Hiperligao"/>
            <w:noProof/>
          </w:rPr>
          <w:t xml:space="preserve">Tabela 4.1 – Medidas estatísticas </w:t>
        </w:r>
        <w:r w:rsidRPr="00E054BB">
          <w:rPr>
            <w:rStyle w:val="Hiperligao"/>
            <w:rFonts w:cs="Times New Roman"/>
            <w:noProof/>
          </w:rPr>
          <w:t>do índice de transparência municipal</w:t>
        </w:r>
        <w:r w:rsidRPr="00E054BB">
          <w:rPr>
            <w:noProof/>
            <w:webHidden/>
          </w:rPr>
          <w:tab/>
        </w:r>
        <w:r w:rsidRPr="00E054BB">
          <w:rPr>
            <w:noProof/>
            <w:webHidden/>
          </w:rPr>
          <w:fldChar w:fldCharType="begin"/>
        </w:r>
        <w:r w:rsidRPr="00E054BB">
          <w:rPr>
            <w:noProof/>
            <w:webHidden/>
          </w:rPr>
          <w:instrText xml:space="preserve"> PAGEREF _Toc66624250 \h </w:instrText>
        </w:r>
        <w:r w:rsidRPr="00E054BB">
          <w:rPr>
            <w:noProof/>
            <w:webHidden/>
          </w:rPr>
        </w:r>
        <w:r w:rsidRPr="00E054BB">
          <w:rPr>
            <w:noProof/>
            <w:webHidden/>
          </w:rPr>
          <w:fldChar w:fldCharType="separate"/>
        </w:r>
        <w:r w:rsidR="00380A6F">
          <w:rPr>
            <w:noProof/>
            <w:webHidden/>
          </w:rPr>
          <w:t>35</w:t>
        </w:r>
        <w:r w:rsidRPr="00E054BB">
          <w:rPr>
            <w:noProof/>
            <w:webHidden/>
          </w:rPr>
          <w:fldChar w:fldCharType="end"/>
        </w:r>
      </w:hyperlink>
    </w:p>
    <w:p w14:paraId="5B969019" w14:textId="44BAB017" w:rsidR="00E054BB" w:rsidRP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51" w:history="1">
        <w:r w:rsidRPr="00E054BB">
          <w:rPr>
            <w:rStyle w:val="Hiperligao"/>
            <w:noProof/>
          </w:rPr>
          <w:t>Tabela 4.2 – Medidas estatísticas do ITM para os 308 municípios portugueses (2013 – 2017)</w:t>
        </w:r>
        <w:r w:rsidRPr="00E054BB">
          <w:rPr>
            <w:noProof/>
            <w:webHidden/>
          </w:rPr>
          <w:tab/>
        </w:r>
        <w:r w:rsidRPr="00E054BB">
          <w:rPr>
            <w:noProof/>
            <w:webHidden/>
          </w:rPr>
          <w:fldChar w:fldCharType="begin"/>
        </w:r>
        <w:r w:rsidRPr="00E054BB">
          <w:rPr>
            <w:noProof/>
            <w:webHidden/>
          </w:rPr>
          <w:instrText xml:space="preserve"> PAGEREF _Toc66624251 \h </w:instrText>
        </w:r>
        <w:r w:rsidRPr="00E054BB">
          <w:rPr>
            <w:noProof/>
            <w:webHidden/>
          </w:rPr>
        </w:r>
        <w:r w:rsidRPr="00E054BB">
          <w:rPr>
            <w:noProof/>
            <w:webHidden/>
          </w:rPr>
          <w:fldChar w:fldCharType="separate"/>
        </w:r>
        <w:r w:rsidR="00380A6F">
          <w:rPr>
            <w:noProof/>
            <w:webHidden/>
          </w:rPr>
          <w:t>36</w:t>
        </w:r>
        <w:r w:rsidRPr="00E054BB">
          <w:rPr>
            <w:noProof/>
            <w:webHidden/>
          </w:rPr>
          <w:fldChar w:fldCharType="end"/>
        </w:r>
      </w:hyperlink>
    </w:p>
    <w:p w14:paraId="3A230937" w14:textId="7336F994" w:rsidR="00E054BB" w:rsidRP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52" w:history="1">
        <w:r w:rsidRPr="00E054BB">
          <w:rPr>
            <w:rStyle w:val="Hiperligao"/>
            <w:noProof/>
          </w:rPr>
          <w:t xml:space="preserve">Tabela 4.3 – </w:t>
        </w:r>
        <w:r w:rsidRPr="00E054BB">
          <w:rPr>
            <w:rStyle w:val="Hiperligao"/>
            <w:rFonts w:cs="Times New Roman"/>
            <w:noProof/>
          </w:rPr>
          <w:t>Medidas estatísticas do ITM por IPP</w:t>
        </w:r>
        <w:r w:rsidRPr="00E054BB">
          <w:rPr>
            <w:noProof/>
            <w:webHidden/>
          </w:rPr>
          <w:tab/>
        </w:r>
        <w:r w:rsidRPr="00E054BB">
          <w:rPr>
            <w:noProof/>
            <w:webHidden/>
          </w:rPr>
          <w:fldChar w:fldCharType="begin"/>
        </w:r>
        <w:r w:rsidRPr="00E054BB">
          <w:rPr>
            <w:noProof/>
            <w:webHidden/>
          </w:rPr>
          <w:instrText xml:space="preserve"> PAGEREF _Toc66624252 \h </w:instrText>
        </w:r>
        <w:r w:rsidRPr="00E054BB">
          <w:rPr>
            <w:noProof/>
            <w:webHidden/>
          </w:rPr>
        </w:r>
        <w:r w:rsidRPr="00E054BB">
          <w:rPr>
            <w:noProof/>
            <w:webHidden/>
          </w:rPr>
          <w:fldChar w:fldCharType="separate"/>
        </w:r>
        <w:r w:rsidR="00380A6F">
          <w:rPr>
            <w:noProof/>
            <w:webHidden/>
          </w:rPr>
          <w:t>37</w:t>
        </w:r>
        <w:r w:rsidRPr="00E054BB">
          <w:rPr>
            <w:noProof/>
            <w:webHidden/>
          </w:rPr>
          <w:fldChar w:fldCharType="end"/>
        </w:r>
      </w:hyperlink>
    </w:p>
    <w:p w14:paraId="6D255FAA" w14:textId="00E56A05" w:rsidR="00E054BB" w:rsidRP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53" w:history="1">
        <w:r w:rsidRPr="00E054BB">
          <w:rPr>
            <w:rStyle w:val="Hiperligao"/>
            <w:noProof/>
          </w:rPr>
          <w:t xml:space="preserve">Tabela 4.4 - </w:t>
        </w:r>
        <w:r w:rsidRPr="00E054BB">
          <w:rPr>
            <w:rStyle w:val="Hiperligao"/>
            <w:rFonts w:cs="Times New Roman"/>
            <w:noProof/>
          </w:rPr>
          <w:t>Diferença entre os valores médios do ITM para cada ideologia política ao longo ano em estudo por região</w:t>
        </w:r>
        <w:r w:rsidRPr="00E054BB">
          <w:rPr>
            <w:noProof/>
            <w:webHidden/>
          </w:rPr>
          <w:tab/>
        </w:r>
        <w:r w:rsidRPr="00E054BB">
          <w:rPr>
            <w:noProof/>
            <w:webHidden/>
          </w:rPr>
          <w:fldChar w:fldCharType="begin"/>
        </w:r>
        <w:r w:rsidRPr="00E054BB">
          <w:rPr>
            <w:noProof/>
            <w:webHidden/>
          </w:rPr>
          <w:instrText xml:space="preserve"> PAGEREF _Toc66624253 \h </w:instrText>
        </w:r>
        <w:r w:rsidRPr="00E054BB">
          <w:rPr>
            <w:noProof/>
            <w:webHidden/>
          </w:rPr>
        </w:r>
        <w:r w:rsidRPr="00E054BB">
          <w:rPr>
            <w:noProof/>
            <w:webHidden/>
          </w:rPr>
          <w:fldChar w:fldCharType="separate"/>
        </w:r>
        <w:r w:rsidR="00380A6F">
          <w:rPr>
            <w:noProof/>
            <w:webHidden/>
          </w:rPr>
          <w:t>38</w:t>
        </w:r>
        <w:r w:rsidRPr="00E054BB">
          <w:rPr>
            <w:noProof/>
            <w:webHidden/>
          </w:rPr>
          <w:fldChar w:fldCharType="end"/>
        </w:r>
      </w:hyperlink>
    </w:p>
    <w:p w14:paraId="4DD3F10C" w14:textId="1704B4B5" w:rsidR="00E054BB" w:rsidRP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54" w:history="1">
        <w:r w:rsidRPr="00E054BB">
          <w:rPr>
            <w:rStyle w:val="Hiperligao"/>
            <w:noProof/>
          </w:rPr>
          <w:t xml:space="preserve">Tabela 4.5 – </w:t>
        </w:r>
        <w:r w:rsidRPr="00E054BB">
          <w:rPr>
            <w:rStyle w:val="Hiperligao"/>
            <w:rFonts w:cs="Times New Roman"/>
            <w:noProof/>
          </w:rPr>
          <w:t>Medidas estatísticas do ITM por CP</w:t>
        </w:r>
        <w:r w:rsidRPr="00E054BB">
          <w:rPr>
            <w:noProof/>
            <w:webHidden/>
          </w:rPr>
          <w:tab/>
        </w:r>
        <w:r w:rsidRPr="00E054BB">
          <w:rPr>
            <w:noProof/>
            <w:webHidden/>
          </w:rPr>
          <w:fldChar w:fldCharType="begin"/>
        </w:r>
        <w:r w:rsidRPr="00E054BB">
          <w:rPr>
            <w:noProof/>
            <w:webHidden/>
          </w:rPr>
          <w:instrText xml:space="preserve"> PAGEREF _Toc66624254 \h </w:instrText>
        </w:r>
        <w:r w:rsidRPr="00E054BB">
          <w:rPr>
            <w:noProof/>
            <w:webHidden/>
          </w:rPr>
        </w:r>
        <w:r w:rsidRPr="00E054BB">
          <w:rPr>
            <w:noProof/>
            <w:webHidden/>
          </w:rPr>
          <w:fldChar w:fldCharType="separate"/>
        </w:r>
        <w:r w:rsidR="00380A6F">
          <w:rPr>
            <w:noProof/>
            <w:webHidden/>
          </w:rPr>
          <w:t>40</w:t>
        </w:r>
        <w:r w:rsidRPr="00E054BB">
          <w:rPr>
            <w:noProof/>
            <w:webHidden/>
          </w:rPr>
          <w:fldChar w:fldCharType="end"/>
        </w:r>
      </w:hyperlink>
    </w:p>
    <w:p w14:paraId="56D32F9A" w14:textId="3AFB9285" w:rsidR="00E054BB" w:rsidRP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55" w:history="1">
        <w:r w:rsidRPr="00E054BB">
          <w:rPr>
            <w:rStyle w:val="Hiperligao"/>
            <w:noProof/>
          </w:rPr>
          <w:t xml:space="preserve">Tabela 4.6 – </w:t>
        </w:r>
        <w:r w:rsidRPr="00E054BB">
          <w:rPr>
            <w:rStyle w:val="Hiperligao"/>
            <w:rFonts w:cs="Times New Roman"/>
            <w:noProof/>
          </w:rPr>
          <w:t>Medidas estatísticas do ITM por VEnd</w:t>
        </w:r>
        <w:r w:rsidRPr="00E054BB">
          <w:rPr>
            <w:noProof/>
            <w:webHidden/>
          </w:rPr>
          <w:tab/>
        </w:r>
        <w:r w:rsidRPr="00E054BB">
          <w:rPr>
            <w:noProof/>
            <w:webHidden/>
          </w:rPr>
          <w:fldChar w:fldCharType="begin"/>
        </w:r>
        <w:r w:rsidRPr="00E054BB">
          <w:rPr>
            <w:noProof/>
            <w:webHidden/>
          </w:rPr>
          <w:instrText xml:space="preserve"> PAGEREF _Toc66624255 \h </w:instrText>
        </w:r>
        <w:r w:rsidRPr="00E054BB">
          <w:rPr>
            <w:noProof/>
            <w:webHidden/>
          </w:rPr>
        </w:r>
        <w:r w:rsidRPr="00E054BB">
          <w:rPr>
            <w:noProof/>
            <w:webHidden/>
          </w:rPr>
          <w:fldChar w:fldCharType="separate"/>
        </w:r>
        <w:r w:rsidR="00380A6F">
          <w:rPr>
            <w:noProof/>
            <w:webHidden/>
          </w:rPr>
          <w:t>42</w:t>
        </w:r>
        <w:r w:rsidRPr="00E054BB">
          <w:rPr>
            <w:noProof/>
            <w:webHidden/>
          </w:rPr>
          <w:fldChar w:fldCharType="end"/>
        </w:r>
      </w:hyperlink>
    </w:p>
    <w:p w14:paraId="7ED60367" w14:textId="48690354" w:rsidR="00E054BB" w:rsidRP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56" w:history="1">
        <w:r w:rsidRPr="00E054BB">
          <w:rPr>
            <w:rStyle w:val="Hiperligao"/>
            <w:noProof/>
          </w:rPr>
          <w:t xml:space="preserve">Tabela 4.7 - </w:t>
        </w:r>
        <w:r w:rsidRPr="00E054BB">
          <w:rPr>
            <w:rStyle w:val="Hiperligao"/>
            <w:rFonts w:cs="Times New Roman"/>
            <w:noProof/>
          </w:rPr>
          <w:t>Medidas estatísticas do ITM por DE</w:t>
        </w:r>
        <w:r w:rsidRPr="00E054BB">
          <w:rPr>
            <w:noProof/>
            <w:webHidden/>
          </w:rPr>
          <w:tab/>
        </w:r>
        <w:r w:rsidRPr="00E054BB">
          <w:rPr>
            <w:noProof/>
            <w:webHidden/>
          </w:rPr>
          <w:fldChar w:fldCharType="begin"/>
        </w:r>
        <w:r w:rsidRPr="00E054BB">
          <w:rPr>
            <w:noProof/>
            <w:webHidden/>
          </w:rPr>
          <w:instrText xml:space="preserve"> PAGEREF _Toc66624256 \h </w:instrText>
        </w:r>
        <w:r w:rsidRPr="00E054BB">
          <w:rPr>
            <w:noProof/>
            <w:webHidden/>
          </w:rPr>
        </w:r>
        <w:r w:rsidRPr="00E054BB">
          <w:rPr>
            <w:noProof/>
            <w:webHidden/>
          </w:rPr>
          <w:fldChar w:fldCharType="separate"/>
        </w:r>
        <w:r w:rsidR="00380A6F">
          <w:rPr>
            <w:noProof/>
            <w:webHidden/>
          </w:rPr>
          <w:t>44</w:t>
        </w:r>
        <w:r w:rsidRPr="00E054BB">
          <w:rPr>
            <w:noProof/>
            <w:webHidden/>
          </w:rPr>
          <w:fldChar w:fldCharType="end"/>
        </w:r>
      </w:hyperlink>
    </w:p>
    <w:p w14:paraId="734D8C2A" w14:textId="597CF5E7" w:rsidR="00E054BB" w:rsidRP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57" w:history="1">
        <w:r w:rsidRPr="00E054BB">
          <w:rPr>
            <w:rStyle w:val="Hiperligao"/>
            <w:rFonts w:cs="Times New Roman"/>
            <w:noProof/>
            <w:lang w:eastAsia="pt-PT"/>
          </w:rPr>
          <w:t>Tabela 4.8 - Medidas estatísticas do ITM por população residente</w:t>
        </w:r>
        <w:r w:rsidRPr="00E054BB">
          <w:rPr>
            <w:noProof/>
            <w:webHidden/>
          </w:rPr>
          <w:tab/>
        </w:r>
        <w:r w:rsidRPr="00E054BB">
          <w:rPr>
            <w:noProof/>
            <w:webHidden/>
          </w:rPr>
          <w:fldChar w:fldCharType="begin"/>
        </w:r>
        <w:r w:rsidRPr="00E054BB">
          <w:rPr>
            <w:noProof/>
            <w:webHidden/>
          </w:rPr>
          <w:instrText xml:space="preserve"> PAGEREF _Toc66624257 \h </w:instrText>
        </w:r>
        <w:r w:rsidRPr="00E054BB">
          <w:rPr>
            <w:noProof/>
            <w:webHidden/>
          </w:rPr>
        </w:r>
        <w:r w:rsidRPr="00E054BB">
          <w:rPr>
            <w:noProof/>
            <w:webHidden/>
          </w:rPr>
          <w:fldChar w:fldCharType="separate"/>
        </w:r>
        <w:r w:rsidR="00380A6F">
          <w:rPr>
            <w:noProof/>
            <w:webHidden/>
          </w:rPr>
          <w:t>46</w:t>
        </w:r>
        <w:r w:rsidRPr="00E054BB">
          <w:rPr>
            <w:noProof/>
            <w:webHidden/>
          </w:rPr>
          <w:fldChar w:fldCharType="end"/>
        </w:r>
      </w:hyperlink>
    </w:p>
    <w:p w14:paraId="010709F1" w14:textId="55128787" w:rsidR="00E054BB" w:rsidRP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58" w:history="1">
        <w:r w:rsidRPr="00E054BB">
          <w:rPr>
            <w:rStyle w:val="Hiperligao"/>
            <w:rFonts w:cs="Times New Roman"/>
            <w:noProof/>
            <w:lang w:eastAsia="pt-PT"/>
          </w:rPr>
          <w:t>Tabela 4.9 - Medidas estatísticas do ITM por TxPI</w:t>
        </w:r>
        <w:r w:rsidRPr="00E054BB">
          <w:rPr>
            <w:noProof/>
            <w:webHidden/>
          </w:rPr>
          <w:tab/>
        </w:r>
        <w:r w:rsidRPr="00E054BB">
          <w:rPr>
            <w:noProof/>
            <w:webHidden/>
          </w:rPr>
          <w:fldChar w:fldCharType="begin"/>
        </w:r>
        <w:r w:rsidRPr="00E054BB">
          <w:rPr>
            <w:noProof/>
            <w:webHidden/>
          </w:rPr>
          <w:instrText xml:space="preserve"> PAGEREF _Toc66624258 \h </w:instrText>
        </w:r>
        <w:r w:rsidRPr="00E054BB">
          <w:rPr>
            <w:noProof/>
            <w:webHidden/>
          </w:rPr>
        </w:r>
        <w:r w:rsidRPr="00E054BB">
          <w:rPr>
            <w:noProof/>
            <w:webHidden/>
          </w:rPr>
          <w:fldChar w:fldCharType="separate"/>
        </w:r>
        <w:r w:rsidR="00380A6F">
          <w:rPr>
            <w:noProof/>
            <w:webHidden/>
          </w:rPr>
          <w:t>48</w:t>
        </w:r>
        <w:r w:rsidRPr="00E054BB">
          <w:rPr>
            <w:noProof/>
            <w:webHidden/>
          </w:rPr>
          <w:fldChar w:fldCharType="end"/>
        </w:r>
      </w:hyperlink>
    </w:p>
    <w:p w14:paraId="06151E92" w14:textId="13EB958C" w:rsidR="00E054BB" w:rsidRP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59" w:history="1">
        <w:r w:rsidRPr="00E054BB">
          <w:rPr>
            <w:rStyle w:val="Hiperligao"/>
            <w:noProof/>
          </w:rPr>
          <w:t xml:space="preserve">Tabela 4.10 - </w:t>
        </w:r>
        <w:r w:rsidRPr="00E054BB">
          <w:rPr>
            <w:rStyle w:val="Hiperligao"/>
            <w:rFonts w:cs="Times New Roman"/>
            <w:noProof/>
            <w:lang w:eastAsia="pt-PT"/>
          </w:rPr>
          <w:t>Medidas estatísticas do ITM por TxD</w:t>
        </w:r>
        <w:r w:rsidRPr="00E054BB">
          <w:rPr>
            <w:noProof/>
            <w:webHidden/>
          </w:rPr>
          <w:tab/>
        </w:r>
        <w:r w:rsidRPr="00E054BB">
          <w:rPr>
            <w:noProof/>
            <w:webHidden/>
          </w:rPr>
          <w:fldChar w:fldCharType="begin"/>
        </w:r>
        <w:r w:rsidRPr="00E054BB">
          <w:rPr>
            <w:noProof/>
            <w:webHidden/>
          </w:rPr>
          <w:instrText xml:space="preserve"> PAGEREF _Toc66624259 \h </w:instrText>
        </w:r>
        <w:r w:rsidRPr="00E054BB">
          <w:rPr>
            <w:noProof/>
            <w:webHidden/>
          </w:rPr>
        </w:r>
        <w:r w:rsidRPr="00E054BB">
          <w:rPr>
            <w:noProof/>
            <w:webHidden/>
          </w:rPr>
          <w:fldChar w:fldCharType="separate"/>
        </w:r>
        <w:r w:rsidR="00380A6F">
          <w:rPr>
            <w:noProof/>
            <w:webHidden/>
          </w:rPr>
          <w:t>50</w:t>
        </w:r>
        <w:r w:rsidRPr="00E054BB">
          <w:rPr>
            <w:noProof/>
            <w:webHidden/>
          </w:rPr>
          <w:fldChar w:fldCharType="end"/>
        </w:r>
      </w:hyperlink>
    </w:p>
    <w:p w14:paraId="73428D78" w14:textId="363938D7" w:rsidR="00E054BB" w:rsidRP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60" w:history="1">
        <w:r w:rsidRPr="00E054BB">
          <w:rPr>
            <w:rStyle w:val="Hiperligao"/>
            <w:rFonts w:cs="Times New Roman"/>
            <w:noProof/>
            <w:lang w:eastAsia="pt-PT"/>
          </w:rPr>
          <w:t>Tabela 4.11 - Medidas estatísticas do ITM por PA</w:t>
        </w:r>
        <w:r w:rsidRPr="00E054BB">
          <w:rPr>
            <w:noProof/>
            <w:webHidden/>
          </w:rPr>
          <w:tab/>
        </w:r>
        <w:r w:rsidRPr="00E054BB">
          <w:rPr>
            <w:noProof/>
            <w:webHidden/>
          </w:rPr>
          <w:fldChar w:fldCharType="begin"/>
        </w:r>
        <w:r w:rsidRPr="00E054BB">
          <w:rPr>
            <w:noProof/>
            <w:webHidden/>
          </w:rPr>
          <w:instrText xml:space="preserve"> PAGEREF _Toc66624260 \h </w:instrText>
        </w:r>
        <w:r w:rsidRPr="00E054BB">
          <w:rPr>
            <w:noProof/>
            <w:webHidden/>
          </w:rPr>
        </w:r>
        <w:r w:rsidRPr="00E054BB">
          <w:rPr>
            <w:noProof/>
            <w:webHidden/>
          </w:rPr>
          <w:fldChar w:fldCharType="separate"/>
        </w:r>
        <w:r w:rsidR="00380A6F">
          <w:rPr>
            <w:noProof/>
            <w:webHidden/>
          </w:rPr>
          <w:t>52</w:t>
        </w:r>
        <w:r w:rsidRPr="00E054BB">
          <w:rPr>
            <w:noProof/>
            <w:webHidden/>
          </w:rPr>
          <w:fldChar w:fldCharType="end"/>
        </w:r>
      </w:hyperlink>
    </w:p>
    <w:p w14:paraId="5B3A3667" w14:textId="43B48216" w:rsidR="00E054BB" w:rsidRP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61" w:history="1">
        <w:r w:rsidRPr="00E054BB">
          <w:rPr>
            <w:rStyle w:val="Hiperligao"/>
            <w:rFonts w:cs="Times New Roman"/>
            <w:noProof/>
          </w:rPr>
          <w:t>Tabela 4.12 - Estatística de teste de Mann-Whitney para o ITM com diferentes variáveis de agrupamento</w:t>
        </w:r>
        <w:r w:rsidRPr="00E054BB">
          <w:rPr>
            <w:noProof/>
            <w:webHidden/>
          </w:rPr>
          <w:tab/>
        </w:r>
        <w:r w:rsidRPr="00E054BB">
          <w:rPr>
            <w:noProof/>
            <w:webHidden/>
          </w:rPr>
          <w:fldChar w:fldCharType="begin"/>
        </w:r>
        <w:r w:rsidRPr="00E054BB">
          <w:rPr>
            <w:noProof/>
            <w:webHidden/>
          </w:rPr>
          <w:instrText xml:space="preserve"> PAGEREF _Toc66624261 \h </w:instrText>
        </w:r>
        <w:r w:rsidRPr="00E054BB">
          <w:rPr>
            <w:noProof/>
            <w:webHidden/>
          </w:rPr>
        </w:r>
        <w:r w:rsidRPr="00E054BB">
          <w:rPr>
            <w:noProof/>
            <w:webHidden/>
          </w:rPr>
          <w:fldChar w:fldCharType="separate"/>
        </w:r>
        <w:r w:rsidR="00380A6F">
          <w:rPr>
            <w:noProof/>
            <w:webHidden/>
          </w:rPr>
          <w:t>58</w:t>
        </w:r>
        <w:r w:rsidRPr="00E054BB">
          <w:rPr>
            <w:noProof/>
            <w:webHidden/>
          </w:rPr>
          <w:fldChar w:fldCharType="end"/>
        </w:r>
      </w:hyperlink>
    </w:p>
    <w:p w14:paraId="6345E71B" w14:textId="417E3191" w:rsidR="00E054BB" w:rsidRP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62" w:history="1">
        <w:r w:rsidRPr="00E054BB">
          <w:rPr>
            <w:rStyle w:val="Hiperligao"/>
            <w:rFonts w:cs="Times New Roman"/>
            <w:noProof/>
          </w:rPr>
          <w:t>Tabela 4.13 - Estatística de teste de Kruskal-Wallis para o ITM com agrupamento por CPR</w:t>
        </w:r>
        <w:r w:rsidRPr="00E054BB">
          <w:rPr>
            <w:noProof/>
            <w:webHidden/>
          </w:rPr>
          <w:tab/>
        </w:r>
        <w:r w:rsidRPr="00E054BB">
          <w:rPr>
            <w:noProof/>
            <w:webHidden/>
          </w:rPr>
          <w:fldChar w:fldCharType="begin"/>
        </w:r>
        <w:r w:rsidRPr="00E054BB">
          <w:rPr>
            <w:noProof/>
            <w:webHidden/>
          </w:rPr>
          <w:instrText xml:space="preserve"> PAGEREF _Toc66624262 \h </w:instrText>
        </w:r>
        <w:r w:rsidRPr="00E054BB">
          <w:rPr>
            <w:noProof/>
            <w:webHidden/>
          </w:rPr>
        </w:r>
        <w:r w:rsidRPr="00E054BB">
          <w:rPr>
            <w:noProof/>
            <w:webHidden/>
          </w:rPr>
          <w:fldChar w:fldCharType="separate"/>
        </w:r>
        <w:r w:rsidR="00380A6F">
          <w:rPr>
            <w:noProof/>
            <w:webHidden/>
          </w:rPr>
          <w:t>61</w:t>
        </w:r>
        <w:r w:rsidRPr="00E054BB">
          <w:rPr>
            <w:noProof/>
            <w:webHidden/>
          </w:rPr>
          <w:fldChar w:fldCharType="end"/>
        </w:r>
      </w:hyperlink>
    </w:p>
    <w:p w14:paraId="0BBFE0E9" w14:textId="3DB05936" w:rsid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63" w:history="1">
        <w:r w:rsidRPr="00A65DED">
          <w:rPr>
            <w:rStyle w:val="Hiperligao"/>
            <w:noProof/>
          </w:rPr>
          <w:t xml:space="preserve">Tabela 4.14 - Força da </w:t>
        </w:r>
        <w:r w:rsidRPr="00A65DED">
          <w:rPr>
            <w:rStyle w:val="Hiperligao"/>
            <w:rFonts w:cs="Times New Roman"/>
            <w:noProof/>
          </w:rPr>
          <w:t xml:space="preserve">Correlação de </w:t>
        </w:r>
        <w:r w:rsidRPr="00A65DED">
          <w:rPr>
            <w:rStyle w:val="Hiperligao"/>
            <w:rFonts w:cs="Times New Roman"/>
            <w:i/>
            <w:iCs/>
            <w:noProof/>
          </w:rPr>
          <w:t>Pearson</w:t>
        </w:r>
        <w:r>
          <w:rPr>
            <w:noProof/>
            <w:webHidden/>
          </w:rPr>
          <w:tab/>
        </w:r>
        <w:r>
          <w:rPr>
            <w:noProof/>
            <w:webHidden/>
          </w:rPr>
          <w:fldChar w:fldCharType="begin"/>
        </w:r>
        <w:r>
          <w:rPr>
            <w:noProof/>
            <w:webHidden/>
          </w:rPr>
          <w:instrText xml:space="preserve"> PAGEREF _Toc66624263 \h </w:instrText>
        </w:r>
        <w:r>
          <w:rPr>
            <w:noProof/>
            <w:webHidden/>
          </w:rPr>
        </w:r>
        <w:r>
          <w:rPr>
            <w:noProof/>
            <w:webHidden/>
          </w:rPr>
          <w:fldChar w:fldCharType="separate"/>
        </w:r>
        <w:r w:rsidR="00380A6F">
          <w:rPr>
            <w:noProof/>
            <w:webHidden/>
          </w:rPr>
          <w:t>64</w:t>
        </w:r>
        <w:r>
          <w:rPr>
            <w:noProof/>
            <w:webHidden/>
          </w:rPr>
          <w:fldChar w:fldCharType="end"/>
        </w:r>
      </w:hyperlink>
    </w:p>
    <w:p w14:paraId="5B2405E9" w14:textId="1673FF20" w:rsid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64" w:history="1">
        <w:r w:rsidRPr="00A65DED">
          <w:rPr>
            <w:rStyle w:val="Hiperligao"/>
            <w:noProof/>
          </w:rPr>
          <w:t xml:space="preserve">Tabela 4.15 - Coeficientes de Correlações de </w:t>
        </w:r>
        <w:r w:rsidRPr="00A65DED">
          <w:rPr>
            <w:rStyle w:val="Hiperligao"/>
            <w:i/>
            <w:noProof/>
          </w:rPr>
          <w:t>Pearson</w:t>
        </w:r>
        <w:r>
          <w:rPr>
            <w:noProof/>
            <w:webHidden/>
          </w:rPr>
          <w:tab/>
        </w:r>
        <w:r>
          <w:rPr>
            <w:noProof/>
            <w:webHidden/>
          </w:rPr>
          <w:fldChar w:fldCharType="begin"/>
        </w:r>
        <w:r>
          <w:rPr>
            <w:noProof/>
            <w:webHidden/>
          </w:rPr>
          <w:instrText xml:space="preserve"> PAGEREF _Toc66624264 \h </w:instrText>
        </w:r>
        <w:r>
          <w:rPr>
            <w:noProof/>
            <w:webHidden/>
          </w:rPr>
        </w:r>
        <w:r>
          <w:rPr>
            <w:noProof/>
            <w:webHidden/>
          </w:rPr>
          <w:fldChar w:fldCharType="separate"/>
        </w:r>
        <w:r w:rsidR="00380A6F">
          <w:rPr>
            <w:noProof/>
            <w:webHidden/>
          </w:rPr>
          <w:t>66</w:t>
        </w:r>
        <w:r>
          <w:rPr>
            <w:noProof/>
            <w:webHidden/>
          </w:rPr>
          <w:fldChar w:fldCharType="end"/>
        </w:r>
      </w:hyperlink>
    </w:p>
    <w:p w14:paraId="1003AF7D" w14:textId="114DF215" w:rsid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65" w:history="1">
        <w:r w:rsidRPr="00A65DED">
          <w:rPr>
            <w:rStyle w:val="Hiperligao"/>
            <w:noProof/>
          </w:rPr>
          <w:t xml:space="preserve">Tabela 4.16 – Teste </w:t>
        </w:r>
        <w:r w:rsidRPr="00A65DED">
          <w:rPr>
            <w:rStyle w:val="Hiperligao"/>
            <w:i/>
            <w:noProof/>
          </w:rPr>
          <w:t>F</w:t>
        </w:r>
        <w:r>
          <w:rPr>
            <w:noProof/>
            <w:webHidden/>
          </w:rPr>
          <w:tab/>
        </w:r>
        <w:r>
          <w:rPr>
            <w:noProof/>
            <w:webHidden/>
          </w:rPr>
          <w:fldChar w:fldCharType="begin"/>
        </w:r>
        <w:r>
          <w:rPr>
            <w:noProof/>
            <w:webHidden/>
          </w:rPr>
          <w:instrText xml:space="preserve"> PAGEREF _Toc66624265 \h </w:instrText>
        </w:r>
        <w:r>
          <w:rPr>
            <w:noProof/>
            <w:webHidden/>
          </w:rPr>
        </w:r>
        <w:r>
          <w:rPr>
            <w:noProof/>
            <w:webHidden/>
          </w:rPr>
          <w:fldChar w:fldCharType="separate"/>
        </w:r>
        <w:r w:rsidR="00380A6F">
          <w:rPr>
            <w:noProof/>
            <w:webHidden/>
          </w:rPr>
          <w:t>70</w:t>
        </w:r>
        <w:r>
          <w:rPr>
            <w:noProof/>
            <w:webHidden/>
          </w:rPr>
          <w:fldChar w:fldCharType="end"/>
        </w:r>
      </w:hyperlink>
    </w:p>
    <w:p w14:paraId="786FFAD7" w14:textId="7B1C2683" w:rsid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66" w:history="1">
        <w:r w:rsidRPr="00A65DED">
          <w:rPr>
            <w:rStyle w:val="Hiperligao"/>
            <w:noProof/>
          </w:rPr>
          <w:t xml:space="preserve">Tabela 4.17 – Teste de </w:t>
        </w:r>
        <w:r w:rsidRPr="00A65DED">
          <w:rPr>
            <w:rStyle w:val="Hiperligao"/>
            <w:i/>
            <w:noProof/>
          </w:rPr>
          <w:t>Hausman</w:t>
        </w:r>
        <w:r>
          <w:rPr>
            <w:noProof/>
            <w:webHidden/>
          </w:rPr>
          <w:tab/>
        </w:r>
        <w:r>
          <w:rPr>
            <w:noProof/>
            <w:webHidden/>
          </w:rPr>
          <w:fldChar w:fldCharType="begin"/>
        </w:r>
        <w:r>
          <w:rPr>
            <w:noProof/>
            <w:webHidden/>
          </w:rPr>
          <w:instrText xml:space="preserve"> PAGEREF _Toc66624266 \h </w:instrText>
        </w:r>
        <w:r>
          <w:rPr>
            <w:noProof/>
            <w:webHidden/>
          </w:rPr>
        </w:r>
        <w:r>
          <w:rPr>
            <w:noProof/>
            <w:webHidden/>
          </w:rPr>
          <w:fldChar w:fldCharType="separate"/>
        </w:r>
        <w:r w:rsidR="00380A6F">
          <w:rPr>
            <w:noProof/>
            <w:webHidden/>
          </w:rPr>
          <w:t>70</w:t>
        </w:r>
        <w:r>
          <w:rPr>
            <w:noProof/>
            <w:webHidden/>
          </w:rPr>
          <w:fldChar w:fldCharType="end"/>
        </w:r>
      </w:hyperlink>
    </w:p>
    <w:p w14:paraId="7AF6FF4A" w14:textId="1592B8D8" w:rsid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67" w:history="1">
        <w:r w:rsidRPr="00A65DED">
          <w:rPr>
            <w:rStyle w:val="Hiperligao"/>
            <w:noProof/>
          </w:rPr>
          <w:t>Tabela 4.18 – Modelos de Regressão Linear Múltipla com Dados em Painel</w:t>
        </w:r>
        <w:r>
          <w:rPr>
            <w:noProof/>
            <w:webHidden/>
          </w:rPr>
          <w:tab/>
        </w:r>
        <w:r>
          <w:rPr>
            <w:noProof/>
            <w:webHidden/>
          </w:rPr>
          <w:fldChar w:fldCharType="begin"/>
        </w:r>
        <w:r>
          <w:rPr>
            <w:noProof/>
            <w:webHidden/>
          </w:rPr>
          <w:instrText xml:space="preserve"> PAGEREF _Toc66624267 \h </w:instrText>
        </w:r>
        <w:r>
          <w:rPr>
            <w:noProof/>
            <w:webHidden/>
          </w:rPr>
        </w:r>
        <w:r>
          <w:rPr>
            <w:noProof/>
            <w:webHidden/>
          </w:rPr>
          <w:fldChar w:fldCharType="separate"/>
        </w:r>
        <w:r w:rsidR="00380A6F">
          <w:rPr>
            <w:noProof/>
            <w:webHidden/>
          </w:rPr>
          <w:t>71</w:t>
        </w:r>
        <w:r>
          <w:rPr>
            <w:noProof/>
            <w:webHidden/>
          </w:rPr>
          <w:fldChar w:fldCharType="end"/>
        </w:r>
      </w:hyperlink>
    </w:p>
    <w:p w14:paraId="7EEF9047" w14:textId="7C40888A" w:rsidR="00025AC7" w:rsidRPr="00F851D0" w:rsidRDefault="007C00CF" w:rsidP="00E054BB">
      <w:pPr>
        <w:pStyle w:val="ndicedeilustraes"/>
        <w:tabs>
          <w:tab w:val="right" w:leader="dot" w:pos="9111"/>
        </w:tabs>
        <w:spacing w:line="360" w:lineRule="auto"/>
        <w:rPr>
          <w:rFonts w:cs="Times New Roman"/>
          <w:szCs w:val="24"/>
        </w:rPr>
      </w:pPr>
      <w:r w:rsidRPr="007F6D51">
        <w:rPr>
          <w:rStyle w:val="Hiperligao"/>
          <w:noProof/>
          <w:szCs w:val="24"/>
        </w:rPr>
        <w:fldChar w:fldCharType="end"/>
      </w:r>
    </w:p>
    <w:p w14:paraId="27BC092A" w14:textId="77777777" w:rsidR="00F9740E" w:rsidRDefault="00F9740E" w:rsidP="00942728">
      <w:pPr>
        <w:rPr>
          <w:rFonts w:cs="Times New Roman"/>
        </w:rPr>
      </w:pPr>
    </w:p>
    <w:p w14:paraId="37E69534" w14:textId="77777777" w:rsidR="000959CD" w:rsidRDefault="000959CD" w:rsidP="00942728">
      <w:pPr>
        <w:rPr>
          <w:rFonts w:cs="Times New Roman"/>
        </w:rPr>
      </w:pPr>
    </w:p>
    <w:p w14:paraId="23F6BB51" w14:textId="77777777" w:rsidR="000959CD" w:rsidRDefault="000959CD" w:rsidP="00942728">
      <w:pPr>
        <w:rPr>
          <w:rFonts w:cs="Times New Roman"/>
        </w:rPr>
      </w:pPr>
    </w:p>
    <w:p w14:paraId="1A4CEEA3" w14:textId="77777777" w:rsidR="00DA21BB" w:rsidRDefault="00DA21BB" w:rsidP="00942728">
      <w:pPr>
        <w:rPr>
          <w:rFonts w:cs="Times New Roman"/>
        </w:rPr>
      </w:pPr>
    </w:p>
    <w:p w14:paraId="625D8C7B" w14:textId="10F8D798" w:rsidR="007C00CF" w:rsidRDefault="007C00CF" w:rsidP="00D4605F">
      <w:pPr>
        <w:pStyle w:val="Ttulo1"/>
        <w:spacing w:before="120" w:after="360"/>
        <w:jc w:val="center"/>
      </w:pPr>
      <w:bookmarkStart w:id="3" w:name="_Toc66624185"/>
      <w:r w:rsidRPr="00CA6D47">
        <w:lastRenderedPageBreak/>
        <w:t>Índice de Gráficos</w:t>
      </w:r>
      <w:bookmarkEnd w:id="3"/>
    </w:p>
    <w:p w14:paraId="35F40C1F" w14:textId="3911C432" w:rsidR="00E054BB" w:rsidRPr="00E054BB" w:rsidRDefault="007C00CF" w:rsidP="00E054BB">
      <w:pPr>
        <w:pStyle w:val="ndicedeilustraes"/>
        <w:tabs>
          <w:tab w:val="right" w:leader="dot" w:pos="8779"/>
        </w:tabs>
        <w:spacing w:line="360" w:lineRule="auto"/>
        <w:rPr>
          <w:rFonts w:asciiTheme="minorHAnsi" w:eastAsiaTheme="minorEastAsia" w:hAnsiTheme="minorHAnsi"/>
          <w:noProof/>
          <w:sz w:val="22"/>
          <w:lang w:eastAsia="pt-PT"/>
        </w:rPr>
      </w:pPr>
      <w:r w:rsidRPr="00E054BB">
        <w:rPr>
          <w:rFonts w:cs="Times New Roman"/>
          <w:sz w:val="28"/>
        </w:rPr>
        <w:fldChar w:fldCharType="begin"/>
      </w:r>
      <w:r w:rsidRPr="00E054BB">
        <w:rPr>
          <w:rFonts w:cs="Times New Roman"/>
          <w:sz w:val="28"/>
        </w:rPr>
        <w:instrText xml:space="preserve"> TOC \h \z \c "Gráfico" </w:instrText>
      </w:r>
      <w:r w:rsidRPr="00E054BB">
        <w:rPr>
          <w:rFonts w:cs="Times New Roman"/>
          <w:sz w:val="28"/>
        </w:rPr>
        <w:fldChar w:fldCharType="separate"/>
      </w:r>
      <w:hyperlink w:anchor="_Toc66624272" w:history="1">
        <w:r w:rsidR="00E054BB" w:rsidRPr="00E054BB">
          <w:rPr>
            <w:rStyle w:val="Hiperligao"/>
            <w:noProof/>
          </w:rPr>
          <w:t>Gráfico 3.1 - Peso das Dimensões no ITM</w:t>
        </w:r>
        <w:r w:rsidR="00E054BB" w:rsidRPr="00E054BB">
          <w:rPr>
            <w:noProof/>
            <w:webHidden/>
          </w:rPr>
          <w:tab/>
        </w:r>
        <w:r w:rsidR="00E054BB" w:rsidRPr="00E054BB">
          <w:rPr>
            <w:noProof/>
            <w:webHidden/>
          </w:rPr>
          <w:fldChar w:fldCharType="begin"/>
        </w:r>
        <w:r w:rsidR="00E054BB" w:rsidRPr="00E054BB">
          <w:rPr>
            <w:noProof/>
            <w:webHidden/>
          </w:rPr>
          <w:instrText xml:space="preserve"> PAGEREF _Toc66624272 \h </w:instrText>
        </w:r>
        <w:r w:rsidR="00E054BB" w:rsidRPr="00E054BB">
          <w:rPr>
            <w:noProof/>
            <w:webHidden/>
          </w:rPr>
        </w:r>
        <w:r w:rsidR="00E054BB" w:rsidRPr="00E054BB">
          <w:rPr>
            <w:noProof/>
            <w:webHidden/>
          </w:rPr>
          <w:fldChar w:fldCharType="separate"/>
        </w:r>
        <w:r w:rsidR="00380A6F">
          <w:rPr>
            <w:noProof/>
            <w:webHidden/>
          </w:rPr>
          <w:t>22</w:t>
        </w:r>
        <w:r w:rsidR="00E054BB" w:rsidRPr="00E054BB">
          <w:rPr>
            <w:noProof/>
            <w:webHidden/>
          </w:rPr>
          <w:fldChar w:fldCharType="end"/>
        </w:r>
      </w:hyperlink>
    </w:p>
    <w:p w14:paraId="6E81C405" w14:textId="1F6CD0EF" w:rsidR="00E054BB" w:rsidRP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73" w:history="1">
        <w:r w:rsidRPr="00E054BB">
          <w:rPr>
            <w:rStyle w:val="Hiperligao"/>
            <w:rFonts w:cs="Times New Roman"/>
            <w:noProof/>
          </w:rPr>
          <w:t>Gráfico 4.1 – Valores médios de ITM, por nível de competição política, por ano (2013-2017)</w:t>
        </w:r>
        <w:r w:rsidRPr="00E054BB">
          <w:rPr>
            <w:noProof/>
            <w:webHidden/>
          </w:rPr>
          <w:tab/>
        </w:r>
        <w:r w:rsidRPr="00E054BB">
          <w:rPr>
            <w:noProof/>
            <w:webHidden/>
          </w:rPr>
          <w:fldChar w:fldCharType="begin"/>
        </w:r>
        <w:r w:rsidRPr="00E054BB">
          <w:rPr>
            <w:noProof/>
            <w:webHidden/>
          </w:rPr>
          <w:instrText xml:space="preserve"> PAGEREF _Toc66624273 \h </w:instrText>
        </w:r>
        <w:r w:rsidRPr="00E054BB">
          <w:rPr>
            <w:noProof/>
            <w:webHidden/>
          </w:rPr>
        </w:r>
        <w:r w:rsidRPr="00E054BB">
          <w:rPr>
            <w:noProof/>
            <w:webHidden/>
          </w:rPr>
          <w:fldChar w:fldCharType="separate"/>
        </w:r>
        <w:r w:rsidR="00380A6F">
          <w:rPr>
            <w:noProof/>
            <w:webHidden/>
          </w:rPr>
          <w:t>41</w:t>
        </w:r>
        <w:r w:rsidRPr="00E054BB">
          <w:rPr>
            <w:noProof/>
            <w:webHidden/>
          </w:rPr>
          <w:fldChar w:fldCharType="end"/>
        </w:r>
      </w:hyperlink>
    </w:p>
    <w:p w14:paraId="0349EDF4" w14:textId="63B1043A" w:rsidR="00E054BB" w:rsidRP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74" w:history="1">
        <w:r w:rsidRPr="00E054BB">
          <w:rPr>
            <w:rStyle w:val="Hiperligao"/>
            <w:rFonts w:cs="Times New Roman"/>
            <w:noProof/>
            <w:lang w:eastAsia="pt-PT"/>
          </w:rPr>
          <w:t>Gráfico 4.2 – Valores médios do ITM, por nível de endividamento, por ano (2013-2017)</w:t>
        </w:r>
        <w:r w:rsidRPr="00E054BB">
          <w:rPr>
            <w:noProof/>
            <w:webHidden/>
          </w:rPr>
          <w:tab/>
        </w:r>
        <w:r w:rsidRPr="00E054BB">
          <w:rPr>
            <w:noProof/>
            <w:webHidden/>
          </w:rPr>
          <w:fldChar w:fldCharType="begin"/>
        </w:r>
        <w:r w:rsidRPr="00E054BB">
          <w:rPr>
            <w:noProof/>
            <w:webHidden/>
          </w:rPr>
          <w:instrText xml:space="preserve"> PAGEREF _Toc66624274 \h </w:instrText>
        </w:r>
        <w:r w:rsidRPr="00E054BB">
          <w:rPr>
            <w:noProof/>
            <w:webHidden/>
          </w:rPr>
        </w:r>
        <w:r w:rsidRPr="00E054BB">
          <w:rPr>
            <w:noProof/>
            <w:webHidden/>
          </w:rPr>
          <w:fldChar w:fldCharType="separate"/>
        </w:r>
        <w:r w:rsidR="00380A6F">
          <w:rPr>
            <w:noProof/>
            <w:webHidden/>
          </w:rPr>
          <w:t>43</w:t>
        </w:r>
        <w:r w:rsidRPr="00E054BB">
          <w:rPr>
            <w:noProof/>
            <w:webHidden/>
          </w:rPr>
          <w:fldChar w:fldCharType="end"/>
        </w:r>
      </w:hyperlink>
    </w:p>
    <w:p w14:paraId="463A601D" w14:textId="17AB3418" w:rsidR="00E054BB" w:rsidRP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75" w:history="1">
        <w:r w:rsidRPr="00E054BB">
          <w:rPr>
            <w:rStyle w:val="Hiperligao"/>
            <w:rFonts w:cs="Times New Roman"/>
            <w:noProof/>
          </w:rPr>
          <w:t xml:space="preserve">Gráfico 4.3 - Valores médios do ITM, por despesa efetiva </w:t>
        </w:r>
        <w:r w:rsidRPr="00E054BB">
          <w:rPr>
            <w:rStyle w:val="Hiperligao"/>
            <w:rFonts w:cs="Times New Roman"/>
            <w:i/>
            <w:iCs/>
            <w:noProof/>
          </w:rPr>
          <w:t>per capita</w:t>
        </w:r>
        <w:r w:rsidRPr="00E054BB">
          <w:rPr>
            <w:rStyle w:val="Hiperligao"/>
            <w:rFonts w:cs="Times New Roman"/>
            <w:noProof/>
          </w:rPr>
          <w:t>, por ano (2013-2017)</w:t>
        </w:r>
        <w:r w:rsidRPr="00E054BB">
          <w:rPr>
            <w:noProof/>
            <w:webHidden/>
          </w:rPr>
          <w:tab/>
        </w:r>
        <w:r w:rsidRPr="00E054BB">
          <w:rPr>
            <w:noProof/>
            <w:webHidden/>
          </w:rPr>
          <w:fldChar w:fldCharType="begin"/>
        </w:r>
        <w:r w:rsidRPr="00E054BB">
          <w:rPr>
            <w:noProof/>
            <w:webHidden/>
          </w:rPr>
          <w:instrText xml:space="preserve"> PAGEREF _Toc66624275 \h </w:instrText>
        </w:r>
        <w:r w:rsidRPr="00E054BB">
          <w:rPr>
            <w:noProof/>
            <w:webHidden/>
          </w:rPr>
        </w:r>
        <w:r w:rsidRPr="00E054BB">
          <w:rPr>
            <w:noProof/>
            <w:webHidden/>
          </w:rPr>
          <w:fldChar w:fldCharType="separate"/>
        </w:r>
        <w:r w:rsidR="00380A6F">
          <w:rPr>
            <w:noProof/>
            <w:webHidden/>
          </w:rPr>
          <w:t>45</w:t>
        </w:r>
        <w:r w:rsidRPr="00E054BB">
          <w:rPr>
            <w:noProof/>
            <w:webHidden/>
          </w:rPr>
          <w:fldChar w:fldCharType="end"/>
        </w:r>
      </w:hyperlink>
    </w:p>
    <w:p w14:paraId="48861466" w14:textId="2314B475" w:rsidR="00E054BB" w:rsidRP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76" w:history="1">
        <w:r w:rsidRPr="00E054BB">
          <w:rPr>
            <w:rStyle w:val="Hiperligao"/>
            <w:rFonts w:cs="Times New Roman"/>
            <w:noProof/>
            <w:lang w:eastAsia="pt-PT"/>
          </w:rPr>
          <w:t>Gráfico 4.4 – Valores médios de ITM, por população residente, por ano (2013-2017)</w:t>
        </w:r>
        <w:r w:rsidRPr="00E054BB">
          <w:rPr>
            <w:noProof/>
            <w:webHidden/>
          </w:rPr>
          <w:tab/>
        </w:r>
        <w:r w:rsidRPr="00E054BB">
          <w:rPr>
            <w:noProof/>
            <w:webHidden/>
          </w:rPr>
          <w:fldChar w:fldCharType="begin"/>
        </w:r>
        <w:r w:rsidRPr="00E054BB">
          <w:rPr>
            <w:noProof/>
            <w:webHidden/>
          </w:rPr>
          <w:instrText xml:space="preserve"> PAGEREF _Toc66624276 \h </w:instrText>
        </w:r>
        <w:r w:rsidRPr="00E054BB">
          <w:rPr>
            <w:noProof/>
            <w:webHidden/>
          </w:rPr>
        </w:r>
        <w:r w:rsidRPr="00E054BB">
          <w:rPr>
            <w:noProof/>
            <w:webHidden/>
          </w:rPr>
          <w:fldChar w:fldCharType="separate"/>
        </w:r>
        <w:r w:rsidR="00380A6F">
          <w:rPr>
            <w:noProof/>
            <w:webHidden/>
          </w:rPr>
          <w:t>47</w:t>
        </w:r>
        <w:r w:rsidRPr="00E054BB">
          <w:rPr>
            <w:noProof/>
            <w:webHidden/>
          </w:rPr>
          <w:fldChar w:fldCharType="end"/>
        </w:r>
      </w:hyperlink>
    </w:p>
    <w:p w14:paraId="5AC9720F" w14:textId="1528CE6C" w:rsidR="00E054BB" w:rsidRP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77" w:history="1">
        <w:r w:rsidRPr="00E054BB">
          <w:rPr>
            <w:rStyle w:val="Hiperligao"/>
            <w:rFonts w:cs="Times New Roman"/>
            <w:noProof/>
          </w:rPr>
          <w:t>Gráfico 4.5 – Valores médios de ITM, por taxa população idosa, por ano (2013-2017)</w:t>
        </w:r>
        <w:r w:rsidRPr="00E054BB">
          <w:rPr>
            <w:noProof/>
            <w:webHidden/>
          </w:rPr>
          <w:tab/>
        </w:r>
        <w:r w:rsidRPr="00E054BB">
          <w:rPr>
            <w:noProof/>
            <w:webHidden/>
          </w:rPr>
          <w:fldChar w:fldCharType="begin"/>
        </w:r>
        <w:r w:rsidRPr="00E054BB">
          <w:rPr>
            <w:noProof/>
            <w:webHidden/>
          </w:rPr>
          <w:instrText xml:space="preserve"> PAGEREF _Toc66624277 \h </w:instrText>
        </w:r>
        <w:r w:rsidRPr="00E054BB">
          <w:rPr>
            <w:noProof/>
            <w:webHidden/>
          </w:rPr>
        </w:r>
        <w:r w:rsidRPr="00E054BB">
          <w:rPr>
            <w:noProof/>
            <w:webHidden/>
          </w:rPr>
          <w:fldChar w:fldCharType="separate"/>
        </w:r>
        <w:r w:rsidR="00380A6F">
          <w:rPr>
            <w:noProof/>
            <w:webHidden/>
          </w:rPr>
          <w:t>49</w:t>
        </w:r>
        <w:r w:rsidRPr="00E054BB">
          <w:rPr>
            <w:noProof/>
            <w:webHidden/>
          </w:rPr>
          <w:fldChar w:fldCharType="end"/>
        </w:r>
      </w:hyperlink>
    </w:p>
    <w:p w14:paraId="7D297D97" w14:textId="30824B10" w:rsidR="00E054BB" w:rsidRP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78" w:history="1">
        <w:r w:rsidRPr="00E054BB">
          <w:rPr>
            <w:rStyle w:val="Hiperligao"/>
            <w:rFonts w:cs="Times New Roman"/>
            <w:noProof/>
            <w:lang w:eastAsia="pt-PT"/>
          </w:rPr>
          <w:t>Gráfico 4.6 – Valores médios de ITM, por taxas de desemprego, por ano (2013-2017)</w:t>
        </w:r>
        <w:r w:rsidRPr="00E054BB">
          <w:rPr>
            <w:noProof/>
            <w:webHidden/>
          </w:rPr>
          <w:tab/>
        </w:r>
        <w:r w:rsidRPr="00E054BB">
          <w:rPr>
            <w:noProof/>
            <w:webHidden/>
          </w:rPr>
          <w:fldChar w:fldCharType="begin"/>
        </w:r>
        <w:r w:rsidRPr="00E054BB">
          <w:rPr>
            <w:noProof/>
            <w:webHidden/>
          </w:rPr>
          <w:instrText xml:space="preserve"> PAGEREF _Toc66624278 \h </w:instrText>
        </w:r>
        <w:r w:rsidRPr="00E054BB">
          <w:rPr>
            <w:noProof/>
            <w:webHidden/>
          </w:rPr>
        </w:r>
        <w:r w:rsidRPr="00E054BB">
          <w:rPr>
            <w:noProof/>
            <w:webHidden/>
          </w:rPr>
          <w:fldChar w:fldCharType="separate"/>
        </w:r>
        <w:r w:rsidR="00380A6F">
          <w:rPr>
            <w:noProof/>
            <w:webHidden/>
          </w:rPr>
          <w:t>51</w:t>
        </w:r>
        <w:r w:rsidRPr="00E054BB">
          <w:rPr>
            <w:noProof/>
            <w:webHidden/>
          </w:rPr>
          <w:fldChar w:fldCharType="end"/>
        </w:r>
      </w:hyperlink>
    </w:p>
    <w:p w14:paraId="3BC40962" w14:textId="6CB900BD" w:rsidR="00E054BB" w:rsidRP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279" w:history="1">
        <w:r w:rsidRPr="00E054BB">
          <w:rPr>
            <w:rStyle w:val="Hiperligao"/>
            <w:rFonts w:cs="Times New Roman"/>
            <w:noProof/>
            <w:lang w:eastAsia="pt-PT"/>
          </w:rPr>
          <w:t>Gráfico 4.7 - Valores médios de ITM, por percentagem de abstenção, por ano (2013-2017)</w:t>
        </w:r>
        <w:r w:rsidRPr="00E054BB">
          <w:rPr>
            <w:noProof/>
            <w:webHidden/>
          </w:rPr>
          <w:tab/>
        </w:r>
        <w:r w:rsidRPr="00E054BB">
          <w:rPr>
            <w:noProof/>
            <w:webHidden/>
          </w:rPr>
          <w:fldChar w:fldCharType="begin"/>
        </w:r>
        <w:r w:rsidRPr="00E054BB">
          <w:rPr>
            <w:noProof/>
            <w:webHidden/>
          </w:rPr>
          <w:instrText xml:space="preserve"> PAGEREF _Toc66624279 \h </w:instrText>
        </w:r>
        <w:r w:rsidRPr="00E054BB">
          <w:rPr>
            <w:noProof/>
            <w:webHidden/>
          </w:rPr>
        </w:r>
        <w:r w:rsidRPr="00E054BB">
          <w:rPr>
            <w:noProof/>
            <w:webHidden/>
          </w:rPr>
          <w:fldChar w:fldCharType="separate"/>
        </w:r>
        <w:r w:rsidR="00380A6F">
          <w:rPr>
            <w:noProof/>
            <w:webHidden/>
          </w:rPr>
          <w:t>53</w:t>
        </w:r>
        <w:r w:rsidRPr="00E054BB">
          <w:rPr>
            <w:noProof/>
            <w:webHidden/>
          </w:rPr>
          <w:fldChar w:fldCharType="end"/>
        </w:r>
      </w:hyperlink>
    </w:p>
    <w:p w14:paraId="5FD8D404" w14:textId="6AA8D46F" w:rsidR="007C00CF" w:rsidRPr="00FA4C62" w:rsidRDefault="007C00CF" w:rsidP="00E054BB">
      <w:pPr>
        <w:spacing w:line="360" w:lineRule="auto"/>
        <w:jc w:val="both"/>
        <w:rPr>
          <w:rFonts w:cs="Times New Roman"/>
        </w:rPr>
      </w:pPr>
      <w:r w:rsidRPr="00E054BB">
        <w:rPr>
          <w:rFonts w:cs="Times New Roman"/>
          <w:sz w:val="28"/>
        </w:rPr>
        <w:fldChar w:fldCharType="end"/>
      </w:r>
    </w:p>
    <w:p w14:paraId="477EF618" w14:textId="77777777" w:rsidR="00025AC7" w:rsidRDefault="00025AC7" w:rsidP="00942728">
      <w:pPr>
        <w:rPr>
          <w:rFonts w:cs="Times New Roman"/>
        </w:rPr>
      </w:pPr>
    </w:p>
    <w:p w14:paraId="4B5F033D" w14:textId="77777777" w:rsidR="007C00CF" w:rsidRDefault="007C00CF" w:rsidP="00942728">
      <w:pPr>
        <w:rPr>
          <w:rFonts w:cs="Times New Roman"/>
        </w:rPr>
      </w:pPr>
    </w:p>
    <w:p w14:paraId="170C244A" w14:textId="77777777" w:rsidR="007C00CF" w:rsidRDefault="007C00CF" w:rsidP="00942728">
      <w:pPr>
        <w:rPr>
          <w:rFonts w:cs="Times New Roman"/>
        </w:rPr>
      </w:pPr>
    </w:p>
    <w:p w14:paraId="47D8D84A" w14:textId="77777777" w:rsidR="007C00CF" w:rsidRDefault="007C00CF" w:rsidP="00942728">
      <w:pPr>
        <w:rPr>
          <w:rFonts w:cs="Times New Roman"/>
        </w:rPr>
      </w:pPr>
    </w:p>
    <w:p w14:paraId="64EE6B91" w14:textId="77777777" w:rsidR="007C00CF" w:rsidRDefault="007C00CF" w:rsidP="00942728">
      <w:pPr>
        <w:rPr>
          <w:rFonts w:cs="Times New Roman"/>
        </w:rPr>
      </w:pPr>
    </w:p>
    <w:p w14:paraId="29A18DF7" w14:textId="77777777" w:rsidR="007C00CF" w:rsidRDefault="007C00CF" w:rsidP="00942728">
      <w:pPr>
        <w:rPr>
          <w:rFonts w:cs="Times New Roman"/>
        </w:rPr>
      </w:pPr>
    </w:p>
    <w:p w14:paraId="35D012F9" w14:textId="77777777" w:rsidR="007C00CF" w:rsidRDefault="007C00CF" w:rsidP="00942728">
      <w:pPr>
        <w:rPr>
          <w:rFonts w:cs="Times New Roman"/>
        </w:rPr>
      </w:pPr>
    </w:p>
    <w:p w14:paraId="0A74B6EC" w14:textId="77777777" w:rsidR="007C00CF" w:rsidRDefault="007C00CF" w:rsidP="00942728">
      <w:pPr>
        <w:rPr>
          <w:rFonts w:cs="Times New Roman"/>
        </w:rPr>
      </w:pPr>
    </w:p>
    <w:p w14:paraId="2E3B40D8" w14:textId="295B17BD" w:rsidR="00D4605F" w:rsidRDefault="00D4605F" w:rsidP="00942728">
      <w:pPr>
        <w:rPr>
          <w:rFonts w:cs="Times New Roman"/>
        </w:rPr>
      </w:pPr>
    </w:p>
    <w:p w14:paraId="26AA80E8" w14:textId="7620168D" w:rsidR="00C91893" w:rsidRDefault="00C91893" w:rsidP="00942728">
      <w:pPr>
        <w:rPr>
          <w:rFonts w:cs="Times New Roman"/>
        </w:rPr>
      </w:pPr>
    </w:p>
    <w:p w14:paraId="480E09FF" w14:textId="77777777" w:rsidR="00C91893" w:rsidRDefault="00C91893" w:rsidP="00942728">
      <w:pPr>
        <w:rPr>
          <w:rFonts w:cs="Times New Roman"/>
        </w:rPr>
      </w:pPr>
    </w:p>
    <w:p w14:paraId="39E32BBA" w14:textId="7E0A7575" w:rsidR="000A3876" w:rsidRDefault="000A3876" w:rsidP="00942728">
      <w:pPr>
        <w:rPr>
          <w:rFonts w:cs="Times New Roman"/>
        </w:rPr>
      </w:pPr>
    </w:p>
    <w:p w14:paraId="72491611" w14:textId="7A61FA46" w:rsidR="00957AD3" w:rsidRDefault="00957AD3" w:rsidP="00942728">
      <w:pPr>
        <w:rPr>
          <w:rFonts w:cs="Times New Roman"/>
        </w:rPr>
      </w:pPr>
    </w:p>
    <w:p w14:paraId="1BCB3F4D" w14:textId="77777777" w:rsidR="0055122A" w:rsidRDefault="0055122A" w:rsidP="00942728">
      <w:pPr>
        <w:rPr>
          <w:rFonts w:cs="Times New Roman"/>
        </w:rPr>
      </w:pPr>
    </w:p>
    <w:p w14:paraId="1A86A729" w14:textId="3AC7852B" w:rsidR="002F2D70" w:rsidRDefault="002F2D70" w:rsidP="00942728">
      <w:pPr>
        <w:rPr>
          <w:rFonts w:cs="Times New Roman"/>
        </w:rPr>
      </w:pPr>
    </w:p>
    <w:p w14:paraId="7FB29DB4" w14:textId="77777777" w:rsidR="002F2D70" w:rsidRDefault="002F2D70" w:rsidP="00942728">
      <w:pPr>
        <w:rPr>
          <w:rFonts w:cs="Times New Roman"/>
        </w:rPr>
      </w:pPr>
    </w:p>
    <w:p w14:paraId="004917FA" w14:textId="4C112AE8" w:rsidR="007C00CF" w:rsidRPr="00CA6D47" w:rsidRDefault="007C00CF" w:rsidP="000959CD">
      <w:pPr>
        <w:pStyle w:val="Ttulo1"/>
        <w:spacing w:before="120" w:after="360"/>
        <w:jc w:val="center"/>
      </w:pPr>
      <w:bookmarkStart w:id="4" w:name="_Toc66624186"/>
      <w:r w:rsidRPr="00CA6D47">
        <w:lastRenderedPageBreak/>
        <w:t>Índice de Quadros</w:t>
      </w:r>
      <w:bookmarkEnd w:id="4"/>
    </w:p>
    <w:p w14:paraId="072ED611" w14:textId="0B19D701" w:rsidR="00E054BB" w:rsidRDefault="00C90AC5" w:rsidP="00E054BB">
      <w:pPr>
        <w:pStyle w:val="ndicedeilustraes"/>
        <w:tabs>
          <w:tab w:val="right" w:leader="dot" w:pos="8779"/>
        </w:tabs>
        <w:spacing w:line="360" w:lineRule="auto"/>
        <w:rPr>
          <w:rFonts w:asciiTheme="minorHAnsi" w:eastAsiaTheme="minorEastAsia" w:hAnsiTheme="minorHAnsi"/>
          <w:noProof/>
          <w:sz w:val="22"/>
          <w:lang w:eastAsia="pt-PT"/>
        </w:rPr>
      </w:pPr>
      <w:r>
        <w:rPr>
          <w:rFonts w:cs="Times New Roman"/>
          <w:szCs w:val="24"/>
        </w:rPr>
        <w:fldChar w:fldCharType="begin"/>
      </w:r>
      <w:r>
        <w:rPr>
          <w:rFonts w:cs="Times New Roman"/>
          <w:szCs w:val="24"/>
        </w:rPr>
        <w:instrText xml:space="preserve"> TOC \h \z \c "Quadro" </w:instrText>
      </w:r>
      <w:r>
        <w:rPr>
          <w:rFonts w:cs="Times New Roman"/>
          <w:szCs w:val="24"/>
        </w:rPr>
        <w:fldChar w:fldCharType="separate"/>
      </w:r>
      <w:hyperlink w:anchor="_Toc66624300" w:history="1">
        <w:r w:rsidR="00E054BB" w:rsidRPr="001A40C7">
          <w:rPr>
            <w:rStyle w:val="Hiperligao"/>
            <w:rFonts w:cs="Times New Roman"/>
            <w:noProof/>
          </w:rPr>
          <w:t>Quadro 2.1 - Determinantes que influenciam a transparência na administração pública</w:t>
        </w:r>
        <w:r w:rsidR="00E054BB">
          <w:rPr>
            <w:noProof/>
            <w:webHidden/>
          </w:rPr>
          <w:tab/>
        </w:r>
        <w:r w:rsidR="00E054BB">
          <w:rPr>
            <w:noProof/>
            <w:webHidden/>
          </w:rPr>
          <w:fldChar w:fldCharType="begin"/>
        </w:r>
        <w:r w:rsidR="00E054BB">
          <w:rPr>
            <w:noProof/>
            <w:webHidden/>
          </w:rPr>
          <w:instrText xml:space="preserve"> PAGEREF _Toc66624300 \h </w:instrText>
        </w:r>
        <w:r w:rsidR="00E054BB">
          <w:rPr>
            <w:noProof/>
            <w:webHidden/>
          </w:rPr>
        </w:r>
        <w:r w:rsidR="00E054BB">
          <w:rPr>
            <w:noProof/>
            <w:webHidden/>
          </w:rPr>
          <w:fldChar w:fldCharType="separate"/>
        </w:r>
        <w:r w:rsidR="00380A6F">
          <w:rPr>
            <w:noProof/>
            <w:webHidden/>
          </w:rPr>
          <w:t>14</w:t>
        </w:r>
        <w:r w:rsidR="00E054BB">
          <w:rPr>
            <w:noProof/>
            <w:webHidden/>
          </w:rPr>
          <w:fldChar w:fldCharType="end"/>
        </w:r>
      </w:hyperlink>
    </w:p>
    <w:p w14:paraId="2AD70B11" w14:textId="0C68BE64" w:rsid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301" w:history="1">
        <w:r w:rsidRPr="001A40C7">
          <w:rPr>
            <w:rStyle w:val="Hiperligao"/>
            <w:noProof/>
          </w:rPr>
          <w:t>Quadro 4.1 - Designação e tipo das Variáveis</w:t>
        </w:r>
        <w:r>
          <w:rPr>
            <w:noProof/>
            <w:webHidden/>
          </w:rPr>
          <w:tab/>
        </w:r>
        <w:r>
          <w:rPr>
            <w:noProof/>
            <w:webHidden/>
          </w:rPr>
          <w:fldChar w:fldCharType="begin"/>
        </w:r>
        <w:r>
          <w:rPr>
            <w:noProof/>
            <w:webHidden/>
          </w:rPr>
          <w:instrText xml:space="preserve"> PAGEREF _Toc66624301 \h </w:instrText>
        </w:r>
        <w:r>
          <w:rPr>
            <w:noProof/>
            <w:webHidden/>
          </w:rPr>
        </w:r>
        <w:r>
          <w:rPr>
            <w:noProof/>
            <w:webHidden/>
          </w:rPr>
          <w:fldChar w:fldCharType="separate"/>
        </w:r>
        <w:r w:rsidR="00380A6F">
          <w:rPr>
            <w:noProof/>
            <w:webHidden/>
          </w:rPr>
          <w:t>27</w:t>
        </w:r>
        <w:r>
          <w:rPr>
            <w:noProof/>
            <w:webHidden/>
          </w:rPr>
          <w:fldChar w:fldCharType="end"/>
        </w:r>
      </w:hyperlink>
    </w:p>
    <w:p w14:paraId="16D04A31" w14:textId="65E823CC" w:rsid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302" w:history="1">
        <w:r w:rsidRPr="001A40C7">
          <w:rPr>
            <w:rStyle w:val="Hiperligao"/>
            <w:noProof/>
          </w:rPr>
          <w:t>Quadro 4.2 - Fontes de pesquisa das variáveis</w:t>
        </w:r>
        <w:r>
          <w:rPr>
            <w:noProof/>
            <w:webHidden/>
          </w:rPr>
          <w:tab/>
        </w:r>
        <w:r>
          <w:rPr>
            <w:noProof/>
            <w:webHidden/>
          </w:rPr>
          <w:fldChar w:fldCharType="begin"/>
        </w:r>
        <w:r>
          <w:rPr>
            <w:noProof/>
            <w:webHidden/>
          </w:rPr>
          <w:instrText xml:space="preserve"> PAGEREF _Toc66624302 \h </w:instrText>
        </w:r>
        <w:r>
          <w:rPr>
            <w:noProof/>
            <w:webHidden/>
          </w:rPr>
        </w:r>
        <w:r>
          <w:rPr>
            <w:noProof/>
            <w:webHidden/>
          </w:rPr>
          <w:fldChar w:fldCharType="separate"/>
        </w:r>
        <w:r w:rsidR="00380A6F">
          <w:rPr>
            <w:noProof/>
            <w:webHidden/>
          </w:rPr>
          <w:t>29</w:t>
        </w:r>
        <w:r>
          <w:rPr>
            <w:noProof/>
            <w:webHidden/>
          </w:rPr>
          <w:fldChar w:fldCharType="end"/>
        </w:r>
      </w:hyperlink>
    </w:p>
    <w:p w14:paraId="4FBB0A6C" w14:textId="7168EE1D" w:rsidR="00E054BB" w:rsidRDefault="00E054BB" w:rsidP="00E054BB">
      <w:pPr>
        <w:pStyle w:val="ndicedeilustraes"/>
        <w:tabs>
          <w:tab w:val="right" w:leader="dot" w:pos="8779"/>
        </w:tabs>
        <w:spacing w:line="360" w:lineRule="auto"/>
        <w:rPr>
          <w:rFonts w:asciiTheme="minorHAnsi" w:eastAsiaTheme="minorEastAsia" w:hAnsiTheme="minorHAnsi"/>
          <w:noProof/>
          <w:sz w:val="22"/>
          <w:lang w:eastAsia="pt-PT"/>
        </w:rPr>
      </w:pPr>
      <w:hyperlink w:anchor="_Toc66624303" w:history="1">
        <w:r w:rsidRPr="001A40C7">
          <w:rPr>
            <w:rStyle w:val="Hiperligao"/>
            <w:noProof/>
          </w:rPr>
          <w:t>Quadro 4.3 - Hipóteses de Investigação</w:t>
        </w:r>
        <w:r>
          <w:rPr>
            <w:noProof/>
            <w:webHidden/>
          </w:rPr>
          <w:tab/>
        </w:r>
        <w:r>
          <w:rPr>
            <w:noProof/>
            <w:webHidden/>
          </w:rPr>
          <w:fldChar w:fldCharType="begin"/>
        </w:r>
        <w:r>
          <w:rPr>
            <w:noProof/>
            <w:webHidden/>
          </w:rPr>
          <w:instrText xml:space="preserve"> PAGEREF _Toc66624303 \h </w:instrText>
        </w:r>
        <w:r>
          <w:rPr>
            <w:noProof/>
            <w:webHidden/>
          </w:rPr>
        </w:r>
        <w:r>
          <w:rPr>
            <w:noProof/>
            <w:webHidden/>
          </w:rPr>
          <w:fldChar w:fldCharType="separate"/>
        </w:r>
        <w:r w:rsidR="00380A6F">
          <w:rPr>
            <w:noProof/>
            <w:webHidden/>
          </w:rPr>
          <w:t>33</w:t>
        </w:r>
        <w:r>
          <w:rPr>
            <w:noProof/>
            <w:webHidden/>
          </w:rPr>
          <w:fldChar w:fldCharType="end"/>
        </w:r>
      </w:hyperlink>
    </w:p>
    <w:p w14:paraId="11BAA9BD" w14:textId="558BBC28" w:rsidR="007C00CF" w:rsidRPr="00F851D0" w:rsidRDefault="00C90AC5" w:rsidP="00E054BB">
      <w:pPr>
        <w:tabs>
          <w:tab w:val="left" w:pos="3261"/>
        </w:tabs>
        <w:spacing w:line="360" w:lineRule="auto"/>
        <w:jc w:val="both"/>
        <w:rPr>
          <w:rFonts w:cs="Times New Roman"/>
          <w:szCs w:val="24"/>
        </w:rPr>
      </w:pPr>
      <w:r>
        <w:rPr>
          <w:rFonts w:cs="Times New Roman"/>
          <w:szCs w:val="24"/>
        </w:rPr>
        <w:fldChar w:fldCharType="end"/>
      </w:r>
    </w:p>
    <w:p w14:paraId="6CB3CBC3" w14:textId="77777777" w:rsidR="00025AC7" w:rsidRDefault="00025AC7" w:rsidP="00942728">
      <w:pPr>
        <w:rPr>
          <w:rFonts w:cs="Times New Roman"/>
        </w:rPr>
      </w:pPr>
    </w:p>
    <w:p w14:paraId="7E7E0515" w14:textId="77777777" w:rsidR="00CA6D47" w:rsidRDefault="00CA6D47" w:rsidP="00942728">
      <w:pPr>
        <w:rPr>
          <w:rFonts w:cs="Times New Roman"/>
        </w:rPr>
      </w:pPr>
    </w:p>
    <w:p w14:paraId="4395F4BC" w14:textId="77777777" w:rsidR="00CA6D47" w:rsidRDefault="00CA6D47" w:rsidP="00942728">
      <w:pPr>
        <w:rPr>
          <w:rFonts w:cs="Times New Roman"/>
        </w:rPr>
      </w:pPr>
    </w:p>
    <w:p w14:paraId="6ADA9EBF" w14:textId="77777777" w:rsidR="00CA6D47" w:rsidRDefault="00CA6D47" w:rsidP="00942728">
      <w:pPr>
        <w:rPr>
          <w:rFonts w:cs="Times New Roman"/>
        </w:rPr>
      </w:pPr>
    </w:p>
    <w:p w14:paraId="6008E60B" w14:textId="77777777" w:rsidR="00CA6D47" w:rsidRDefault="00CA6D47" w:rsidP="00942728">
      <w:pPr>
        <w:rPr>
          <w:rFonts w:cs="Times New Roman"/>
        </w:rPr>
      </w:pPr>
    </w:p>
    <w:p w14:paraId="506E19F9" w14:textId="77777777" w:rsidR="00CA6D47" w:rsidRDefault="00CA6D47" w:rsidP="00942728">
      <w:pPr>
        <w:rPr>
          <w:rFonts w:cs="Times New Roman"/>
        </w:rPr>
      </w:pPr>
    </w:p>
    <w:p w14:paraId="2AE74777" w14:textId="77777777" w:rsidR="00CA6D47" w:rsidRDefault="00CA6D47" w:rsidP="00942728">
      <w:pPr>
        <w:rPr>
          <w:rFonts w:cs="Times New Roman"/>
        </w:rPr>
      </w:pPr>
    </w:p>
    <w:p w14:paraId="05AD6A30" w14:textId="77777777" w:rsidR="00CA6D47" w:rsidRDefault="00CA6D47" w:rsidP="00942728">
      <w:pPr>
        <w:rPr>
          <w:rFonts w:cs="Times New Roman"/>
        </w:rPr>
      </w:pPr>
    </w:p>
    <w:p w14:paraId="68CF71A0" w14:textId="77777777" w:rsidR="00CA6D47" w:rsidRDefault="00CA6D47" w:rsidP="00942728">
      <w:pPr>
        <w:rPr>
          <w:rFonts w:cs="Times New Roman"/>
        </w:rPr>
      </w:pPr>
    </w:p>
    <w:p w14:paraId="7946FE2F" w14:textId="77777777" w:rsidR="00CA6D47" w:rsidRDefault="00CA6D47" w:rsidP="00942728">
      <w:pPr>
        <w:rPr>
          <w:rFonts w:cs="Times New Roman"/>
        </w:rPr>
      </w:pPr>
    </w:p>
    <w:p w14:paraId="339242F7" w14:textId="77777777" w:rsidR="00CA6D47" w:rsidRDefault="00CA6D47" w:rsidP="00942728">
      <w:pPr>
        <w:rPr>
          <w:rFonts w:cs="Times New Roman"/>
        </w:rPr>
      </w:pPr>
    </w:p>
    <w:p w14:paraId="0D1FDB2B" w14:textId="77777777" w:rsidR="00CA6D47" w:rsidRDefault="00CA6D47" w:rsidP="00942728">
      <w:pPr>
        <w:rPr>
          <w:rFonts w:cs="Times New Roman"/>
        </w:rPr>
      </w:pPr>
    </w:p>
    <w:p w14:paraId="1A27C782" w14:textId="77777777" w:rsidR="00CA6D47" w:rsidRDefault="00CA6D47" w:rsidP="00942728">
      <w:pPr>
        <w:rPr>
          <w:rFonts w:cs="Times New Roman"/>
        </w:rPr>
      </w:pPr>
    </w:p>
    <w:p w14:paraId="031D7343" w14:textId="77777777" w:rsidR="00CA6D47" w:rsidRDefault="00CA6D47" w:rsidP="00942728">
      <w:pPr>
        <w:rPr>
          <w:rFonts w:cs="Times New Roman"/>
        </w:rPr>
      </w:pPr>
    </w:p>
    <w:p w14:paraId="1BDB8B30" w14:textId="77777777" w:rsidR="00CA6D47" w:rsidRDefault="00CA6D47" w:rsidP="00942728">
      <w:pPr>
        <w:rPr>
          <w:rFonts w:cs="Times New Roman"/>
        </w:rPr>
      </w:pPr>
    </w:p>
    <w:p w14:paraId="50776C9B" w14:textId="77777777" w:rsidR="00CA6D47" w:rsidRDefault="00CA6D47" w:rsidP="00942728">
      <w:pPr>
        <w:rPr>
          <w:rFonts w:cs="Times New Roman"/>
        </w:rPr>
      </w:pPr>
    </w:p>
    <w:p w14:paraId="108E61AF" w14:textId="77777777" w:rsidR="00CA6D47" w:rsidRDefault="00CA6D47" w:rsidP="00942728">
      <w:pPr>
        <w:rPr>
          <w:rFonts w:cs="Times New Roman"/>
        </w:rPr>
      </w:pPr>
    </w:p>
    <w:p w14:paraId="41463537" w14:textId="77777777" w:rsidR="00CA6D47" w:rsidRDefault="00CA6D47" w:rsidP="00942728">
      <w:pPr>
        <w:rPr>
          <w:rFonts w:cs="Times New Roman"/>
        </w:rPr>
      </w:pPr>
    </w:p>
    <w:p w14:paraId="3D745320" w14:textId="77777777" w:rsidR="00CA6D47" w:rsidRDefault="00CA6D47" w:rsidP="00942728">
      <w:pPr>
        <w:rPr>
          <w:rFonts w:cs="Times New Roman"/>
        </w:rPr>
      </w:pPr>
    </w:p>
    <w:p w14:paraId="32A5CBCA" w14:textId="77777777" w:rsidR="00CA6D47" w:rsidRDefault="00CA6D47" w:rsidP="00942728">
      <w:pPr>
        <w:rPr>
          <w:rFonts w:cs="Times New Roman"/>
        </w:rPr>
      </w:pPr>
    </w:p>
    <w:p w14:paraId="279059EE" w14:textId="77777777" w:rsidR="000A3876" w:rsidRDefault="000A3876" w:rsidP="00942728">
      <w:pPr>
        <w:rPr>
          <w:rFonts w:cs="Times New Roman"/>
        </w:rPr>
      </w:pPr>
    </w:p>
    <w:p w14:paraId="578D6019" w14:textId="65AC8A87" w:rsidR="00CA6D47" w:rsidRDefault="00CA6D47" w:rsidP="00F01ECA">
      <w:pPr>
        <w:pStyle w:val="Ttulo1"/>
        <w:jc w:val="center"/>
      </w:pPr>
      <w:bookmarkStart w:id="5" w:name="_Toc66624187"/>
      <w:r w:rsidRPr="00CA6D47">
        <w:lastRenderedPageBreak/>
        <w:t>Lista de Abreviaturas</w:t>
      </w:r>
      <w:bookmarkEnd w:id="5"/>
    </w:p>
    <w:p w14:paraId="39F135BB" w14:textId="77777777" w:rsidR="00AD4D09" w:rsidRPr="00FE0A97" w:rsidRDefault="00AD4D09" w:rsidP="00CA6D47">
      <w:pPr>
        <w:jc w:val="center"/>
        <w:rPr>
          <w:rFonts w:cs="Times New Roman"/>
          <w:b/>
          <w:spacing w:val="20"/>
        </w:rPr>
      </w:pPr>
    </w:p>
    <w:p w14:paraId="39B9993E" w14:textId="62031756" w:rsidR="00AD4D09" w:rsidRDefault="00AD4D09" w:rsidP="00AD4D09">
      <w:pPr>
        <w:jc w:val="both"/>
        <w:rPr>
          <w:rFonts w:cs="Times New Roman"/>
        </w:rPr>
      </w:pPr>
      <w:r w:rsidRPr="006C1C74">
        <w:rPr>
          <w:rFonts w:cs="Times New Roman"/>
          <w:b/>
        </w:rPr>
        <w:t>BCE</w:t>
      </w:r>
      <w:r>
        <w:rPr>
          <w:rFonts w:cs="Times New Roman"/>
        </w:rPr>
        <w:t xml:space="preserve"> - </w:t>
      </w:r>
      <w:r w:rsidRPr="009F354A">
        <w:rPr>
          <w:rFonts w:cs="Times New Roman"/>
        </w:rPr>
        <w:t>Banco Central Europeu</w:t>
      </w:r>
      <w:r>
        <w:rPr>
          <w:rFonts w:cs="Times New Roman"/>
        </w:rPr>
        <w:t xml:space="preserve"> </w:t>
      </w:r>
    </w:p>
    <w:p w14:paraId="2B3BAB2A" w14:textId="77777777" w:rsidR="00AD4D09" w:rsidRDefault="00AD4D09" w:rsidP="00AD4D09">
      <w:pPr>
        <w:jc w:val="both"/>
        <w:rPr>
          <w:rFonts w:cs="Times New Roman"/>
          <w:szCs w:val="24"/>
        </w:rPr>
      </w:pPr>
      <w:r w:rsidRPr="00320DBF">
        <w:rPr>
          <w:rFonts w:cs="Times New Roman"/>
          <w:b/>
          <w:bCs/>
          <w:szCs w:val="24"/>
        </w:rPr>
        <w:t>CCP</w:t>
      </w:r>
      <w:r>
        <w:rPr>
          <w:rFonts w:cs="Times New Roman"/>
          <w:szCs w:val="24"/>
        </w:rPr>
        <w:t xml:space="preserve"> – Código Competição Política</w:t>
      </w:r>
    </w:p>
    <w:p w14:paraId="11739D21" w14:textId="77777777" w:rsidR="00AD4D09" w:rsidRDefault="00AD4D09" w:rsidP="00AD4D09">
      <w:pPr>
        <w:jc w:val="both"/>
        <w:rPr>
          <w:rFonts w:cs="Times New Roman"/>
        </w:rPr>
      </w:pPr>
      <w:r w:rsidRPr="006C1C74">
        <w:rPr>
          <w:rFonts w:cs="Times New Roman"/>
          <w:b/>
        </w:rPr>
        <w:t>CE</w:t>
      </w:r>
      <w:r>
        <w:rPr>
          <w:rFonts w:cs="Times New Roman"/>
        </w:rPr>
        <w:t xml:space="preserve"> - </w:t>
      </w:r>
      <w:r w:rsidRPr="009F354A">
        <w:rPr>
          <w:rFonts w:cs="Times New Roman"/>
        </w:rPr>
        <w:t>Comissão Europeia</w:t>
      </w:r>
      <w:r>
        <w:rPr>
          <w:rFonts w:cs="Times New Roman"/>
        </w:rPr>
        <w:t xml:space="preserve"> </w:t>
      </w:r>
    </w:p>
    <w:p w14:paraId="49DD281C" w14:textId="5A06227F" w:rsidR="00AD4D09" w:rsidRDefault="00AD4D09" w:rsidP="00AD4D09">
      <w:pPr>
        <w:jc w:val="both"/>
        <w:rPr>
          <w:rFonts w:cs="Times New Roman"/>
          <w:szCs w:val="24"/>
        </w:rPr>
      </w:pPr>
      <w:r>
        <w:rPr>
          <w:rFonts w:cs="Times New Roman"/>
          <w:b/>
        </w:rPr>
        <w:t>C</w:t>
      </w:r>
      <w:r w:rsidRPr="006C1C74">
        <w:rPr>
          <w:rFonts w:cs="Times New Roman"/>
          <w:b/>
        </w:rPr>
        <w:t xml:space="preserve">P </w:t>
      </w:r>
      <w:r w:rsidRPr="00FE0A97">
        <w:rPr>
          <w:rFonts w:cs="Times New Roman"/>
          <w:b/>
          <w:spacing w:val="20"/>
        </w:rPr>
        <w:t>–</w:t>
      </w:r>
      <w:r>
        <w:rPr>
          <w:rFonts w:cs="Times New Roman"/>
          <w:b/>
          <w:spacing w:val="20"/>
          <w:sz w:val="28"/>
        </w:rPr>
        <w:t xml:space="preserve"> </w:t>
      </w:r>
      <w:r>
        <w:rPr>
          <w:rFonts w:cs="Times New Roman"/>
          <w:szCs w:val="24"/>
        </w:rPr>
        <w:t>Competição</w:t>
      </w:r>
      <w:r w:rsidRPr="00FE0A97">
        <w:rPr>
          <w:rFonts w:cs="Times New Roman"/>
          <w:szCs w:val="24"/>
        </w:rPr>
        <w:t xml:space="preserve"> Política</w:t>
      </w:r>
    </w:p>
    <w:p w14:paraId="49170974" w14:textId="77777777" w:rsidR="00AD4D09" w:rsidRDefault="00AD4D09" w:rsidP="00AD4D09">
      <w:pPr>
        <w:jc w:val="both"/>
        <w:rPr>
          <w:rFonts w:cs="Times New Roman"/>
          <w:szCs w:val="24"/>
        </w:rPr>
      </w:pPr>
      <w:r w:rsidRPr="006C1C74">
        <w:rPr>
          <w:rFonts w:cs="Times New Roman"/>
          <w:b/>
        </w:rPr>
        <w:t>CRP</w:t>
      </w:r>
      <w:r>
        <w:rPr>
          <w:rFonts w:cs="Times New Roman"/>
          <w:b/>
          <w:spacing w:val="20"/>
          <w:sz w:val="28"/>
        </w:rPr>
        <w:t xml:space="preserve"> – </w:t>
      </w:r>
      <w:r w:rsidRPr="006C1C74">
        <w:rPr>
          <w:rFonts w:cs="Times New Roman"/>
          <w:szCs w:val="24"/>
        </w:rPr>
        <w:t>Constituição</w:t>
      </w:r>
      <w:r>
        <w:rPr>
          <w:rFonts w:cs="Times New Roman"/>
          <w:szCs w:val="24"/>
        </w:rPr>
        <w:t xml:space="preserve"> da República Portuguesa</w:t>
      </w:r>
    </w:p>
    <w:p w14:paraId="0C353FAC" w14:textId="77777777" w:rsidR="00AD4D09" w:rsidRDefault="00AD4D09" w:rsidP="00AD4D09">
      <w:pPr>
        <w:jc w:val="both"/>
        <w:rPr>
          <w:rFonts w:cs="Times New Roman"/>
          <w:szCs w:val="24"/>
        </w:rPr>
      </w:pPr>
      <w:r>
        <w:rPr>
          <w:rFonts w:cs="Times New Roman"/>
          <w:b/>
        </w:rPr>
        <w:t>DE</w:t>
      </w:r>
      <w:r w:rsidRPr="006C1C74">
        <w:rPr>
          <w:rFonts w:cs="Times New Roman"/>
          <w:b/>
        </w:rPr>
        <w:t xml:space="preserve"> –</w:t>
      </w:r>
      <w:r w:rsidRPr="00FE0A97">
        <w:rPr>
          <w:rFonts w:cs="Times New Roman"/>
          <w:b/>
          <w:spacing w:val="20"/>
        </w:rPr>
        <w:t xml:space="preserve"> </w:t>
      </w:r>
      <w:r>
        <w:rPr>
          <w:rFonts w:cs="Times New Roman"/>
          <w:szCs w:val="24"/>
        </w:rPr>
        <w:t xml:space="preserve">Despesa Efetiva </w:t>
      </w:r>
      <w:r w:rsidRPr="00506E82">
        <w:rPr>
          <w:rFonts w:cs="Times New Roman"/>
          <w:i/>
          <w:iCs/>
          <w:szCs w:val="24"/>
        </w:rPr>
        <w:t>Per Capita</w:t>
      </w:r>
    </w:p>
    <w:p w14:paraId="142E1E25" w14:textId="77777777" w:rsidR="00AD4D09" w:rsidRDefault="00AD4D09" w:rsidP="00AD4D09">
      <w:pPr>
        <w:jc w:val="both"/>
        <w:rPr>
          <w:rFonts w:cs="Times New Roman"/>
          <w:b/>
          <w:spacing w:val="20"/>
          <w:sz w:val="28"/>
        </w:rPr>
      </w:pPr>
      <w:r w:rsidRPr="006C1C74">
        <w:rPr>
          <w:rFonts w:cs="Times New Roman"/>
          <w:b/>
        </w:rPr>
        <w:t xml:space="preserve">DGAI </w:t>
      </w:r>
      <w:r w:rsidRPr="00FE0A97">
        <w:rPr>
          <w:rFonts w:cs="Times New Roman"/>
          <w:b/>
          <w:spacing w:val="20"/>
        </w:rPr>
        <w:t xml:space="preserve">– </w:t>
      </w:r>
      <w:r w:rsidRPr="00FE0A97">
        <w:rPr>
          <w:rFonts w:cs="Times New Roman"/>
          <w:szCs w:val="24"/>
        </w:rPr>
        <w:t>Direção Geral das Administrações Internas</w:t>
      </w:r>
    </w:p>
    <w:p w14:paraId="4BFA7122" w14:textId="77777777" w:rsidR="00970924" w:rsidRDefault="00970924" w:rsidP="00970924">
      <w:pPr>
        <w:jc w:val="both"/>
        <w:rPr>
          <w:rFonts w:cs="Times New Roman"/>
          <w:szCs w:val="24"/>
        </w:rPr>
      </w:pPr>
      <w:r w:rsidRPr="006C1C74">
        <w:rPr>
          <w:rFonts w:cs="Times New Roman"/>
          <w:b/>
          <w:szCs w:val="24"/>
        </w:rPr>
        <w:t xml:space="preserve">FMI </w:t>
      </w:r>
      <w:r>
        <w:rPr>
          <w:rFonts w:cs="Times New Roman"/>
          <w:szCs w:val="24"/>
        </w:rPr>
        <w:t xml:space="preserve">- Fundo Monetário Internacional </w:t>
      </w:r>
    </w:p>
    <w:p w14:paraId="35362EAD" w14:textId="77777777" w:rsidR="00970924" w:rsidRDefault="00970924" w:rsidP="00970924">
      <w:pPr>
        <w:jc w:val="both"/>
        <w:rPr>
          <w:rFonts w:cs="Times New Roman"/>
          <w:szCs w:val="24"/>
        </w:rPr>
      </w:pPr>
      <w:r w:rsidRPr="00FE0A97">
        <w:rPr>
          <w:rFonts w:cs="Times New Roman"/>
          <w:b/>
          <w:spacing w:val="20"/>
        </w:rPr>
        <w:t>I</w:t>
      </w:r>
      <w:r w:rsidRPr="006C1C74">
        <w:rPr>
          <w:rFonts w:cs="Times New Roman"/>
          <w:b/>
        </w:rPr>
        <w:t>NE</w:t>
      </w:r>
      <w:r w:rsidRPr="00FE0A97">
        <w:rPr>
          <w:rFonts w:cs="Times New Roman"/>
          <w:b/>
          <w:spacing w:val="20"/>
        </w:rPr>
        <w:t xml:space="preserve"> – </w:t>
      </w:r>
      <w:r w:rsidRPr="00FE0A97">
        <w:rPr>
          <w:rFonts w:cs="Times New Roman"/>
          <w:szCs w:val="24"/>
        </w:rPr>
        <w:t>Instituto Nacional de Estatística</w:t>
      </w:r>
    </w:p>
    <w:p w14:paraId="505B3D8D" w14:textId="77777777" w:rsidR="00970924" w:rsidRDefault="00970924" w:rsidP="00970924">
      <w:pPr>
        <w:jc w:val="both"/>
        <w:rPr>
          <w:rFonts w:cs="Times New Roman"/>
          <w:b/>
          <w:spacing w:val="20"/>
          <w:sz w:val="28"/>
        </w:rPr>
      </w:pPr>
      <w:r w:rsidRPr="006C1C74">
        <w:rPr>
          <w:rFonts w:cs="Times New Roman"/>
          <w:b/>
        </w:rPr>
        <w:t>IPP</w:t>
      </w:r>
      <w:r>
        <w:rPr>
          <w:rFonts w:cs="Times New Roman"/>
          <w:b/>
          <w:spacing w:val="20"/>
          <w:sz w:val="28"/>
        </w:rPr>
        <w:t xml:space="preserve"> </w:t>
      </w:r>
      <w:r w:rsidRPr="00FE0A97">
        <w:rPr>
          <w:rFonts w:cs="Times New Roman"/>
          <w:b/>
          <w:spacing w:val="20"/>
        </w:rPr>
        <w:t>–</w:t>
      </w:r>
      <w:r>
        <w:rPr>
          <w:rFonts w:cs="Times New Roman"/>
          <w:b/>
          <w:spacing w:val="20"/>
          <w:sz w:val="28"/>
        </w:rPr>
        <w:t xml:space="preserve"> </w:t>
      </w:r>
      <w:r w:rsidRPr="00FE0A97">
        <w:rPr>
          <w:rFonts w:cs="Times New Roman"/>
          <w:szCs w:val="24"/>
        </w:rPr>
        <w:t>Ideologia do Partido Político</w:t>
      </w:r>
    </w:p>
    <w:p w14:paraId="7B57A8D2" w14:textId="77777777" w:rsidR="00970924" w:rsidRDefault="00970924" w:rsidP="00970924">
      <w:pPr>
        <w:jc w:val="both"/>
        <w:rPr>
          <w:rFonts w:cs="Times New Roman"/>
          <w:b/>
          <w:spacing w:val="20"/>
          <w:sz w:val="28"/>
        </w:rPr>
      </w:pPr>
      <w:r w:rsidRPr="006C1C74">
        <w:rPr>
          <w:rFonts w:cs="Times New Roman"/>
          <w:b/>
        </w:rPr>
        <w:t>ITM</w:t>
      </w:r>
      <w:r>
        <w:rPr>
          <w:rFonts w:cs="Times New Roman"/>
          <w:b/>
          <w:spacing w:val="20"/>
          <w:sz w:val="28"/>
        </w:rPr>
        <w:t xml:space="preserve"> </w:t>
      </w:r>
      <w:r w:rsidRPr="00FE0A97">
        <w:rPr>
          <w:rFonts w:cs="Times New Roman"/>
          <w:b/>
          <w:spacing w:val="20"/>
        </w:rPr>
        <w:t>–</w:t>
      </w:r>
      <w:r>
        <w:rPr>
          <w:rFonts w:cs="Times New Roman"/>
          <w:b/>
          <w:spacing w:val="20"/>
          <w:sz w:val="28"/>
        </w:rPr>
        <w:t xml:space="preserve"> </w:t>
      </w:r>
      <w:r w:rsidRPr="00FE0A97">
        <w:rPr>
          <w:rFonts w:cs="Times New Roman"/>
          <w:szCs w:val="24"/>
        </w:rPr>
        <w:t>Índice de Transparência Municipal</w:t>
      </w:r>
    </w:p>
    <w:p w14:paraId="7E27EEC8" w14:textId="1C368FE3" w:rsidR="00970924" w:rsidRDefault="00970924" w:rsidP="00970924">
      <w:pPr>
        <w:jc w:val="both"/>
        <w:rPr>
          <w:rFonts w:cs="Times New Roman"/>
          <w:i/>
          <w:iCs/>
          <w:szCs w:val="24"/>
        </w:rPr>
      </w:pPr>
      <w:r>
        <w:rPr>
          <w:rFonts w:cs="Times New Roman"/>
          <w:b/>
          <w:bCs/>
          <w:szCs w:val="24"/>
        </w:rPr>
        <w:t>M</w:t>
      </w:r>
      <w:r w:rsidRPr="00D85EEC">
        <w:rPr>
          <w:rFonts w:cs="Times New Roman"/>
          <w:b/>
          <w:bCs/>
          <w:szCs w:val="24"/>
        </w:rPr>
        <w:t>D</w:t>
      </w:r>
      <w:r>
        <w:rPr>
          <w:rFonts w:cs="Times New Roman"/>
          <w:b/>
          <w:bCs/>
          <w:szCs w:val="24"/>
        </w:rPr>
        <w:t>E</w:t>
      </w:r>
      <w:r>
        <w:rPr>
          <w:rFonts w:cs="Times New Roman"/>
          <w:szCs w:val="24"/>
        </w:rPr>
        <w:t xml:space="preserve"> – Média da Despesa Efetiva </w:t>
      </w:r>
      <w:r w:rsidRPr="00506E82">
        <w:rPr>
          <w:rFonts w:cs="Times New Roman"/>
          <w:i/>
          <w:iCs/>
          <w:szCs w:val="24"/>
        </w:rPr>
        <w:t>Per Capita</w:t>
      </w:r>
    </w:p>
    <w:p w14:paraId="743ABB46" w14:textId="32983AE5" w:rsidR="00970924" w:rsidRDefault="00970924" w:rsidP="00970924">
      <w:pPr>
        <w:jc w:val="both"/>
        <w:rPr>
          <w:rFonts w:cs="Times New Roman"/>
          <w:szCs w:val="24"/>
        </w:rPr>
      </w:pPr>
      <w:r>
        <w:rPr>
          <w:rFonts w:cs="Times New Roman"/>
          <w:b/>
          <w:bCs/>
          <w:szCs w:val="24"/>
        </w:rPr>
        <w:t>M</w:t>
      </w:r>
      <w:r w:rsidRPr="00DA21BB">
        <w:rPr>
          <w:rFonts w:cs="Times New Roman"/>
          <w:b/>
          <w:bCs/>
          <w:szCs w:val="24"/>
        </w:rPr>
        <w:t xml:space="preserve">PA </w:t>
      </w:r>
      <w:r>
        <w:rPr>
          <w:rFonts w:cs="Times New Roman"/>
          <w:szCs w:val="24"/>
        </w:rPr>
        <w:t>– Média da Percentagem de Abstenção</w:t>
      </w:r>
    </w:p>
    <w:p w14:paraId="15182BCD" w14:textId="68A03D4D" w:rsidR="00970924" w:rsidRDefault="00970924" w:rsidP="00970924">
      <w:pPr>
        <w:jc w:val="both"/>
        <w:rPr>
          <w:rFonts w:cs="Times New Roman"/>
          <w:b/>
          <w:spacing w:val="20"/>
          <w:sz w:val="28"/>
        </w:rPr>
      </w:pPr>
      <w:proofErr w:type="spellStart"/>
      <w:r>
        <w:rPr>
          <w:rFonts w:cs="Times New Roman"/>
          <w:b/>
          <w:bCs/>
          <w:szCs w:val="24"/>
        </w:rPr>
        <w:t>M</w:t>
      </w:r>
      <w:r w:rsidRPr="00DA21BB">
        <w:rPr>
          <w:rFonts w:cs="Times New Roman"/>
          <w:b/>
          <w:bCs/>
          <w:szCs w:val="24"/>
        </w:rPr>
        <w:t>TxD</w:t>
      </w:r>
      <w:proofErr w:type="spellEnd"/>
      <w:r w:rsidRPr="00DA21BB">
        <w:rPr>
          <w:rFonts w:cs="Times New Roman"/>
          <w:b/>
          <w:bCs/>
          <w:szCs w:val="24"/>
        </w:rPr>
        <w:t xml:space="preserve"> </w:t>
      </w:r>
      <w:r>
        <w:rPr>
          <w:rFonts w:cs="Times New Roman"/>
          <w:szCs w:val="24"/>
        </w:rPr>
        <w:t>– Média da Taxa de Desemprego</w:t>
      </w:r>
    </w:p>
    <w:p w14:paraId="5D005A7A" w14:textId="77777777" w:rsidR="00970924" w:rsidRDefault="00970924" w:rsidP="00970924">
      <w:pPr>
        <w:jc w:val="both"/>
        <w:rPr>
          <w:rFonts w:cs="Times New Roman"/>
          <w:b/>
          <w:spacing w:val="20"/>
          <w:sz w:val="28"/>
        </w:rPr>
      </w:pPr>
      <w:proofErr w:type="spellStart"/>
      <w:r>
        <w:rPr>
          <w:rFonts w:cs="Times New Roman"/>
          <w:b/>
          <w:bCs/>
          <w:szCs w:val="24"/>
        </w:rPr>
        <w:t>M</w:t>
      </w:r>
      <w:r w:rsidRPr="00DA21BB">
        <w:rPr>
          <w:rFonts w:cs="Times New Roman"/>
          <w:b/>
          <w:bCs/>
          <w:szCs w:val="24"/>
        </w:rPr>
        <w:t>TxPI</w:t>
      </w:r>
      <w:proofErr w:type="spellEnd"/>
      <w:r w:rsidRPr="00DA21BB">
        <w:rPr>
          <w:rFonts w:cs="Times New Roman"/>
          <w:b/>
          <w:bCs/>
          <w:szCs w:val="24"/>
        </w:rPr>
        <w:t xml:space="preserve"> </w:t>
      </w:r>
      <w:r>
        <w:rPr>
          <w:rFonts w:cs="Times New Roman"/>
          <w:szCs w:val="24"/>
        </w:rPr>
        <w:t>– Média da Taxa de População Idosa</w:t>
      </w:r>
    </w:p>
    <w:p w14:paraId="0A2ADB5D" w14:textId="77777777" w:rsidR="00970924" w:rsidRDefault="00970924" w:rsidP="00970924">
      <w:pPr>
        <w:jc w:val="both"/>
        <w:rPr>
          <w:rFonts w:cs="Times New Roman"/>
          <w:b/>
          <w:spacing w:val="20"/>
          <w:sz w:val="28"/>
        </w:rPr>
      </w:pPr>
      <w:r w:rsidRPr="00E94C32">
        <w:rPr>
          <w:rFonts w:cs="Times New Roman"/>
          <w:b/>
          <w:bCs/>
          <w:szCs w:val="24"/>
        </w:rPr>
        <w:t xml:space="preserve">MVEnd </w:t>
      </w:r>
      <w:r>
        <w:rPr>
          <w:rFonts w:cs="Times New Roman"/>
          <w:szCs w:val="24"/>
        </w:rPr>
        <w:t>– Média do Valor de Endividamento</w:t>
      </w:r>
    </w:p>
    <w:p w14:paraId="6D4ADA80" w14:textId="77777777" w:rsidR="00970924" w:rsidRDefault="00970924" w:rsidP="00970924">
      <w:pPr>
        <w:jc w:val="both"/>
        <w:rPr>
          <w:rFonts w:cs="Times New Roman"/>
          <w:szCs w:val="24"/>
        </w:rPr>
      </w:pPr>
      <w:r w:rsidRPr="006C1C74">
        <w:rPr>
          <w:rFonts w:cs="Times New Roman"/>
          <w:b/>
        </w:rPr>
        <w:t>OECI – CPLP</w:t>
      </w:r>
      <w:r>
        <w:rPr>
          <w:rFonts w:cs="Times New Roman"/>
          <w:b/>
          <w:spacing w:val="20"/>
        </w:rPr>
        <w:t xml:space="preserve"> - </w:t>
      </w:r>
      <w:r>
        <w:rPr>
          <w:rFonts w:cs="Times New Roman"/>
          <w:szCs w:val="24"/>
        </w:rPr>
        <w:t>Organismos Estratégicos do Controlo Interno da Comunidade dos Países de Língua Portuguesa</w:t>
      </w:r>
    </w:p>
    <w:p w14:paraId="7219711A" w14:textId="77777777" w:rsidR="00970924" w:rsidRDefault="00970924" w:rsidP="00970924">
      <w:pPr>
        <w:jc w:val="both"/>
        <w:rPr>
          <w:rFonts w:cs="Times New Roman"/>
        </w:rPr>
      </w:pPr>
      <w:r w:rsidRPr="006C1C74">
        <w:rPr>
          <w:rFonts w:cs="Times New Roman"/>
          <w:b/>
        </w:rPr>
        <w:t>OCDE</w:t>
      </w:r>
      <w:r>
        <w:rPr>
          <w:rFonts w:cs="Times New Roman"/>
        </w:rPr>
        <w:t xml:space="preserve"> – Organização para a Cooperação e Desenvolvimento Económico</w:t>
      </w:r>
    </w:p>
    <w:p w14:paraId="3FD1199B" w14:textId="75FDAEFF" w:rsidR="00970924" w:rsidRPr="00970924" w:rsidRDefault="00970924" w:rsidP="00970924">
      <w:pPr>
        <w:jc w:val="both"/>
        <w:rPr>
          <w:rFonts w:cs="Times New Roman"/>
          <w:szCs w:val="24"/>
        </w:rPr>
      </w:pPr>
      <w:r w:rsidRPr="006C1C74">
        <w:rPr>
          <w:rFonts w:cs="Times New Roman"/>
          <w:b/>
        </w:rPr>
        <w:t>PA</w:t>
      </w:r>
      <w:r w:rsidRPr="00FE0A97">
        <w:rPr>
          <w:rFonts w:cs="Times New Roman"/>
          <w:b/>
          <w:spacing w:val="20"/>
        </w:rPr>
        <w:t xml:space="preserve"> –</w:t>
      </w:r>
      <w:r>
        <w:rPr>
          <w:rFonts w:cs="Times New Roman"/>
          <w:b/>
          <w:spacing w:val="20"/>
          <w:sz w:val="28"/>
        </w:rPr>
        <w:t xml:space="preserve"> </w:t>
      </w:r>
      <w:r w:rsidRPr="00FE0A97">
        <w:rPr>
          <w:rFonts w:cs="Times New Roman"/>
          <w:szCs w:val="24"/>
        </w:rPr>
        <w:t>Percentagem de Abstenção</w:t>
      </w:r>
    </w:p>
    <w:p w14:paraId="1EB0A76F" w14:textId="3A43383C" w:rsidR="00970924" w:rsidRDefault="00970924" w:rsidP="00970924">
      <w:pPr>
        <w:jc w:val="both"/>
        <w:rPr>
          <w:rFonts w:cs="Times New Roman"/>
          <w:szCs w:val="24"/>
        </w:rPr>
      </w:pPr>
      <w:r w:rsidRPr="00FE0A97">
        <w:rPr>
          <w:rFonts w:cs="Times New Roman"/>
          <w:b/>
          <w:spacing w:val="20"/>
        </w:rPr>
        <w:t>PR</w:t>
      </w:r>
      <w:r>
        <w:rPr>
          <w:rFonts w:cs="Times New Roman"/>
          <w:b/>
          <w:spacing w:val="20"/>
          <w:sz w:val="28"/>
        </w:rPr>
        <w:t xml:space="preserve"> </w:t>
      </w:r>
      <w:r w:rsidRPr="00FE0A97">
        <w:rPr>
          <w:rFonts w:cs="Times New Roman"/>
          <w:b/>
          <w:spacing w:val="20"/>
        </w:rPr>
        <w:t>–</w:t>
      </w:r>
      <w:r>
        <w:rPr>
          <w:rFonts w:cs="Times New Roman"/>
          <w:b/>
          <w:spacing w:val="20"/>
          <w:sz w:val="28"/>
        </w:rPr>
        <w:t xml:space="preserve"> </w:t>
      </w:r>
      <w:r w:rsidRPr="00FE0A97">
        <w:rPr>
          <w:rFonts w:cs="Times New Roman"/>
          <w:szCs w:val="24"/>
        </w:rPr>
        <w:t>População Residente</w:t>
      </w:r>
    </w:p>
    <w:p w14:paraId="556F7170" w14:textId="77777777" w:rsidR="00970924" w:rsidRPr="006C1C74" w:rsidRDefault="00970924" w:rsidP="00970924">
      <w:pPr>
        <w:jc w:val="both"/>
        <w:rPr>
          <w:rFonts w:cs="Times New Roman"/>
          <w:szCs w:val="24"/>
        </w:rPr>
      </w:pPr>
      <w:r w:rsidRPr="006C1C74">
        <w:rPr>
          <w:rFonts w:cs="Times New Roman"/>
          <w:b/>
          <w:szCs w:val="24"/>
        </w:rPr>
        <w:t xml:space="preserve">SNC-AP </w:t>
      </w:r>
      <w:r>
        <w:rPr>
          <w:rFonts w:cs="Times New Roman"/>
          <w:szCs w:val="24"/>
        </w:rPr>
        <w:t xml:space="preserve">- </w:t>
      </w:r>
      <w:r w:rsidRPr="00D45DD4">
        <w:rPr>
          <w:rFonts w:cs="Times New Roman"/>
        </w:rPr>
        <w:t xml:space="preserve">Sistema de Normalização Contabilística para as </w:t>
      </w:r>
      <w:r>
        <w:rPr>
          <w:rFonts w:cs="Times New Roman"/>
        </w:rPr>
        <w:t xml:space="preserve">Administrações Públicas </w:t>
      </w:r>
    </w:p>
    <w:p w14:paraId="55B9FFF9" w14:textId="3FA872CE" w:rsidR="00FE0A97" w:rsidRDefault="00FE0A97" w:rsidP="00FE0A97">
      <w:pPr>
        <w:jc w:val="both"/>
        <w:rPr>
          <w:rFonts w:cs="Times New Roman"/>
          <w:b/>
          <w:spacing w:val="20"/>
          <w:sz w:val="28"/>
        </w:rPr>
      </w:pPr>
      <w:r w:rsidRPr="006C1C74">
        <w:rPr>
          <w:rFonts w:cs="Times New Roman"/>
          <w:b/>
        </w:rPr>
        <w:t>TIAC</w:t>
      </w:r>
      <w:r>
        <w:rPr>
          <w:rFonts w:cs="Times New Roman"/>
          <w:b/>
          <w:spacing w:val="20"/>
          <w:sz w:val="28"/>
        </w:rPr>
        <w:t xml:space="preserve"> </w:t>
      </w:r>
      <w:r w:rsidRPr="00FE0A97">
        <w:rPr>
          <w:rFonts w:cs="Times New Roman"/>
          <w:b/>
          <w:spacing w:val="20"/>
        </w:rPr>
        <w:t>–</w:t>
      </w:r>
      <w:r>
        <w:rPr>
          <w:rFonts w:cs="Times New Roman"/>
          <w:b/>
          <w:spacing w:val="20"/>
          <w:sz w:val="28"/>
        </w:rPr>
        <w:t xml:space="preserve"> </w:t>
      </w:r>
      <w:r w:rsidRPr="00FE0A97">
        <w:rPr>
          <w:rFonts w:cs="Times New Roman"/>
          <w:szCs w:val="24"/>
        </w:rPr>
        <w:t>Transparência e Integridade – Associação Cívica</w:t>
      </w:r>
    </w:p>
    <w:p w14:paraId="00CBB5BA" w14:textId="0B0E261E" w:rsidR="00970924" w:rsidRPr="00970924" w:rsidRDefault="00970924" w:rsidP="00970924">
      <w:pPr>
        <w:jc w:val="both"/>
        <w:rPr>
          <w:rFonts w:cs="Times New Roman"/>
          <w:szCs w:val="24"/>
        </w:rPr>
      </w:pPr>
      <w:proofErr w:type="spellStart"/>
      <w:r w:rsidRPr="006C1C74">
        <w:rPr>
          <w:rFonts w:cs="Times New Roman"/>
          <w:b/>
        </w:rPr>
        <w:t>TxD</w:t>
      </w:r>
      <w:proofErr w:type="spellEnd"/>
      <w:r w:rsidRPr="006C1C74">
        <w:rPr>
          <w:rFonts w:cs="Times New Roman"/>
          <w:b/>
        </w:rPr>
        <w:t xml:space="preserve"> </w:t>
      </w:r>
      <w:r w:rsidRPr="00FE0A97">
        <w:rPr>
          <w:rFonts w:cs="Times New Roman"/>
          <w:b/>
          <w:spacing w:val="20"/>
        </w:rPr>
        <w:t>–</w:t>
      </w:r>
      <w:r>
        <w:rPr>
          <w:rFonts w:cs="Times New Roman"/>
          <w:b/>
          <w:spacing w:val="20"/>
          <w:sz w:val="28"/>
        </w:rPr>
        <w:t xml:space="preserve"> </w:t>
      </w:r>
      <w:r w:rsidRPr="00FE0A97">
        <w:rPr>
          <w:rFonts w:cs="Times New Roman"/>
          <w:szCs w:val="24"/>
        </w:rPr>
        <w:t>Taxa de Desemprego</w:t>
      </w:r>
    </w:p>
    <w:p w14:paraId="7008081C" w14:textId="38D90A4E" w:rsidR="00970924" w:rsidRPr="00970924" w:rsidRDefault="00970924" w:rsidP="00FE0A97">
      <w:pPr>
        <w:jc w:val="both"/>
        <w:rPr>
          <w:rFonts w:cs="Times New Roman"/>
          <w:szCs w:val="24"/>
        </w:rPr>
      </w:pPr>
      <w:proofErr w:type="spellStart"/>
      <w:r w:rsidRPr="006C1C74">
        <w:rPr>
          <w:rFonts w:cs="Times New Roman"/>
          <w:b/>
        </w:rPr>
        <w:t>TxPI</w:t>
      </w:r>
      <w:proofErr w:type="spellEnd"/>
      <w:r w:rsidRPr="00FE0A97">
        <w:rPr>
          <w:rFonts w:cs="Times New Roman"/>
          <w:b/>
          <w:spacing w:val="20"/>
        </w:rPr>
        <w:t xml:space="preserve"> –</w:t>
      </w:r>
      <w:r>
        <w:rPr>
          <w:rFonts w:cs="Times New Roman"/>
          <w:b/>
          <w:spacing w:val="20"/>
          <w:sz w:val="28"/>
        </w:rPr>
        <w:t xml:space="preserve"> </w:t>
      </w:r>
      <w:r w:rsidRPr="00FE0A97">
        <w:rPr>
          <w:rFonts w:cs="Times New Roman"/>
          <w:szCs w:val="24"/>
        </w:rPr>
        <w:t>Taxa de População Idosa</w:t>
      </w:r>
    </w:p>
    <w:p w14:paraId="41B42F1D" w14:textId="62E46BCA" w:rsidR="00E94C32" w:rsidRDefault="00E94C32" w:rsidP="00FE0A97">
      <w:pPr>
        <w:jc w:val="both"/>
        <w:rPr>
          <w:rFonts w:cs="Times New Roman"/>
          <w:szCs w:val="24"/>
        </w:rPr>
      </w:pPr>
      <w:r w:rsidRPr="00E94C32">
        <w:rPr>
          <w:rFonts w:cs="Times New Roman"/>
          <w:b/>
          <w:bCs/>
          <w:szCs w:val="24"/>
        </w:rPr>
        <w:t>VEnd –</w:t>
      </w:r>
      <w:r>
        <w:rPr>
          <w:rFonts w:cs="Times New Roman"/>
          <w:szCs w:val="24"/>
        </w:rPr>
        <w:t xml:space="preserve"> Valor do Endividamento </w:t>
      </w:r>
    </w:p>
    <w:p w14:paraId="56806AE2" w14:textId="65B9515F" w:rsidR="00486560" w:rsidRDefault="00486560" w:rsidP="00D4605F">
      <w:pPr>
        <w:jc w:val="both"/>
        <w:rPr>
          <w:rFonts w:cs="Times New Roman"/>
          <w:szCs w:val="24"/>
        </w:rPr>
      </w:pPr>
    </w:p>
    <w:p w14:paraId="7E464F3E" w14:textId="77777777" w:rsidR="00D4605F" w:rsidRDefault="00D4605F" w:rsidP="00970924">
      <w:pPr>
        <w:pStyle w:val="Ttulo1"/>
        <w:spacing w:before="120" w:after="360" w:line="360" w:lineRule="auto"/>
        <w:sectPr w:rsidR="00D4605F" w:rsidSect="00AD4D09">
          <w:footerReference w:type="default" r:id="rId10"/>
          <w:pgSz w:w="12240" w:h="15840"/>
          <w:pgMar w:top="1418" w:right="1750" w:bottom="1418" w:left="1701" w:header="709" w:footer="709" w:gutter="0"/>
          <w:pgNumType w:fmt="upperRoman" w:start="4"/>
          <w:cols w:space="708"/>
          <w:docGrid w:linePitch="360"/>
        </w:sectPr>
      </w:pPr>
      <w:bookmarkStart w:id="6" w:name="_Toc37792551"/>
    </w:p>
    <w:p w14:paraId="0BE4E2F3" w14:textId="531809A1" w:rsidR="00151643" w:rsidRDefault="00151643" w:rsidP="00BA62F8">
      <w:pPr>
        <w:pStyle w:val="Ttulo1"/>
        <w:numPr>
          <w:ilvl w:val="0"/>
          <w:numId w:val="2"/>
        </w:numPr>
        <w:spacing w:before="120" w:after="360" w:line="360" w:lineRule="auto"/>
        <w:ind w:left="567" w:hanging="567"/>
        <w:jc w:val="center"/>
      </w:pPr>
      <w:bookmarkStart w:id="7" w:name="_Toc66624188"/>
      <w:r w:rsidRPr="00DD3029">
        <w:lastRenderedPageBreak/>
        <w:t>Introdução</w:t>
      </w:r>
      <w:bookmarkEnd w:id="6"/>
      <w:bookmarkEnd w:id="7"/>
    </w:p>
    <w:p w14:paraId="5C364BC4" w14:textId="3A061087" w:rsidR="00840C2F" w:rsidRPr="00A14608" w:rsidRDefault="00840C2F" w:rsidP="00A14608">
      <w:pPr>
        <w:spacing w:line="360" w:lineRule="auto"/>
        <w:jc w:val="both"/>
        <w:rPr>
          <w:rFonts w:cs="Times New Roman"/>
        </w:rPr>
      </w:pPr>
      <w:r w:rsidRPr="00A14608">
        <w:rPr>
          <w:rFonts w:cs="Times New Roman"/>
        </w:rPr>
        <w:t xml:space="preserve">Neste </w:t>
      </w:r>
      <w:r w:rsidR="00A14608" w:rsidRPr="00A14608">
        <w:rPr>
          <w:rFonts w:cs="Times New Roman"/>
        </w:rPr>
        <w:t>capítulo</w:t>
      </w:r>
      <w:r w:rsidRPr="00A14608">
        <w:rPr>
          <w:rFonts w:cs="Times New Roman"/>
        </w:rPr>
        <w:t xml:space="preserve"> </w:t>
      </w:r>
      <w:r w:rsidR="00803EBB">
        <w:rPr>
          <w:rFonts w:cs="Times New Roman"/>
        </w:rPr>
        <w:t>começa-se</w:t>
      </w:r>
      <w:r w:rsidRPr="00A14608">
        <w:rPr>
          <w:rFonts w:cs="Times New Roman"/>
        </w:rPr>
        <w:t xml:space="preserve"> por apresentar </w:t>
      </w:r>
      <w:r w:rsidR="00A14608" w:rsidRPr="00A14608">
        <w:rPr>
          <w:rFonts w:cs="Times New Roman"/>
        </w:rPr>
        <w:t xml:space="preserve">um enquadramento do tema do trabalho seguindo-se dos objetivos e da metodologia aplicada e, por fim, apresenta-se a estrutura </w:t>
      </w:r>
      <w:r w:rsidR="00893F36">
        <w:rPr>
          <w:rFonts w:cs="Times New Roman"/>
        </w:rPr>
        <w:t>d</w:t>
      </w:r>
      <w:r w:rsidR="00A14608" w:rsidRPr="00A14608">
        <w:rPr>
          <w:rFonts w:cs="Times New Roman"/>
        </w:rPr>
        <w:t>a presente dissertação.</w:t>
      </w:r>
    </w:p>
    <w:p w14:paraId="6BCD78E8" w14:textId="3CAB3C8E" w:rsidR="00DF6F4A" w:rsidRDefault="00DF6F4A" w:rsidP="00DF6F4A">
      <w:pPr>
        <w:pStyle w:val="Ttulo2"/>
        <w:numPr>
          <w:ilvl w:val="1"/>
          <w:numId w:val="8"/>
        </w:numPr>
        <w:spacing w:before="360" w:after="240"/>
        <w:ind w:left="714" w:hanging="357"/>
      </w:pPr>
      <w:bookmarkStart w:id="8" w:name="_Toc66624189"/>
      <w:r>
        <w:t>Enquadramento</w:t>
      </w:r>
      <w:bookmarkEnd w:id="8"/>
    </w:p>
    <w:p w14:paraId="3CA84420" w14:textId="437B9420" w:rsidR="00DF6F4A" w:rsidRDefault="00DF6F4A" w:rsidP="00DF6F4A">
      <w:pPr>
        <w:spacing w:line="360" w:lineRule="auto"/>
        <w:jc w:val="both"/>
        <w:rPr>
          <w:rFonts w:cs="Times New Roman"/>
        </w:rPr>
      </w:pPr>
      <w:r w:rsidRPr="00DF6F4A">
        <w:rPr>
          <w:rFonts w:cs="Times New Roman"/>
        </w:rPr>
        <w:t xml:space="preserve">O setor público engloba todo o conjunto de entidades públicas e subdivide-se em setor </w:t>
      </w:r>
      <w:r w:rsidR="00CE49E0" w:rsidRPr="00DF6F4A">
        <w:rPr>
          <w:rFonts w:cs="Times New Roman"/>
        </w:rPr>
        <w:t>público</w:t>
      </w:r>
      <w:r w:rsidRPr="00DF6F4A">
        <w:rPr>
          <w:rFonts w:cs="Times New Roman"/>
        </w:rPr>
        <w:t xml:space="preserve"> administrativo e setor </w:t>
      </w:r>
      <w:r w:rsidR="00CE49E0" w:rsidRPr="00DF6F4A">
        <w:rPr>
          <w:rFonts w:cs="Times New Roman"/>
        </w:rPr>
        <w:t>público</w:t>
      </w:r>
      <w:r w:rsidRPr="00DF6F4A">
        <w:rPr>
          <w:rFonts w:cs="Times New Roman"/>
        </w:rPr>
        <w:t xml:space="preserve"> empresarial. É parte integrante do setor </w:t>
      </w:r>
      <w:r w:rsidR="00CE49E0" w:rsidRPr="00DF6F4A">
        <w:rPr>
          <w:rFonts w:cs="Times New Roman"/>
        </w:rPr>
        <w:t>público</w:t>
      </w:r>
      <w:r w:rsidRPr="00DF6F4A">
        <w:rPr>
          <w:rFonts w:cs="Times New Roman"/>
        </w:rPr>
        <w:t xml:space="preserve"> administrativo, a administração central, a administração regional, a administração local e a seguranç</w:t>
      </w:r>
      <w:r w:rsidR="00CE49E0">
        <w:rPr>
          <w:rFonts w:cs="Times New Roman"/>
        </w:rPr>
        <w:t>a social. Em relação ao setor pú</w:t>
      </w:r>
      <w:r w:rsidRPr="00DF6F4A">
        <w:rPr>
          <w:rFonts w:cs="Times New Roman"/>
        </w:rPr>
        <w:t xml:space="preserve">blico empresarial, </w:t>
      </w:r>
      <w:r w:rsidR="00DD00F9">
        <w:rPr>
          <w:rFonts w:cs="Times New Roman"/>
        </w:rPr>
        <w:t>são</w:t>
      </w:r>
      <w:r w:rsidRPr="00DF6F4A">
        <w:rPr>
          <w:rFonts w:cs="Times New Roman"/>
        </w:rPr>
        <w:t xml:space="preserve"> parte integrante as unidades produtivas do Estado apresentadas numa forma empresarial, ou sejas, as empresas. </w:t>
      </w:r>
    </w:p>
    <w:p w14:paraId="43972D53" w14:textId="1F8A5558" w:rsidR="00565290" w:rsidRDefault="00565290" w:rsidP="00DF6F4A">
      <w:pPr>
        <w:spacing w:line="360" w:lineRule="auto"/>
        <w:jc w:val="both"/>
        <w:rPr>
          <w:rFonts w:cs="Times New Roman"/>
        </w:rPr>
      </w:pPr>
      <w:r>
        <w:rPr>
          <w:rFonts w:cs="Times New Roman"/>
        </w:rPr>
        <w:t xml:space="preserve">Segundo o disposto no nº2 do artigo 19 da Lei nº 151/15, de 11 de setembro, a disponibilização de informação relativa à implementação bem como à execução dos programas, objetivos da política orçamental, orçamentos e contas do setor das administrações públicas, por subsetor, </w:t>
      </w:r>
      <w:r w:rsidR="004A4E1E">
        <w:rPr>
          <w:rFonts w:cs="Times New Roman"/>
        </w:rPr>
        <w:t>é condição da</w:t>
      </w:r>
      <w:r>
        <w:rPr>
          <w:rFonts w:cs="Times New Roman"/>
        </w:rPr>
        <w:t xml:space="preserve"> transparência orçamental.</w:t>
      </w:r>
      <w:r w:rsidR="004A4E1E">
        <w:rPr>
          <w:rFonts w:cs="Times New Roman"/>
        </w:rPr>
        <w:t xml:space="preserve"> </w:t>
      </w:r>
    </w:p>
    <w:p w14:paraId="33D34860" w14:textId="2E6DE8A0" w:rsidR="00BF40BF" w:rsidRPr="00DF6F4A" w:rsidRDefault="00BF40BF" w:rsidP="00DF6F4A">
      <w:pPr>
        <w:spacing w:line="360" w:lineRule="auto"/>
        <w:jc w:val="both"/>
        <w:rPr>
          <w:rFonts w:cs="Times New Roman"/>
        </w:rPr>
      </w:pPr>
      <w:r>
        <w:rPr>
          <w:rFonts w:cs="Times New Roman"/>
        </w:rPr>
        <w:t>Uma das características que deve estar presente em todas as atividades realizadas pelos gestores públicos, de acordo com Cruz, Silva e Santos (2009), é a transparência</w:t>
      </w:r>
      <w:r w:rsidR="003E5AB3">
        <w:rPr>
          <w:rFonts w:cs="Times New Roman"/>
        </w:rPr>
        <w:t>,</w:t>
      </w:r>
      <w:r>
        <w:rPr>
          <w:rFonts w:cs="Times New Roman"/>
        </w:rPr>
        <w:t xml:space="preserve"> com o intuito de promover o acesso e a compreensão por parte dos cidadãos.</w:t>
      </w:r>
    </w:p>
    <w:p w14:paraId="66828005" w14:textId="37761F33" w:rsidR="00BF40BF" w:rsidRDefault="00F008C5" w:rsidP="00DF6F4A">
      <w:pPr>
        <w:spacing w:line="360" w:lineRule="auto"/>
        <w:jc w:val="both"/>
        <w:rPr>
          <w:rFonts w:cs="Times New Roman"/>
        </w:rPr>
      </w:pPr>
      <w:r>
        <w:rPr>
          <w:rFonts w:cs="Times New Roman"/>
        </w:rPr>
        <w:t>A transparência apresenta, segundo a perspetiva de vários autores, um papel fundamental no combate à corrupção e é, ainda, tradicionalmente considerada como uma condição necessária para uma democracia saudável.</w:t>
      </w:r>
    </w:p>
    <w:p w14:paraId="23624AA3" w14:textId="0185B36D" w:rsidR="00D1396C" w:rsidRDefault="00D1396C" w:rsidP="00DF6F4A">
      <w:pPr>
        <w:spacing w:line="360" w:lineRule="auto"/>
        <w:jc w:val="both"/>
        <w:rPr>
          <w:rFonts w:cs="Times New Roman"/>
        </w:rPr>
      </w:pPr>
      <w:r>
        <w:rPr>
          <w:rFonts w:cs="Times New Roman"/>
        </w:rPr>
        <w:t>Em Portugal</w:t>
      </w:r>
      <w:r w:rsidR="003E5AB3">
        <w:rPr>
          <w:rFonts w:cs="Times New Roman"/>
        </w:rPr>
        <w:t>,</w:t>
      </w:r>
      <w:r>
        <w:rPr>
          <w:rFonts w:cs="Times New Roman"/>
        </w:rPr>
        <w:t xml:space="preserve"> foi </w:t>
      </w:r>
      <w:r w:rsidR="00113672">
        <w:rPr>
          <w:rFonts w:cs="Times New Roman"/>
        </w:rPr>
        <w:t xml:space="preserve">divulgado </w:t>
      </w:r>
      <w:r>
        <w:rPr>
          <w:rFonts w:cs="Times New Roman"/>
        </w:rPr>
        <w:t>por um organismo denominado de Transparência e Integridade – Associação Cívica (TIAC), o índice de transparência municipal</w:t>
      </w:r>
      <w:r w:rsidR="00983AB8">
        <w:rPr>
          <w:rFonts w:cs="Times New Roman"/>
        </w:rPr>
        <w:t xml:space="preserve"> (ITM)</w:t>
      </w:r>
      <w:r>
        <w:rPr>
          <w:rFonts w:cs="Times New Roman"/>
        </w:rPr>
        <w:t xml:space="preserve"> </w:t>
      </w:r>
      <w:r w:rsidR="00113672">
        <w:rPr>
          <w:rFonts w:cs="Times New Roman"/>
        </w:rPr>
        <w:t xml:space="preserve">calculado </w:t>
      </w:r>
      <w:r>
        <w:rPr>
          <w:rFonts w:cs="Times New Roman"/>
        </w:rPr>
        <w:t xml:space="preserve">através de uma análise de informações disponibilizadas pelas Câmaras Municipais nos seus </w:t>
      </w:r>
      <w:r w:rsidRPr="00D1396C">
        <w:rPr>
          <w:rFonts w:cs="Times New Roman"/>
          <w:i/>
          <w:iCs/>
        </w:rPr>
        <w:t>websites</w:t>
      </w:r>
      <w:r>
        <w:rPr>
          <w:rFonts w:cs="Times New Roman"/>
        </w:rPr>
        <w:t>. Através deste é possível providenciar</w:t>
      </w:r>
      <w:r w:rsidR="003E5AB3">
        <w:rPr>
          <w:rFonts w:cs="Times New Roman"/>
        </w:rPr>
        <w:t>,</w:t>
      </w:r>
      <w:r>
        <w:rPr>
          <w:rFonts w:cs="Times New Roman"/>
        </w:rPr>
        <w:t xml:space="preserve"> aos cidadãos e decisores</w:t>
      </w:r>
      <w:r w:rsidR="003E5AB3">
        <w:rPr>
          <w:rFonts w:cs="Times New Roman"/>
        </w:rPr>
        <w:t>,</w:t>
      </w:r>
      <w:r>
        <w:rPr>
          <w:rFonts w:cs="Times New Roman"/>
        </w:rPr>
        <w:t xml:space="preserve"> graus de transparência dos seus municípios.  </w:t>
      </w:r>
    </w:p>
    <w:p w14:paraId="13975772" w14:textId="2E0C9232" w:rsidR="00D1396C" w:rsidRDefault="00D1396C" w:rsidP="00DF6F4A">
      <w:pPr>
        <w:spacing w:line="360" w:lineRule="auto"/>
        <w:jc w:val="both"/>
        <w:rPr>
          <w:rFonts w:cs="Times New Roman"/>
        </w:rPr>
      </w:pPr>
      <w:r>
        <w:rPr>
          <w:rFonts w:cs="Times New Roman"/>
        </w:rPr>
        <w:t xml:space="preserve">De forma a que se consiga explicar os diferentes índices dos municípios, a literatura empírica considera um </w:t>
      </w:r>
      <w:r w:rsidR="00982624">
        <w:rPr>
          <w:rFonts w:cs="Times New Roman"/>
        </w:rPr>
        <w:t>conjunto</w:t>
      </w:r>
      <w:r>
        <w:rPr>
          <w:rFonts w:cs="Times New Roman"/>
        </w:rPr>
        <w:t xml:space="preserve"> de potenciais determinantes do nível de transparência no setor p</w:t>
      </w:r>
      <w:r w:rsidR="00F92BA6">
        <w:rPr>
          <w:rFonts w:cs="Times New Roman"/>
        </w:rPr>
        <w:t>ú</w:t>
      </w:r>
      <w:r>
        <w:rPr>
          <w:rFonts w:cs="Times New Roman"/>
        </w:rPr>
        <w:t xml:space="preserve">blico. </w:t>
      </w:r>
    </w:p>
    <w:p w14:paraId="74E99371" w14:textId="48287C10" w:rsidR="00F92BA6" w:rsidRPr="00DF6F4A" w:rsidRDefault="00F92BA6" w:rsidP="00DF6F4A">
      <w:pPr>
        <w:spacing w:line="360" w:lineRule="auto"/>
        <w:jc w:val="both"/>
        <w:rPr>
          <w:rFonts w:cs="Times New Roman"/>
        </w:rPr>
      </w:pPr>
      <w:r>
        <w:rPr>
          <w:rFonts w:cs="Times New Roman"/>
        </w:rPr>
        <w:lastRenderedPageBreak/>
        <w:t xml:space="preserve">Segundo </w:t>
      </w:r>
      <w:proofErr w:type="spellStart"/>
      <w:r>
        <w:rPr>
          <w:rFonts w:cs="Times New Roman"/>
        </w:rPr>
        <w:t>Albalate</w:t>
      </w:r>
      <w:proofErr w:type="spellEnd"/>
      <w:r>
        <w:rPr>
          <w:rFonts w:cs="Times New Roman"/>
        </w:rPr>
        <w:t xml:space="preserve"> </w:t>
      </w:r>
      <w:proofErr w:type="spellStart"/>
      <w:r>
        <w:rPr>
          <w:rFonts w:cs="Times New Roman"/>
        </w:rPr>
        <w:t>del</w:t>
      </w:r>
      <w:proofErr w:type="spellEnd"/>
      <w:r>
        <w:rPr>
          <w:rFonts w:cs="Times New Roman"/>
        </w:rPr>
        <w:t xml:space="preserve"> Sol (2013), a maioria da literatura existente sobre as determinantes da transparência foca-se em governos a nível nacional</w:t>
      </w:r>
      <w:r w:rsidR="00582449">
        <w:rPr>
          <w:rFonts w:cs="Times New Roman"/>
        </w:rPr>
        <w:t xml:space="preserve"> descurando os governos a nível local</w:t>
      </w:r>
      <w:r>
        <w:rPr>
          <w:rFonts w:cs="Times New Roman"/>
        </w:rPr>
        <w:t xml:space="preserve">. </w:t>
      </w:r>
    </w:p>
    <w:p w14:paraId="7608B135" w14:textId="70FE9B3B" w:rsidR="00DF6F4A" w:rsidRDefault="00DF6F4A" w:rsidP="00DF6F4A">
      <w:pPr>
        <w:pStyle w:val="Ttulo2"/>
        <w:numPr>
          <w:ilvl w:val="1"/>
          <w:numId w:val="8"/>
        </w:numPr>
        <w:spacing w:before="360" w:after="240"/>
        <w:ind w:left="714" w:hanging="357"/>
      </w:pPr>
      <w:bookmarkStart w:id="9" w:name="_Toc66624190"/>
      <w:r>
        <w:t xml:space="preserve">Objetivo e </w:t>
      </w:r>
      <w:r w:rsidR="00BC38F6">
        <w:t>contributo</w:t>
      </w:r>
      <w:bookmarkEnd w:id="9"/>
    </w:p>
    <w:p w14:paraId="28525341" w14:textId="4BBAF7BF" w:rsidR="00DF6F4A" w:rsidRPr="00DF6F4A" w:rsidRDefault="004A4E1E" w:rsidP="00DF6F4A">
      <w:pPr>
        <w:spacing w:line="360" w:lineRule="auto"/>
        <w:jc w:val="both"/>
        <w:rPr>
          <w:rFonts w:cs="Times New Roman"/>
        </w:rPr>
      </w:pPr>
      <w:r>
        <w:rPr>
          <w:rFonts w:cs="Times New Roman"/>
        </w:rPr>
        <w:t>Contribuindo para colmatar</w:t>
      </w:r>
      <w:r w:rsidR="00582449">
        <w:rPr>
          <w:rFonts w:cs="Times New Roman"/>
        </w:rPr>
        <w:t xml:space="preserve"> </w:t>
      </w:r>
      <w:r>
        <w:rPr>
          <w:rFonts w:cs="Times New Roman"/>
        </w:rPr>
        <w:t>a</w:t>
      </w:r>
      <w:r w:rsidR="00582449">
        <w:rPr>
          <w:rFonts w:cs="Times New Roman"/>
        </w:rPr>
        <w:t xml:space="preserve"> escassez de estudos relativos à transparência </w:t>
      </w:r>
      <w:r w:rsidR="00681DCC">
        <w:rPr>
          <w:rFonts w:cs="Times New Roman"/>
        </w:rPr>
        <w:t xml:space="preserve">dos </w:t>
      </w:r>
      <w:r w:rsidR="00582449">
        <w:rPr>
          <w:rFonts w:cs="Times New Roman"/>
        </w:rPr>
        <w:t xml:space="preserve">governos a nível </w:t>
      </w:r>
      <w:r>
        <w:rPr>
          <w:rFonts w:cs="Times New Roman"/>
        </w:rPr>
        <w:t>local, esta</w:t>
      </w:r>
      <w:r w:rsidR="00DF6F4A" w:rsidRPr="00DF6F4A">
        <w:rPr>
          <w:rFonts w:cs="Times New Roman"/>
        </w:rPr>
        <w:t xml:space="preserve"> investigação tem como objetivo estudar quais as determinantes da transparência da informação fornecida pelos municípios portugueses no período de 201</w:t>
      </w:r>
      <w:r w:rsidR="00360156">
        <w:rPr>
          <w:rFonts w:cs="Times New Roman"/>
        </w:rPr>
        <w:t>3</w:t>
      </w:r>
      <w:r w:rsidR="00DF6F4A" w:rsidRPr="00DF6F4A">
        <w:rPr>
          <w:rFonts w:cs="Times New Roman"/>
        </w:rPr>
        <w:t xml:space="preserve"> a 201</w:t>
      </w:r>
      <w:r w:rsidR="00360156">
        <w:rPr>
          <w:rFonts w:cs="Times New Roman"/>
        </w:rPr>
        <w:t>7</w:t>
      </w:r>
      <w:r w:rsidR="00DF6F4A" w:rsidRPr="00DF6F4A">
        <w:rPr>
          <w:rFonts w:cs="Times New Roman"/>
        </w:rPr>
        <w:t xml:space="preserve"> através de um estudo dos índices de transparência </w:t>
      </w:r>
      <w:r w:rsidR="004205F9">
        <w:rPr>
          <w:rFonts w:cs="Times New Roman"/>
        </w:rPr>
        <w:t>d</w:t>
      </w:r>
      <w:r w:rsidR="004205F9" w:rsidRPr="00DF6F4A">
        <w:rPr>
          <w:rFonts w:cs="Times New Roman"/>
        </w:rPr>
        <w:t xml:space="preserve">os </w:t>
      </w:r>
      <w:r w:rsidR="00DF6F4A" w:rsidRPr="00DF6F4A">
        <w:rPr>
          <w:rFonts w:cs="Times New Roman"/>
        </w:rPr>
        <w:t>municípios</w:t>
      </w:r>
      <w:r w:rsidR="004205F9">
        <w:rPr>
          <w:rFonts w:cs="Times New Roman"/>
        </w:rPr>
        <w:t xml:space="preserve"> divulgados </w:t>
      </w:r>
      <w:r w:rsidR="00D1396C">
        <w:rPr>
          <w:rFonts w:cs="Times New Roman"/>
        </w:rPr>
        <w:t>pela TIAC</w:t>
      </w:r>
      <w:r w:rsidR="003E5AB3">
        <w:rPr>
          <w:rFonts w:cs="Times New Roman"/>
        </w:rPr>
        <w:t>.</w:t>
      </w:r>
      <w:r w:rsidR="00DF6F4A" w:rsidRPr="00DF6F4A">
        <w:rPr>
          <w:rFonts w:cs="Times New Roman"/>
        </w:rPr>
        <w:t xml:space="preserve"> Deste modo, a pergunta que servirá de guião para esta investigação é:</w:t>
      </w:r>
    </w:p>
    <w:p w14:paraId="79509D08" w14:textId="7BA8D554" w:rsidR="00DF6F4A" w:rsidRDefault="00DF6F4A" w:rsidP="00DF6F4A">
      <w:pPr>
        <w:spacing w:line="360" w:lineRule="auto"/>
        <w:jc w:val="both"/>
        <w:rPr>
          <w:rFonts w:cs="Times New Roman"/>
          <w:u w:val="single"/>
        </w:rPr>
      </w:pPr>
      <w:r w:rsidRPr="00DF6F4A">
        <w:rPr>
          <w:rFonts w:cs="Times New Roman"/>
          <w:u w:val="single"/>
        </w:rPr>
        <w:t>Quais as determinantes da transparência da informaç</w:t>
      </w:r>
      <w:r w:rsidR="002A1807">
        <w:rPr>
          <w:rFonts w:cs="Times New Roman"/>
          <w:u w:val="single"/>
        </w:rPr>
        <w:t>ão</w:t>
      </w:r>
      <w:r w:rsidRPr="00DF6F4A">
        <w:rPr>
          <w:rFonts w:cs="Times New Roman"/>
          <w:u w:val="single"/>
        </w:rPr>
        <w:t xml:space="preserve"> </w:t>
      </w:r>
      <w:r w:rsidR="002A1807">
        <w:rPr>
          <w:rFonts w:cs="Times New Roman"/>
          <w:u w:val="single"/>
        </w:rPr>
        <w:t>divulgada</w:t>
      </w:r>
      <w:r w:rsidR="002A1807" w:rsidRPr="00DF6F4A">
        <w:rPr>
          <w:rFonts w:cs="Times New Roman"/>
          <w:u w:val="single"/>
        </w:rPr>
        <w:t xml:space="preserve"> </w:t>
      </w:r>
      <w:r w:rsidRPr="00DF6F4A">
        <w:rPr>
          <w:rFonts w:cs="Times New Roman"/>
          <w:u w:val="single"/>
        </w:rPr>
        <w:t>pelos municípios portugueses no período de 201</w:t>
      </w:r>
      <w:r w:rsidR="00360156">
        <w:rPr>
          <w:rFonts w:cs="Times New Roman"/>
          <w:u w:val="single"/>
        </w:rPr>
        <w:t>3</w:t>
      </w:r>
      <w:r w:rsidRPr="00DF6F4A">
        <w:rPr>
          <w:rFonts w:cs="Times New Roman"/>
          <w:u w:val="single"/>
        </w:rPr>
        <w:t xml:space="preserve"> a 201</w:t>
      </w:r>
      <w:r w:rsidR="00360156">
        <w:rPr>
          <w:rFonts w:cs="Times New Roman"/>
          <w:u w:val="single"/>
        </w:rPr>
        <w:t>7</w:t>
      </w:r>
      <w:r w:rsidRPr="00DF6F4A">
        <w:rPr>
          <w:rFonts w:cs="Times New Roman"/>
          <w:u w:val="single"/>
        </w:rPr>
        <w:t>?</w:t>
      </w:r>
    </w:p>
    <w:p w14:paraId="6486CBBA" w14:textId="17F20071" w:rsidR="00DF6F4A" w:rsidRPr="00DF6F4A" w:rsidRDefault="00DF6F4A" w:rsidP="00DF6F4A">
      <w:pPr>
        <w:spacing w:line="360" w:lineRule="auto"/>
        <w:jc w:val="both"/>
        <w:rPr>
          <w:rFonts w:cs="Times New Roman"/>
        </w:rPr>
      </w:pPr>
      <w:r w:rsidRPr="00DF6F4A">
        <w:rPr>
          <w:rFonts w:cs="Times New Roman"/>
        </w:rPr>
        <w:t>Depois de fixado o</w:t>
      </w:r>
      <w:r w:rsidR="00982624">
        <w:rPr>
          <w:rFonts w:cs="Times New Roman"/>
        </w:rPr>
        <w:t xml:space="preserve"> </w:t>
      </w:r>
      <w:r w:rsidRPr="00DF6F4A">
        <w:rPr>
          <w:rFonts w:cs="Times New Roman"/>
        </w:rPr>
        <w:t>objetivo da investigação apresenta</w:t>
      </w:r>
      <w:r w:rsidR="003E5AB3">
        <w:rPr>
          <w:rFonts w:cs="Times New Roman"/>
        </w:rPr>
        <w:t>m</w:t>
      </w:r>
      <w:r w:rsidRPr="00DF6F4A">
        <w:rPr>
          <w:rFonts w:cs="Times New Roman"/>
        </w:rPr>
        <w:t xml:space="preserve">-se os métodos utilizados para alcançar esse objetivo. </w:t>
      </w:r>
    </w:p>
    <w:p w14:paraId="6E791EA1" w14:textId="39EEAFF6" w:rsidR="00DF6F4A" w:rsidRPr="00DF6F4A" w:rsidRDefault="00DF6F4A" w:rsidP="00DF6F4A">
      <w:pPr>
        <w:spacing w:line="360" w:lineRule="auto"/>
        <w:jc w:val="both"/>
        <w:rPr>
          <w:rFonts w:cs="Times New Roman"/>
        </w:rPr>
      </w:pPr>
      <w:r w:rsidRPr="00DF6F4A">
        <w:rPr>
          <w:rFonts w:cs="Times New Roman"/>
        </w:rPr>
        <w:t>Quanto ao método de investigação</w:t>
      </w:r>
      <w:r w:rsidR="00EC0651">
        <w:rPr>
          <w:rFonts w:cs="Times New Roman"/>
        </w:rPr>
        <w:t>,</w:t>
      </w:r>
      <w:r w:rsidR="005223CE">
        <w:rPr>
          <w:rFonts w:cs="Times New Roman"/>
        </w:rPr>
        <w:t xml:space="preserve"> inicialmente</w:t>
      </w:r>
      <w:r w:rsidR="00EC0651">
        <w:rPr>
          <w:rFonts w:cs="Times New Roman"/>
        </w:rPr>
        <w:t xml:space="preserve"> </w:t>
      </w:r>
      <w:r w:rsidR="00803EBB">
        <w:rPr>
          <w:rFonts w:cs="Times New Roman"/>
        </w:rPr>
        <w:t>recorre-se</w:t>
      </w:r>
      <w:r w:rsidR="005223CE">
        <w:rPr>
          <w:rFonts w:cs="Times New Roman"/>
        </w:rPr>
        <w:t xml:space="preserve"> </w:t>
      </w:r>
      <w:r w:rsidR="00EC0651">
        <w:rPr>
          <w:rFonts w:cs="Times New Roman"/>
        </w:rPr>
        <w:t>à revisão da literatura com o intuito de</w:t>
      </w:r>
      <w:r w:rsidR="005223CE">
        <w:rPr>
          <w:rFonts w:cs="Times New Roman"/>
        </w:rPr>
        <w:t xml:space="preserve"> definir determinantes alvo </w:t>
      </w:r>
      <w:r w:rsidR="005B70D6">
        <w:rPr>
          <w:rFonts w:cs="Times New Roman"/>
        </w:rPr>
        <w:t>d</w:t>
      </w:r>
      <w:r w:rsidR="005223CE">
        <w:rPr>
          <w:rFonts w:cs="Times New Roman"/>
        </w:rPr>
        <w:t xml:space="preserve">o estudo e </w:t>
      </w:r>
      <w:r w:rsidR="00EC0651">
        <w:rPr>
          <w:rFonts w:cs="Times New Roman"/>
        </w:rPr>
        <w:t xml:space="preserve">formular hipóteses de investigação que posteriormente, através de uma </w:t>
      </w:r>
      <w:r w:rsidR="005223CE">
        <w:rPr>
          <w:rFonts w:cs="Times New Roman"/>
        </w:rPr>
        <w:t>análise</w:t>
      </w:r>
      <w:r w:rsidR="00EC0651">
        <w:rPr>
          <w:rFonts w:cs="Times New Roman"/>
        </w:rPr>
        <w:t xml:space="preserve"> quantitativa assente nos dados relativos aos índices de transparência municipal</w:t>
      </w:r>
      <w:r w:rsidR="001D554A">
        <w:rPr>
          <w:rFonts w:cs="Times New Roman"/>
        </w:rPr>
        <w:t>, no período de 2013 a 2017,</w:t>
      </w:r>
      <w:r w:rsidR="00EC0651">
        <w:rPr>
          <w:rFonts w:cs="Times New Roman"/>
        </w:rPr>
        <w:t xml:space="preserve"> e às determinantes</w:t>
      </w:r>
      <w:r w:rsidR="005223CE">
        <w:rPr>
          <w:rFonts w:cs="Times New Roman"/>
        </w:rPr>
        <w:t xml:space="preserve"> da transparência</w:t>
      </w:r>
      <w:r w:rsidR="00EC0651">
        <w:rPr>
          <w:rFonts w:cs="Times New Roman"/>
        </w:rPr>
        <w:t xml:space="preserve">, possibilite ir ao encontro dos objetivos enunciados </w:t>
      </w:r>
      <w:r w:rsidR="005223CE">
        <w:rPr>
          <w:rFonts w:cs="Times New Roman"/>
        </w:rPr>
        <w:t xml:space="preserve">bem como responder à questão de investigação. </w:t>
      </w:r>
    </w:p>
    <w:p w14:paraId="384E2283" w14:textId="05512A0F" w:rsidR="00DF6F4A" w:rsidRDefault="00DF6F4A" w:rsidP="00DF6F4A">
      <w:pPr>
        <w:pStyle w:val="Ttulo2"/>
        <w:numPr>
          <w:ilvl w:val="1"/>
          <w:numId w:val="8"/>
        </w:numPr>
        <w:spacing w:before="360" w:after="240"/>
        <w:ind w:left="714" w:hanging="357"/>
      </w:pPr>
      <w:bookmarkStart w:id="10" w:name="_Toc66624191"/>
      <w:r>
        <w:t xml:space="preserve">Estrutura da </w:t>
      </w:r>
      <w:r w:rsidR="0074429B">
        <w:t>d</w:t>
      </w:r>
      <w:r>
        <w:t>issertação</w:t>
      </w:r>
      <w:bookmarkEnd w:id="10"/>
    </w:p>
    <w:p w14:paraId="79A611B1" w14:textId="18A0A2CD" w:rsidR="00DF6F4A" w:rsidRDefault="00DF6F4A" w:rsidP="00616098">
      <w:pPr>
        <w:spacing w:line="360" w:lineRule="auto"/>
        <w:jc w:val="both"/>
      </w:pPr>
      <w:r>
        <w:t>A presente dissertação está dividida em cinco capítulos</w:t>
      </w:r>
      <w:r w:rsidR="003E5AB3">
        <w:t>, s</w:t>
      </w:r>
      <w:r w:rsidR="00616098">
        <w:t xml:space="preserve">endo que o primeiro é a Introdução onde é apresentado um enquadramento teórico sobre o tema em causa, os </w:t>
      </w:r>
      <w:r w:rsidR="00360156">
        <w:t>objetivos</w:t>
      </w:r>
      <w:r w:rsidR="00616098">
        <w:t xml:space="preserve"> definidos e a metodologia aplicada e, por fim, a estrutura da dissertação.</w:t>
      </w:r>
    </w:p>
    <w:p w14:paraId="09BB9517" w14:textId="692CA1DD" w:rsidR="00616098" w:rsidRDefault="00616098" w:rsidP="00616098">
      <w:pPr>
        <w:spacing w:line="360" w:lineRule="auto"/>
        <w:jc w:val="both"/>
      </w:pPr>
      <w:r>
        <w:t xml:space="preserve">No segundo capítulo intitulado de “Transparência na </w:t>
      </w:r>
      <w:r w:rsidR="00970924">
        <w:t>a</w:t>
      </w:r>
      <w:r>
        <w:t xml:space="preserve">dministração </w:t>
      </w:r>
      <w:r w:rsidR="00970924">
        <w:t>pú</w:t>
      </w:r>
      <w:r>
        <w:t>blica” é abordad</w:t>
      </w:r>
      <w:r w:rsidR="00221730">
        <w:t>a</w:t>
      </w:r>
      <w:r>
        <w:t xml:space="preserve"> a importância da transparência</w:t>
      </w:r>
      <w:r w:rsidR="00EC0651">
        <w:t xml:space="preserve"> na </w:t>
      </w:r>
      <w:r w:rsidR="00970924">
        <w:t>a</w:t>
      </w:r>
      <w:r w:rsidR="00EC0651">
        <w:t xml:space="preserve">dministração </w:t>
      </w:r>
      <w:r w:rsidR="00970924">
        <w:t>p</w:t>
      </w:r>
      <w:r w:rsidR="00EC0651">
        <w:t>ública</w:t>
      </w:r>
      <w:r w:rsidR="002577FD">
        <w:t>. D</w:t>
      </w:r>
      <w:r w:rsidR="00C1389E">
        <w:t xml:space="preserve">e seguida, contrapõem-se o tema da transparência política e a transparência administrativa bem como a transparência e a corrupção. </w:t>
      </w:r>
      <w:r w:rsidR="00B81FAF">
        <w:t xml:space="preserve">Por </w:t>
      </w:r>
      <w:r w:rsidR="001600BE">
        <w:t>último</w:t>
      </w:r>
      <w:r w:rsidR="00C1389E">
        <w:t xml:space="preserve">, </w:t>
      </w:r>
      <w:r w:rsidR="004C73A2">
        <w:t>através da análise dos conteúdos dos autores referidos neste subcapítulo apresentam-se as determinantes a serem estudadas na presente dissertação.</w:t>
      </w:r>
    </w:p>
    <w:p w14:paraId="0C7A870A" w14:textId="5C95EDB1" w:rsidR="004C73A2" w:rsidRDefault="004C73A2" w:rsidP="00616098">
      <w:pPr>
        <w:spacing w:line="360" w:lineRule="auto"/>
        <w:jc w:val="both"/>
      </w:pPr>
      <w:r>
        <w:lastRenderedPageBreak/>
        <w:t xml:space="preserve">Relativamente ao terceiro </w:t>
      </w:r>
      <w:r w:rsidR="003B327D">
        <w:t xml:space="preserve">capítulo “A transparência nos </w:t>
      </w:r>
      <w:r w:rsidR="00970924">
        <w:t>m</w:t>
      </w:r>
      <w:r w:rsidR="003B327D">
        <w:t xml:space="preserve">unicípios </w:t>
      </w:r>
      <w:r w:rsidR="00970924">
        <w:t>p</w:t>
      </w:r>
      <w:r w:rsidR="003B327D">
        <w:t>ortugueses”</w:t>
      </w:r>
      <w:r w:rsidR="004C31C4">
        <w:t>, o mesmo</w:t>
      </w:r>
      <w:r w:rsidR="003B327D">
        <w:t xml:space="preserve"> inicia-se com a definição e composição </w:t>
      </w:r>
      <w:r w:rsidR="00221730">
        <w:t>do</w:t>
      </w:r>
      <w:r w:rsidR="003B327D">
        <w:t xml:space="preserve"> Setor Publico, seguindo-se uma breve hist</w:t>
      </w:r>
      <w:r w:rsidR="00221730">
        <w:t>ó</w:t>
      </w:r>
      <w:r w:rsidR="003B327D">
        <w:t>ria da evolução dos municípios portugueses e da implantação da República e os municípios, passando para a descrição da composição das Autarquias Locais. Ainda dentro deste capítulo, é abordad</w:t>
      </w:r>
      <w:r w:rsidR="004C31C4">
        <w:t>a</w:t>
      </w:r>
      <w:r w:rsidR="003B327D">
        <w:t xml:space="preserve"> a temática do </w:t>
      </w:r>
      <w:r w:rsidR="00983AB8">
        <w:t>ITM</w:t>
      </w:r>
      <w:r w:rsidR="003B327D">
        <w:t xml:space="preserve"> onde é desenvolvida a fórmula de c</w:t>
      </w:r>
      <w:r w:rsidR="00221730">
        <w:t>á</w:t>
      </w:r>
      <w:r w:rsidR="003B327D">
        <w:t xml:space="preserve">lculo do índice, as situações fora do âmbito do mesmo e, finaliza, na explicação do processo do contraditório. </w:t>
      </w:r>
    </w:p>
    <w:p w14:paraId="2F2629E6" w14:textId="1DBA677E" w:rsidR="003B327D" w:rsidRDefault="003B327D" w:rsidP="00616098">
      <w:pPr>
        <w:spacing w:line="360" w:lineRule="auto"/>
        <w:jc w:val="both"/>
      </w:pPr>
      <w:r>
        <w:t xml:space="preserve">No quarto </w:t>
      </w:r>
      <w:r w:rsidR="00926848">
        <w:t>capítulo</w:t>
      </w:r>
      <w:r>
        <w:t xml:space="preserve"> inicia-se o Estudo </w:t>
      </w:r>
      <w:r w:rsidR="00926848">
        <w:t>Empírico</w:t>
      </w:r>
      <w:r>
        <w:t xml:space="preserve"> no qual </w:t>
      </w:r>
      <w:r w:rsidR="00970924">
        <w:t xml:space="preserve">são apresentadas </w:t>
      </w:r>
      <w:r>
        <w:t xml:space="preserve">as variáveis, </w:t>
      </w:r>
      <w:r w:rsidR="00926848">
        <w:t xml:space="preserve">as hipóteses e a metodologia da presente investigação. Segue-se para uma análise descritiva das variáveis </w:t>
      </w:r>
      <w:r w:rsidR="00FA4C62">
        <w:t xml:space="preserve">e para os testes de hipóteses </w:t>
      </w:r>
      <w:r w:rsidR="00926848">
        <w:t>e, por último, apresenta-se o Modelo de Regress</w:t>
      </w:r>
      <w:r w:rsidR="00221730">
        <w:t>ã</w:t>
      </w:r>
      <w:r w:rsidR="00926848">
        <w:t xml:space="preserve">o Linear Múltipla com Dados em Painel, dando resposta às hipóteses de investigação. </w:t>
      </w:r>
    </w:p>
    <w:p w14:paraId="29D281DF" w14:textId="55FCCB42" w:rsidR="00151643" w:rsidRDefault="00926848" w:rsidP="00926848">
      <w:pPr>
        <w:spacing w:line="360" w:lineRule="auto"/>
        <w:jc w:val="both"/>
      </w:pPr>
      <w:r>
        <w:t>Para finalizar, são apresentadas as conclusões da presente dissertação.</w:t>
      </w:r>
    </w:p>
    <w:p w14:paraId="0EDA4654" w14:textId="507CB425" w:rsidR="00E94C32" w:rsidRDefault="00E94C32" w:rsidP="00926848">
      <w:pPr>
        <w:spacing w:line="360" w:lineRule="auto"/>
        <w:jc w:val="both"/>
      </w:pPr>
    </w:p>
    <w:p w14:paraId="5B17E168" w14:textId="3E2F3730" w:rsidR="002E0FAB" w:rsidRDefault="002E0FAB" w:rsidP="00926848">
      <w:pPr>
        <w:spacing w:line="360" w:lineRule="auto"/>
        <w:jc w:val="both"/>
      </w:pPr>
    </w:p>
    <w:p w14:paraId="3464EF33" w14:textId="1F394B4D" w:rsidR="002E0FAB" w:rsidRDefault="002E0FAB" w:rsidP="00926848">
      <w:pPr>
        <w:spacing w:line="360" w:lineRule="auto"/>
        <w:jc w:val="both"/>
      </w:pPr>
    </w:p>
    <w:p w14:paraId="740A7F4B" w14:textId="51C25489" w:rsidR="002E0FAB" w:rsidRDefault="002E0FAB" w:rsidP="00926848">
      <w:pPr>
        <w:spacing w:line="360" w:lineRule="auto"/>
        <w:jc w:val="both"/>
      </w:pPr>
    </w:p>
    <w:p w14:paraId="2731E204" w14:textId="3FB8698D" w:rsidR="002E0FAB" w:rsidRDefault="002E0FAB" w:rsidP="00926848">
      <w:pPr>
        <w:spacing w:line="360" w:lineRule="auto"/>
        <w:jc w:val="both"/>
      </w:pPr>
    </w:p>
    <w:p w14:paraId="20B6259C" w14:textId="06CD8DEB" w:rsidR="002E0FAB" w:rsidRDefault="002E0FAB" w:rsidP="00926848">
      <w:pPr>
        <w:spacing w:line="360" w:lineRule="auto"/>
        <w:jc w:val="both"/>
      </w:pPr>
    </w:p>
    <w:p w14:paraId="16CA2559" w14:textId="64078AEA" w:rsidR="002E0FAB" w:rsidRDefault="002E0FAB" w:rsidP="00926848">
      <w:pPr>
        <w:spacing w:line="360" w:lineRule="auto"/>
        <w:jc w:val="both"/>
      </w:pPr>
    </w:p>
    <w:p w14:paraId="10692D12" w14:textId="2DF2BAE5" w:rsidR="002E0FAB" w:rsidRDefault="002E0FAB" w:rsidP="00926848">
      <w:pPr>
        <w:spacing w:line="360" w:lineRule="auto"/>
        <w:jc w:val="both"/>
      </w:pPr>
    </w:p>
    <w:p w14:paraId="53F8B53D" w14:textId="77777777" w:rsidR="002E0FAB" w:rsidRDefault="002E0FAB" w:rsidP="00926848">
      <w:pPr>
        <w:spacing w:line="360" w:lineRule="auto"/>
        <w:jc w:val="both"/>
      </w:pPr>
    </w:p>
    <w:p w14:paraId="3D447D13" w14:textId="077F1F6B" w:rsidR="00E94C32" w:rsidRDefault="00E94C32" w:rsidP="00926848">
      <w:pPr>
        <w:spacing w:line="360" w:lineRule="auto"/>
        <w:jc w:val="both"/>
      </w:pPr>
    </w:p>
    <w:p w14:paraId="32E4F35C" w14:textId="77777777" w:rsidR="00E94C32" w:rsidRPr="00926848" w:rsidRDefault="00E94C32" w:rsidP="00926848">
      <w:pPr>
        <w:spacing w:line="360" w:lineRule="auto"/>
        <w:jc w:val="both"/>
      </w:pPr>
    </w:p>
    <w:p w14:paraId="0BCD0DD9" w14:textId="0FFEB113" w:rsidR="00BA62F8" w:rsidRDefault="00BA62F8">
      <w:pPr>
        <w:rPr>
          <w:rFonts w:cs="Times New Roman"/>
          <w:b/>
          <w:sz w:val="28"/>
        </w:rPr>
      </w:pPr>
    </w:p>
    <w:p w14:paraId="27FC6B6B" w14:textId="15677C61" w:rsidR="00151643" w:rsidRDefault="00151643" w:rsidP="008F7EB6">
      <w:pPr>
        <w:pStyle w:val="Ttulo1"/>
        <w:numPr>
          <w:ilvl w:val="0"/>
          <w:numId w:val="2"/>
        </w:numPr>
        <w:spacing w:before="120" w:after="360" w:line="360" w:lineRule="auto"/>
        <w:ind w:left="567" w:hanging="567"/>
        <w:jc w:val="center"/>
      </w:pPr>
      <w:bookmarkStart w:id="11" w:name="_Toc37792552"/>
      <w:bookmarkStart w:id="12" w:name="_Toc66624192"/>
      <w:r w:rsidRPr="00347845">
        <w:lastRenderedPageBreak/>
        <w:t>Transp</w:t>
      </w:r>
      <w:r w:rsidRPr="00FE6B94">
        <w:t>a</w:t>
      </w:r>
      <w:r w:rsidRPr="00347845">
        <w:t>rência</w:t>
      </w:r>
      <w:r>
        <w:t xml:space="preserve"> </w:t>
      </w:r>
      <w:r w:rsidR="00825BC7" w:rsidRPr="00825BC7">
        <w:t xml:space="preserve">na </w:t>
      </w:r>
      <w:r w:rsidR="0074429B">
        <w:t>a</w:t>
      </w:r>
      <w:r w:rsidR="00825BC7" w:rsidRPr="00825BC7">
        <w:t xml:space="preserve">dministração </w:t>
      </w:r>
      <w:r w:rsidR="0074429B">
        <w:t>p</w:t>
      </w:r>
      <w:r w:rsidR="00825BC7" w:rsidRPr="00825BC7">
        <w:t>ública</w:t>
      </w:r>
      <w:bookmarkEnd w:id="11"/>
      <w:bookmarkEnd w:id="12"/>
    </w:p>
    <w:p w14:paraId="0D9CA13D" w14:textId="14E13CCC" w:rsidR="00A14608" w:rsidRPr="00A14608" w:rsidRDefault="00A14608" w:rsidP="00A14608">
      <w:pPr>
        <w:spacing w:before="120" w:after="120" w:line="360" w:lineRule="auto"/>
        <w:jc w:val="both"/>
        <w:rPr>
          <w:rFonts w:cs="Times New Roman"/>
          <w:szCs w:val="24"/>
        </w:rPr>
      </w:pPr>
      <w:r w:rsidRPr="00A14608">
        <w:rPr>
          <w:rFonts w:cs="Times New Roman"/>
          <w:szCs w:val="24"/>
        </w:rPr>
        <w:t xml:space="preserve">Neste segundo capítulo apresenta-se a importância da transparência na </w:t>
      </w:r>
      <w:r w:rsidR="00970924">
        <w:rPr>
          <w:rFonts w:cs="Times New Roman"/>
          <w:szCs w:val="24"/>
        </w:rPr>
        <w:t>a</w:t>
      </w:r>
      <w:r w:rsidRPr="00A14608">
        <w:rPr>
          <w:rFonts w:cs="Times New Roman"/>
          <w:szCs w:val="24"/>
        </w:rPr>
        <w:t xml:space="preserve">dministração </w:t>
      </w:r>
      <w:r w:rsidR="00970924">
        <w:rPr>
          <w:rFonts w:cs="Times New Roman"/>
          <w:szCs w:val="24"/>
        </w:rPr>
        <w:t>p</w:t>
      </w:r>
      <w:r w:rsidRPr="00A14608">
        <w:rPr>
          <w:rFonts w:cs="Times New Roman"/>
          <w:szCs w:val="24"/>
        </w:rPr>
        <w:t xml:space="preserve">ública, seguindo-se que uma comparação entre a temática da transparência política e transparência administrativa, bem como entre a transparência e a corrupção. Por último, apresentam-se as determinantes alvo de estudo no presente trabalho. </w:t>
      </w:r>
    </w:p>
    <w:p w14:paraId="19B1A58A" w14:textId="55A93DFE" w:rsidR="00151643" w:rsidRPr="00FE6B94" w:rsidRDefault="00001E76" w:rsidP="00193467">
      <w:pPr>
        <w:pStyle w:val="Ttulo2"/>
        <w:numPr>
          <w:ilvl w:val="1"/>
          <w:numId w:val="2"/>
        </w:numPr>
        <w:spacing w:before="360" w:after="240" w:line="360" w:lineRule="auto"/>
        <w:ind w:left="1077"/>
      </w:pPr>
      <w:bookmarkStart w:id="13" w:name="_Toc37792553"/>
      <w:bookmarkStart w:id="14" w:name="_Toc66624193"/>
      <w:r>
        <w:t>A importância da</w:t>
      </w:r>
      <w:r w:rsidR="008D291E">
        <w:t xml:space="preserve"> </w:t>
      </w:r>
      <w:r w:rsidR="00151643" w:rsidRPr="00FE6B94">
        <w:t xml:space="preserve">transparência </w:t>
      </w:r>
      <w:r>
        <w:t xml:space="preserve">na </w:t>
      </w:r>
      <w:r w:rsidR="0074429B">
        <w:t>a</w:t>
      </w:r>
      <w:r>
        <w:t xml:space="preserve">dministração </w:t>
      </w:r>
      <w:r w:rsidR="0074429B">
        <w:t>p</w:t>
      </w:r>
      <w:r>
        <w:t>ública</w:t>
      </w:r>
      <w:bookmarkEnd w:id="13"/>
      <w:bookmarkEnd w:id="14"/>
      <w:r w:rsidDel="006213F9">
        <w:t xml:space="preserve"> </w:t>
      </w:r>
    </w:p>
    <w:p w14:paraId="24A2FCA9" w14:textId="59CFE70F" w:rsidR="00437633" w:rsidRPr="00ED276B" w:rsidRDefault="00151643" w:rsidP="00F6646C">
      <w:pPr>
        <w:spacing w:before="120" w:after="120" w:line="360" w:lineRule="auto"/>
        <w:jc w:val="both"/>
        <w:rPr>
          <w:rFonts w:cs="Times New Roman"/>
          <w:szCs w:val="24"/>
        </w:rPr>
      </w:pPr>
      <w:r w:rsidRPr="00ED276B">
        <w:rPr>
          <w:rFonts w:cs="Times New Roman"/>
          <w:szCs w:val="24"/>
        </w:rPr>
        <w:t>A denominação de transparência é utilizada num sentido muito amplo, isto é, de forma generalizada, transparência significa a qualidade do que é transparente</w:t>
      </w:r>
      <w:r w:rsidR="0097493B">
        <w:rPr>
          <w:rFonts w:cs="Times New Roman"/>
          <w:szCs w:val="24"/>
        </w:rPr>
        <w:t xml:space="preserve"> (Online </w:t>
      </w:r>
      <w:proofErr w:type="spellStart"/>
      <w:r w:rsidR="0097493B">
        <w:rPr>
          <w:rFonts w:cs="Times New Roman"/>
          <w:szCs w:val="24"/>
        </w:rPr>
        <w:t>Etymology</w:t>
      </w:r>
      <w:proofErr w:type="spellEnd"/>
      <w:r w:rsidR="0097493B">
        <w:rPr>
          <w:rFonts w:cs="Times New Roman"/>
          <w:szCs w:val="24"/>
        </w:rPr>
        <w:t xml:space="preserve"> </w:t>
      </w:r>
      <w:proofErr w:type="spellStart"/>
      <w:r w:rsidR="0097493B">
        <w:rPr>
          <w:rFonts w:cs="Times New Roman"/>
          <w:szCs w:val="24"/>
        </w:rPr>
        <w:t>Dictionary</w:t>
      </w:r>
      <w:proofErr w:type="spellEnd"/>
      <w:r w:rsidR="0097493B">
        <w:rPr>
          <w:rFonts w:cs="Times New Roman"/>
          <w:szCs w:val="24"/>
        </w:rPr>
        <w:t>, 2016</w:t>
      </w:r>
      <w:r w:rsidR="00F24844">
        <w:rPr>
          <w:rFonts w:cs="Times New Roman"/>
          <w:szCs w:val="24"/>
        </w:rPr>
        <w:t>)</w:t>
      </w:r>
      <w:r w:rsidRPr="00ED276B">
        <w:rPr>
          <w:rFonts w:cs="Times New Roman"/>
          <w:szCs w:val="24"/>
        </w:rPr>
        <w:t xml:space="preserve">. O conceito de transparência </w:t>
      </w:r>
      <w:r w:rsidR="00827304">
        <w:rPr>
          <w:rFonts w:cs="Times New Roman"/>
          <w:szCs w:val="24"/>
        </w:rPr>
        <w:t>é</w:t>
      </w:r>
      <w:r w:rsidRPr="00ED276B">
        <w:rPr>
          <w:rFonts w:cs="Times New Roman"/>
          <w:szCs w:val="24"/>
        </w:rPr>
        <w:t xml:space="preserve"> um conceito multidisciplinar com interesse em várias áreas, como sendo, </w:t>
      </w:r>
      <w:r w:rsidR="00281615">
        <w:rPr>
          <w:rFonts w:cs="Times New Roman"/>
          <w:szCs w:val="24"/>
        </w:rPr>
        <w:t xml:space="preserve">a </w:t>
      </w:r>
      <w:r w:rsidRPr="00ED276B">
        <w:rPr>
          <w:rFonts w:cs="Times New Roman"/>
          <w:szCs w:val="24"/>
        </w:rPr>
        <w:t xml:space="preserve">área </w:t>
      </w:r>
      <w:r w:rsidR="008D291E">
        <w:rPr>
          <w:rFonts w:cs="Times New Roman"/>
          <w:szCs w:val="24"/>
        </w:rPr>
        <w:t>política</w:t>
      </w:r>
      <w:r w:rsidRPr="00ED276B">
        <w:rPr>
          <w:rFonts w:cs="Times New Roman"/>
          <w:szCs w:val="24"/>
        </w:rPr>
        <w:t xml:space="preserve">, de direito, económica, de </w:t>
      </w:r>
      <w:r w:rsidR="00970924">
        <w:rPr>
          <w:rFonts w:cs="Times New Roman"/>
          <w:szCs w:val="24"/>
        </w:rPr>
        <w:t>a</w:t>
      </w:r>
      <w:r w:rsidR="00A35C92">
        <w:rPr>
          <w:rFonts w:cs="Times New Roman"/>
          <w:szCs w:val="24"/>
        </w:rPr>
        <w:t xml:space="preserve">dministração </w:t>
      </w:r>
      <w:r w:rsidR="00970924">
        <w:rPr>
          <w:rFonts w:cs="Times New Roman"/>
          <w:szCs w:val="24"/>
        </w:rPr>
        <w:t>p</w:t>
      </w:r>
      <w:r w:rsidR="00A35C92">
        <w:rPr>
          <w:rFonts w:cs="Times New Roman"/>
          <w:szCs w:val="24"/>
        </w:rPr>
        <w:t>ública</w:t>
      </w:r>
      <w:r w:rsidRPr="00ED276B">
        <w:rPr>
          <w:rFonts w:cs="Times New Roman"/>
          <w:szCs w:val="24"/>
        </w:rPr>
        <w:t xml:space="preserve">, entre outras. </w:t>
      </w:r>
      <w:r w:rsidR="00367FC4">
        <w:rPr>
          <w:rFonts w:cs="Times New Roman"/>
          <w:szCs w:val="24"/>
        </w:rPr>
        <w:t xml:space="preserve">Deste modo, </w:t>
      </w:r>
      <w:r w:rsidR="00827304">
        <w:rPr>
          <w:rFonts w:cs="Times New Roman"/>
          <w:szCs w:val="24"/>
        </w:rPr>
        <w:t>Meijer (200</w:t>
      </w:r>
      <w:r w:rsidR="00803EBB">
        <w:rPr>
          <w:rFonts w:cs="Times New Roman"/>
          <w:szCs w:val="24"/>
        </w:rPr>
        <w:t>3</w:t>
      </w:r>
      <w:r w:rsidR="00827304">
        <w:rPr>
          <w:rFonts w:cs="Times New Roman"/>
          <w:szCs w:val="24"/>
        </w:rPr>
        <w:t xml:space="preserve">) </w:t>
      </w:r>
      <w:r w:rsidR="00367FC4">
        <w:rPr>
          <w:rFonts w:cs="Times New Roman"/>
          <w:szCs w:val="24"/>
        </w:rPr>
        <w:t>conceptualiza</w:t>
      </w:r>
      <w:r w:rsidR="00827304">
        <w:rPr>
          <w:rFonts w:cs="Times New Roman"/>
          <w:szCs w:val="24"/>
        </w:rPr>
        <w:t xml:space="preserve"> que a</w:t>
      </w:r>
      <w:r w:rsidR="00827304" w:rsidRPr="00ED276B">
        <w:rPr>
          <w:rFonts w:cs="Times New Roman"/>
          <w:szCs w:val="24"/>
        </w:rPr>
        <w:t xml:space="preserve"> transparência</w:t>
      </w:r>
      <w:r w:rsidR="00827304">
        <w:rPr>
          <w:rFonts w:cs="Times New Roman"/>
          <w:szCs w:val="24"/>
        </w:rPr>
        <w:t xml:space="preserve"> é a disponibilização da informação a todas as pessoas </w:t>
      </w:r>
      <w:r w:rsidR="00644C73">
        <w:rPr>
          <w:rFonts w:cs="Times New Roman"/>
          <w:szCs w:val="24"/>
        </w:rPr>
        <w:t>visando</w:t>
      </w:r>
      <w:r w:rsidR="00827304">
        <w:rPr>
          <w:rFonts w:cs="Times New Roman"/>
          <w:szCs w:val="24"/>
        </w:rPr>
        <w:t xml:space="preserve">, desta forma, </w:t>
      </w:r>
      <w:r w:rsidR="00644C73">
        <w:rPr>
          <w:rFonts w:cs="Times New Roman"/>
          <w:szCs w:val="24"/>
        </w:rPr>
        <w:t xml:space="preserve">demonstrar o </w:t>
      </w:r>
      <w:r w:rsidR="00437633">
        <w:rPr>
          <w:rFonts w:cs="Times New Roman"/>
          <w:szCs w:val="24"/>
        </w:rPr>
        <w:t>bom funcionamento das instituições públicas.</w:t>
      </w:r>
    </w:p>
    <w:p w14:paraId="0EE867EB" w14:textId="074DBB08" w:rsidR="00151643" w:rsidRPr="00AA0171" w:rsidRDefault="00151643" w:rsidP="00B81FAF">
      <w:pPr>
        <w:spacing w:before="120" w:after="120" w:line="360" w:lineRule="auto"/>
        <w:rPr>
          <w:rFonts w:cs="Times New Roman"/>
          <w:szCs w:val="24"/>
        </w:rPr>
      </w:pPr>
      <w:r w:rsidRPr="00ED276B">
        <w:rPr>
          <w:rFonts w:cs="Times New Roman"/>
          <w:szCs w:val="24"/>
        </w:rPr>
        <w:t>O interesse pela transparência organizacional tem vindo a aumentar por todo o mundo.</w:t>
      </w:r>
      <w:bookmarkStart w:id="15" w:name="_Hlk56250537"/>
      <w:r w:rsidR="002F3D6A">
        <w:rPr>
          <w:rFonts w:cs="Times New Roman"/>
          <w:szCs w:val="24"/>
        </w:rPr>
        <w:t xml:space="preserve"> </w:t>
      </w:r>
      <w:r w:rsidRPr="00AA0171">
        <w:rPr>
          <w:rFonts w:cs="Times New Roman"/>
          <w:szCs w:val="24"/>
        </w:rPr>
        <w:t>Segundo o disposto no n</w:t>
      </w:r>
      <w:r w:rsidR="006213F9">
        <w:rPr>
          <w:rFonts w:cs="Times New Roman"/>
          <w:szCs w:val="24"/>
        </w:rPr>
        <w:t>.</w:t>
      </w:r>
      <w:r w:rsidRPr="00AA0171">
        <w:rPr>
          <w:rFonts w:cs="Times New Roman"/>
          <w:szCs w:val="24"/>
        </w:rPr>
        <w:t>º</w:t>
      </w:r>
      <w:r w:rsidR="006213F9">
        <w:rPr>
          <w:rFonts w:cs="Times New Roman"/>
          <w:szCs w:val="24"/>
        </w:rPr>
        <w:t xml:space="preserve"> </w:t>
      </w:r>
      <w:r w:rsidRPr="00AA0171">
        <w:rPr>
          <w:rFonts w:cs="Times New Roman"/>
          <w:szCs w:val="24"/>
        </w:rPr>
        <w:t>2 do art</w:t>
      </w:r>
      <w:r w:rsidR="006213F9">
        <w:rPr>
          <w:rFonts w:cs="Times New Roman"/>
          <w:szCs w:val="24"/>
        </w:rPr>
        <w:t>igo</w:t>
      </w:r>
      <w:r w:rsidRPr="00AA0171">
        <w:rPr>
          <w:rFonts w:cs="Times New Roman"/>
          <w:szCs w:val="24"/>
        </w:rPr>
        <w:t xml:space="preserve"> 19 da </w:t>
      </w:r>
      <w:r w:rsidR="006213F9">
        <w:rPr>
          <w:rFonts w:cs="Times New Roman"/>
          <w:szCs w:val="24"/>
        </w:rPr>
        <w:t>L</w:t>
      </w:r>
      <w:r w:rsidRPr="00AA0171">
        <w:rPr>
          <w:rFonts w:cs="Times New Roman"/>
          <w:szCs w:val="24"/>
        </w:rPr>
        <w:t xml:space="preserve">ei </w:t>
      </w:r>
      <w:r w:rsidR="006213F9">
        <w:rPr>
          <w:rFonts w:cs="Times New Roman"/>
          <w:szCs w:val="24"/>
        </w:rPr>
        <w:t>n.º</w:t>
      </w:r>
      <w:r w:rsidR="00AA3E04">
        <w:rPr>
          <w:rFonts w:cs="Times New Roman"/>
          <w:szCs w:val="24"/>
        </w:rPr>
        <w:t xml:space="preserve"> </w:t>
      </w:r>
      <w:r w:rsidRPr="00AA0171">
        <w:rPr>
          <w:rFonts w:cs="Times New Roman"/>
          <w:szCs w:val="24"/>
        </w:rPr>
        <w:t>151/15</w:t>
      </w:r>
      <w:r w:rsidR="00D22AD7">
        <w:rPr>
          <w:rFonts w:cs="Times New Roman"/>
          <w:szCs w:val="24"/>
        </w:rPr>
        <w:t>,</w:t>
      </w:r>
      <w:r w:rsidRPr="00AA0171">
        <w:rPr>
          <w:rFonts w:cs="Times New Roman"/>
          <w:szCs w:val="24"/>
        </w:rPr>
        <w:t xml:space="preserve"> de 11 de setembro</w:t>
      </w:r>
      <w:bookmarkEnd w:id="15"/>
      <w:r w:rsidRPr="00AA0171">
        <w:rPr>
          <w:rFonts w:cs="Times New Roman"/>
          <w:szCs w:val="24"/>
        </w:rPr>
        <w:t>:</w:t>
      </w:r>
    </w:p>
    <w:p w14:paraId="04E75B8C" w14:textId="77777777" w:rsidR="00151643" w:rsidRPr="00FF3C2C" w:rsidRDefault="00151643" w:rsidP="00151643">
      <w:pPr>
        <w:spacing w:line="360" w:lineRule="auto"/>
        <w:ind w:left="1077" w:right="1077"/>
        <w:jc w:val="both"/>
        <w:rPr>
          <w:rFonts w:cs="Times New Roman"/>
          <w:sz w:val="22"/>
          <w:szCs w:val="24"/>
        </w:rPr>
      </w:pPr>
      <w:r w:rsidRPr="00FF3C2C">
        <w:rPr>
          <w:rFonts w:cs="Times New Roman"/>
          <w:color w:val="333333"/>
          <w:sz w:val="22"/>
          <w:szCs w:val="28"/>
          <w:shd w:val="clear" w:color="auto" w:fill="FFFFFF"/>
        </w:rPr>
        <w:t>“</w:t>
      </w:r>
      <w:bookmarkStart w:id="16" w:name="_Hlk56250370"/>
      <w:r w:rsidRPr="00FF3C2C">
        <w:rPr>
          <w:rFonts w:cs="Times New Roman"/>
          <w:sz w:val="22"/>
          <w:szCs w:val="24"/>
        </w:rPr>
        <w:t>A transparência orçamental implica a disponibilização de informação sobre a implementação e a execução dos programas, objetivos da política orçamental, orçamentos e contas do setor das administrações públicas, por subsetor.”</w:t>
      </w:r>
      <w:bookmarkEnd w:id="16"/>
    </w:p>
    <w:p w14:paraId="3AAFADAD" w14:textId="41A2C954" w:rsidR="00151643" w:rsidRDefault="00151643" w:rsidP="00151643">
      <w:pPr>
        <w:spacing w:line="360" w:lineRule="auto"/>
        <w:jc w:val="both"/>
        <w:rPr>
          <w:rFonts w:cs="Times New Roman"/>
        </w:rPr>
      </w:pPr>
      <w:r>
        <w:rPr>
          <w:rFonts w:cs="Times New Roman"/>
        </w:rPr>
        <w:t xml:space="preserve">O </w:t>
      </w:r>
      <w:r w:rsidRPr="00AA0171">
        <w:rPr>
          <w:rFonts w:cs="Times New Roman"/>
        </w:rPr>
        <w:t>artigo</w:t>
      </w:r>
      <w:r w:rsidR="00281615">
        <w:rPr>
          <w:rFonts w:cs="Times New Roman"/>
        </w:rPr>
        <w:t xml:space="preserve"> anterior</w:t>
      </w:r>
      <w:r w:rsidRPr="00AA0171">
        <w:rPr>
          <w:rFonts w:cs="Times New Roman"/>
        </w:rPr>
        <w:t xml:space="preserve"> refere também que a informação a ser disponibilizada deve ser fiável, completa, atualizada, compreensível e</w:t>
      </w:r>
      <w:r>
        <w:rPr>
          <w:rFonts w:cs="Times New Roman"/>
        </w:rPr>
        <w:t xml:space="preserve"> comparável internacionalmente. </w:t>
      </w:r>
      <w:r w:rsidRPr="00AA0171">
        <w:rPr>
          <w:rFonts w:cs="Times New Roman"/>
        </w:rPr>
        <w:t xml:space="preserve">Estas características da informação impostas têm como objetivo </w:t>
      </w:r>
      <w:r w:rsidR="00281615">
        <w:rPr>
          <w:rFonts w:cs="Times New Roman"/>
        </w:rPr>
        <w:t>permitir</w:t>
      </w:r>
      <w:r w:rsidRPr="00AA0171">
        <w:rPr>
          <w:rFonts w:cs="Times New Roman"/>
        </w:rPr>
        <w:t xml:space="preserve"> avaliar com precisão toda a informação financeira divulg</w:t>
      </w:r>
      <w:r w:rsidR="00281615">
        <w:rPr>
          <w:rFonts w:cs="Times New Roman"/>
        </w:rPr>
        <w:t>ada pelos organismos do setor pú</w:t>
      </w:r>
      <w:r w:rsidRPr="00AA0171">
        <w:rPr>
          <w:rFonts w:cs="Times New Roman"/>
        </w:rPr>
        <w:t xml:space="preserve">blico administrativo, como a </w:t>
      </w:r>
      <w:r w:rsidR="00D22AD7">
        <w:rPr>
          <w:rFonts w:cs="Times New Roman"/>
        </w:rPr>
        <w:t xml:space="preserve">sua </w:t>
      </w:r>
      <w:r w:rsidRPr="00AA0171">
        <w:rPr>
          <w:rFonts w:cs="Times New Roman"/>
        </w:rPr>
        <w:t>posição financeira e os custos e benefícios das atividades dos mesmos.</w:t>
      </w:r>
    </w:p>
    <w:p w14:paraId="7C940B1D" w14:textId="5247FF97" w:rsidR="00482A0D" w:rsidRPr="00482A0D" w:rsidRDefault="00482A0D" w:rsidP="00482A0D">
      <w:pPr>
        <w:spacing w:before="120" w:after="120" w:line="360" w:lineRule="auto"/>
        <w:jc w:val="both"/>
        <w:rPr>
          <w:rFonts w:cs="Times New Roman"/>
          <w:szCs w:val="24"/>
        </w:rPr>
      </w:pPr>
      <w:bookmarkStart w:id="17" w:name="_Hlk56250545"/>
      <w:r>
        <w:rPr>
          <w:rFonts w:cs="Times New Roman"/>
          <w:szCs w:val="24"/>
        </w:rPr>
        <w:t xml:space="preserve">Cruz, Silva e Santos (2009) </w:t>
      </w:r>
      <w:bookmarkEnd w:id="17"/>
      <w:r>
        <w:rPr>
          <w:rFonts w:cs="Times New Roman"/>
          <w:szCs w:val="24"/>
        </w:rPr>
        <w:t xml:space="preserve">enunciam que um dos princípios da gestão pública é a transparência e que as iniciativas que visam aperfeiçoar os mecanismos de transparência de informação nos governos são consideradas como boas práticas de gestão pública. </w:t>
      </w:r>
      <w:bookmarkStart w:id="18" w:name="_Hlk56250392"/>
      <w:r>
        <w:rPr>
          <w:rFonts w:cs="Times New Roman"/>
          <w:szCs w:val="24"/>
        </w:rPr>
        <w:t xml:space="preserve">Os mesmos autores afirmam que a transparência deve ser uma característica presente em todas as atividades realizadas pelos </w:t>
      </w:r>
      <w:r>
        <w:rPr>
          <w:rFonts w:cs="Times New Roman"/>
          <w:szCs w:val="24"/>
        </w:rPr>
        <w:lastRenderedPageBreak/>
        <w:t>gestores públicos promovendo o acesso e a compreensão dessas mesmas atividades por parte dos cidadãos.</w:t>
      </w:r>
    </w:p>
    <w:bookmarkEnd w:id="18"/>
    <w:p w14:paraId="00A698F3" w14:textId="2079C36C" w:rsidR="00E97880" w:rsidRDefault="00151643" w:rsidP="00151643">
      <w:pPr>
        <w:spacing w:before="120" w:after="120" w:line="360" w:lineRule="auto"/>
        <w:jc w:val="both"/>
        <w:rPr>
          <w:rFonts w:cs="Times New Roman"/>
          <w:szCs w:val="24"/>
        </w:rPr>
      </w:pPr>
      <w:r w:rsidRPr="00B8200D">
        <w:rPr>
          <w:rFonts w:cs="Times New Roman"/>
        </w:rPr>
        <w:t>Deste modo</w:t>
      </w:r>
      <w:r>
        <w:rPr>
          <w:rFonts w:cs="Times New Roman"/>
          <w:b/>
          <w:sz w:val="20"/>
          <w:szCs w:val="24"/>
        </w:rPr>
        <w:t xml:space="preserve">, </w:t>
      </w:r>
      <w:r>
        <w:rPr>
          <w:rFonts w:cs="Times New Roman"/>
          <w:szCs w:val="24"/>
        </w:rPr>
        <w:t xml:space="preserve">a promoção da transparência assenta na disponibilização de condições de acesso de todas as informações sobre a gestão pública. </w:t>
      </w:r>
      <w:r w:rsidR="00E97880">
        <w:rPr>
          <w:rFonts w:cs="Times New Roman"/>
          <w:szCs w:val="24"/>
        </w:rPr>
        <w:t>Os Organismos Estratégicos do Controlo Interno</w:t>
      </w:r>
      <w:r w:rsidR="001244FE">
        <w:rPr>
          <w:rFonts w:cs="Times New Roman"/>
          <w:szCs w:val="24"/>
        </w:rPr>
        <w:t xml:space="preserve"> da Comunidade dos Países de Língua Portuguesa</w:t>
      </w:r>
      <w:r w:rsidR="00E97880">
        <w:rPr>
          <w:rFonts w:cs="Times New Roman"/>
          <w:szCs w:val="24"/>
        </w:rPr>
        <w:t xml:space="preserve"> (OECI</w:t>
      </w:r>
      <w:r w:rsidR="001244FE">
        <w:rPr>
          <w:rFonts w:cs="Times New Roman"/>
          <w:szCs w:val="24"/>
        </w:rPr>
        <w:t xml:space="preserve"> - CPLP</w:t>
      </w:r>
      <w:r w:rsidR="00E97880">
        <w:rPr>
          <w:rFonts w:cs="Times New Roman"/>
          <w:szCs w:val="24"/>
        </w:rPr>
        <w:t>) entendem</w:t>
      </w:r>
      <w:r>
        <w:rPr>
          <w:rFonts w:cs="Times New Roman"/>
          <w:szCs w:val="24"/>
        </w:rPr>
        <w:t xml:space="preserve"> como informação pública todos os documentos, sejam atos oficiais ou decisões governamentais da gestão pública, que não sejam classificados como sigilosos, em termos legais, como a execução orçamental e os contratos celebrados pelo setor p</w:t>
      </w:r>
      <w:r w:rsidR="006213F9">
        <w:rPr>
          <w:rFonts w:cs="Times New Roman"/>
          <w:szCs w:val="24"/>
        </w:rPr>
        <w:t>ú</w:t>
      </w:r>
      <w:r>
        <w:rPr>
          <w:rFonts w:cs="Times New Roman"/>
          <w:szCs w:val="24"/>
        </w:rPr>
        <w:t>blico nas várias áreas</w:t>
      </w:r>
      <w:r w:rsidR="00E97880">
        <w:rPr>
          <w:rFonts w:cs="Times New Roman"/>
          <w:szCs w:val="24"/>
        </w:rPr>
        <w:t>. A</w:t>
      </w:r>
      <w:r>
        <w:rPr>
          <w:rFonts w:cs="Times New Roman"/>
          <w:szCs w:val="24"/>
        </w:rPr>
        <w:t xml:space="preserve"> transparência é </w:t>
      </w:r>
      <w:r w:rsidR="00926FD5">
        <w:rPr>
          <w:rFonts w:cs="Times New Roman"/>
          <w:szCs w:val="24"/>
        </w:rPr>
        <w:t>«</w:t>
      </w:r>
      <w:r>
        <w:rPr>
          <w:rFonts w:cs="Times New Roman"/>
          <w:szCs w:val="24"/>
        </w:rPr>
        <w:t>o que permite a qualquer cidadão saber onde, como e porque o dinheiro público está a ser gasto</w:t>
      </w:r>
      <w:r w:rsidR="00926FD5">
        <w:rPr>
          <w:rFonts w:cs="Times New Roman"/>
          <w:szCs w:val="24"/>
        </w:rPr>
        <w:t xml:space="preserve">» </w:t>
      </w:r>
      <w:r w:rsidR="00E97880">
        <w:rPr>
          <w:rFonts w:cs="Times New Roman"/>
          <w:szCs w:val="24"/>
        </w:rPr>
        <w:t>(OECI</w:t>
      </w:r>
      <w:r w:rsidR="00CC011A">
        <w:rPr>
          <w:rFonts w:cs="Times New Roman"/>
          <w:szCs w:val="24"/>
        </w:rPr>
        <w:t>-CPLP</w:t>
      </w:r>
      <w:r w:rsidR="00E97880">
        <w:rPr>
          <w:rFonts w:cs="Times New Roman"/>
          <w:szCs w:val="24"/>
        </w:rPr>
        <w:t>, 2011)</w:t>
      </w:r>
      <w:r w:rsidR="006213F9">
        <w:rPr>
          <w:rFonts w:cs="Times New Roman"/>
          <w:szCs w:val="24"/>
        </w:rPr>
        <w:t>.</w:t>
      </w:r>
    </w:p>
    <w:p w14:paraId="1394EB7A" w14:textId="0D10B085" w:rsidR="00482A0D" w:rsidRDefault="00482A0D" w:rsidP="00151643">
      <w:pPr>
        <w:spacing w:before="120" w:after="120" w:line="360" w:lineRule="auto"/>
        <w:jc w:val="both"/>
        <w:rPr>
          <w:rFonts w:cs="Times New Roman"/>
          <w:szCs w:val="24"/>
        </w:rPr>
      </w:pPr>
      <w:r>
        <w:rPr>
          <w:rFonts w:cs="Times New Roman"/>
          <w:szCs w:val="24"/>
        </w:rPr>
        <w:t>Cruz, Ferreira, Sil</w:t>
      </w:r>
      <w:r w:rsidR="002C6EA5">
        <w:rPr>
          <w:rFonts w:cs="Times New Roman"/>
          <w:szCs w:val="24"/>
        </w:rPr>
        <w:t xml:space="preserve">va e Macedo (2012) ressalvam que dar publicidade não significa necessariamente </w:t>
      </w:r>
      <w:r w:rsidR="002C6EA5" w:rsidRPr="002E0FAB">
        <w:rPr>
          <w:rFonts w:cs="Times New Roman"/>
          <w:szCs w:val="24"/>
        </w:rPr>
        <w:t>que se é transparente</w:t>
      </w:r>
      <w:r w:rsidR="002C6EA5">
        <w:rPr>
          <w:rFonts w:cs="Times New Roman"/>
          <w:szCs w:val="24"/>
        </w:rPr>
        <w:t>. É fundamental que todas as informações disponibilizadas tenham a capacidade de comunicar o que realmente devem expressar com o intuito das mesmas não parecerem fraudulentas.</w:t>
      </w:r>
      <w:r>
        <w:rPr>
          <w:rFonts w:cs="Times New Roman"/>
          <w:szCs w:val="24"/>
        </w:rPr>
        <w:t xml:space="preserve"> </w:t>
      </w:r>
    </w:p>
    <w:p w14:paraId="0569399B" w14:textId="35297DE0" w:rsidR="007A1EE1" w:rsidRDefault="007A1EE1" w:rsidP="00151643">
      <w:pPr>
        <w:spacing w:before="120" w:after="120" w:line="360" w:lineRule="auto"/>
        <w:jc w:val="both"/>
        <w:rPr>
          <w:rFonts w:cs="Times New Roman"/>
          <w:szCs w:val="24"/>
        </w:rPr>
      </w:pPr>
      <w:r>
        <w:rPr>
          <w:rFonts w:cs="Times New Roman"/>
          <w:szCs w:val="24"/>
        </w:rPr>
        <w:t>O Fundo Monetário Internacional (FMI)</w:t>
      </w:r>
      <w:r w:rsidR="00AA3E04">
        <w:rPr>
          <w:rFonts w:cs="Times New Roman"/>
          <w:szCs w:val="24"/>
        </w:rPr>
        <w:t>,</w:t>
      </w:r>
      <w:r>
        <w:rPr>
          <w:rFonts w:cs="Times New Roman"/>
          <w:szCs w:val="24"/>
        </w:rPr>
        <w:t xml:space="preserve"> através do seu Manual de Transparência Fiscal</w:t>
      </w:r>
      <w:r w:rsidR="00AA3E04">
        <w:rPr>
          <w:rFonts w:cs="Times New Roman"/>
          <w:szCs w:val="24"/>
        </w:rPr>
        <w:t>,</w:t>
      </w:r>
      <w:r>
        <w:rPr>
          <w:rFonts w:cs="Times New Roman"/>
          <w:szCs w:val="24"/>
        </w:rPr>
        <w:t xml:space="preserve"> enuncia, relativamente ao acesso público à informação, que as atividades f</w:t>
      </w:r>
      <w:r w:rsidR="00F008C5">
        <w:rPr>
          <w:rFonts w:cs="Times New Roman"/>
          <w:szCs w:val="24"/>
        </w:rPr>
        <w:t>inanceiras</w:t>
      </w:r>
      <w:r w:rsidR="00C96C8E">
        <w:rPr>
          <w:rFonts w:cs="Times New Roman"/>
          <w:szCs w:val="24"/>
        </w:rPr>
        <w:t>,</w:t>
      </w:r>
      <w:r>
        <w:rPr>
          <w:rFonts w:cs="Times New Roman"/>
          <w:szCs w:val="24"/>
        </w:rPr>
        <w:t xml:space="preserve"> sejam elas</w:t>
      </w:r>
      <w:r w:rsidR="00C96C8E">
        <w:rPr>
          <w:rFonts w:cs="Times New Roman"/>
          <w:szCs w:val="24"/>
        </w:rPr>
        <w:t xml:space="preserve">, </w:t>
      </w:r>
      <w:r>
        <w:rPr>
          <w:rFonts w:cs="Times New Roman"/>
          <w:szCs w:val="24"/>
        </w:rPr>
        <w:t xml:space="preserve">passadas, presentes </w:t>
      </w:r>
      <w:r w:rsidR="009C537E">
        <w:rPr>
          <w:rFonts w:cs="Times New Roman"/>
          <w:szCs w:val="24"/>
        </w:rPr>
        <w:t>ou</w:t>
      </w:r>
      <w:r>
        <w:rPr>
          <w:rFonts w:cs="Times New Roman"/>
          <w:szCs w:val="24"/>
        </w:rPr>
        <w:t xml:space="preserve"> futuras devem ser plenamente informadas aos cidadãos.</w:t>
      </w:r>
      <w:r w:rsidR="00C96C8E">
        <w:rPr>
          <w:rFonts w:cs="Times New Roman"/>
          <w:szCs w:val="24"/>
        </w:rPr>
        <w:t xml:space="preserve"> Para além disso, afirma, ainda</w:t>
      </w:r>
      <w:r w:rsidR="00AA3E04">
        <w:rPr>
          <w:rFonts w:cs="Times New Roman"/>
          <w:szCs w:val="24"/>
        </w:rPr>
        <w:t>,</w:t>
      </w:r>
      <w:r w:rsidR="00C96C8E">
        <w:rPr>
          <w:rFonts w:cs="Times New Roman"/>
          <w:szCs w:val="24"/>
        </w:rPr>
        <w:t xml:space="preserve"> que as informações fiscais apresentadas devem estar numa forma que facilite uma análise de política económica bem como que promovam a responsabilização. Neste seguimento, o governo deve responsabilizar-se pela divulgação dessas informações tempestivamente (FMI, 2007)</w:t>
      </w:r>
      <w:r w:rsidR="006213F9">
        <w:rPr>
          <w:rFonts w:cs="Times New Roman"/>
          <w:szCs w:val="24"/>
        </w:rPr>
        <w:t>.</w:t>
      </w:r>
    </w:p>
    <w:p w14:paraId="1C1FAC13" w14:textId="107877BD" w:rsidR="0074341D" w:rsidRPr="00465C8B" w:rsidRDefault="0074341D" w:rsidP="0074341D">
      <w:pPr>
        <w:spacing w:line="360" w:lineRule="auto"/>
        <w:jc w:val="both"/>
        <w:rPr>
          <w:rFonts w:cs="Times New Roman"/>
          <w:szCs w:val="24"/>
        </w:rPr>
      </w:pPr>
      <w:r w:rsidRPr="00465C8B">
        <w:rPr>
          <w:rFonts w:cs="Times New Roman"/>
          <w:szCs w:val="24"/>
        </w:rPr>
        <w:t>Segundo o Guia de Recomendação do Conselho da OCDE sobre a Integridade Pública</w:t>
      </w:r>
      <w:r>
        <w:rPr>
          <w:rFonts w:cs="Times New Roman"/>
          <w:szCs w:val="24"/>
        </w:rPr>
        <w:t>, a integridade é essencial ao bem-estar económico e social bem como à prosperidade dos indivíduos e das sociedades como um todo tornando-se, deste modo, um dos principais pilares das estruturas económicas, políticas e sociais.</w:t>
      </w:r>
    </w:p>
    <w:p w14:paraId="061913C5" w14:textId="0B62C6B1" w:rsidR="0074341D" w:rsidRDefault="0074341D" w:rsidP="0074341D">
      <w:pPr>
        <w:spacing w:before="120" w:after="120" w:line="360" w:lineRule="auto"/>
        <w:jc w:val="both"/>
        <w:rPr>
          <w:rFonts w:cs="Times New Roman"/>
          <w:szCs w:val="26"/>
        </w:rPr>
      </w:pPr>
      <w:r>
        <w:rPr>
          <w:rFonts w:cs="Times New Roman"/>
          <w:szCs w:val="26"/>
        </w:rPr>
        <w:t>A i</w:t>
      </w:r>
      <w:r w:rsidRPr="00A618B3">
        <w:rPr>
          <w:rFonts w:cs="Times New Roman"/>
          <w:szCs w:val="26"/>
        </w:rPr>
        <w:t>ntegridade pública</w:t>
      </w:r>
      <w:r>
        <w:rPr>
          <w:rFonts w:cs="Times New Roman"/>
          <w:sz w:val="26"/>
          <w:szCs w:val="26"/>
        </w:rPr>
        <w:t xml:space="preserve"> </w:t>
      </w:r>
      <w:r w:rsidR="00926FD5">
        <w:rPr>
          <w:rFonts w:cs="Times New Roman"/>
          <w:szCs w:val="26"/>
        </w:rPr>
        <w:t>«</w:t>
      </w:r>
      <w:r w:rsidRPr="00592565">
        <w:rPr>
          <w:rFonts w:cs="Times New Roman"/>
          <w:szCs w:val="26"/>
        </w:rPr>
        <w:t>refere-se ao alinhamento consistente e à adesão de valores, princípios e normas éticas comuns para sustentar e priorizar o interesse público sobre os interesses privados no setor público</w:t>
      </w:r>
      <w:r w:rsidR="00926FD5">
        <w:rPr>
          <w:rFonts w:cs="Times New Roman"/>
          <w:szCs w:val="26"/>
        </w:rPr>
        <w:t>»</w:t>
      </w:r>
      <w:r w:rsidRPr="00592565">
        <w:rPr>
          <w:rFonts w:cs="Times New Roman"/>
          <w:szCs w:val="26"/>
        </w:rPr>
        <w:t xml:space="preserve"> (OCDE, 2017</w:t>
      </w:r>
      <w:r>
        <w:rPr>
          <w:rFonts w:cs="Times New Roman"/>
          <w:szCs w:val="26"/>
        </w:rPr>
        <w:t>, p.3</w:t>
      </w:r>
      <w:r w:rsidRPr="00592565">
        <w:rPr>
          <w:rFonts w:cs="Times New Roman"/>
          <w:szCs w:val="26"/>
        </w:rPr>
        <w:t xml:space="preserve">). </w:t>
      </w:r>
      <w:r>
        <w:rPr>
          <w:rFonts w:cs="Times New Roman"/>
          <w:szCs w:val="26"/>
        </w:rPr>
        <w:t xml:space="preserve">É essencial que a </w:t>
      </w:r>
      <w:r w:rsidR="00970924">
        <w:rPr>
          <w:rFonts w:cs="Times New Roman"/>
          <w:szCs w:val="26"/>
        </w:rPr>
        <w:t>a</w:t>
      </w:r>
      <w:r>
        <w:rPr>
          <w:rFonts w:cs="Times New Roman"/>
          <w:szCs w:val="26"/>
        </w:rPr>
        <w:t xml:space="preserve">dministração </w:t>
      </w:r>
      <w:r w:rsidR="00970924">
        <w:rPr>
          <w:rFonts w:cs="Times New Roman"/>
          <w:szCs w:val="26"/>
        </w:rPr>
        <w:t>p</w:t>
      </w:r>
      <w:r>
        <w:rPr>
          <w:rFonts w:cs="Times New Roman"/>
          <w:szCs w:val="26"/>
        </w:rPr>
        <w:t>ú</w:t>
      </w:r>
      <w:r w:rsidRPr="007C6B46">
        <w:rPr>
          <w:rFonts w:cs="Times New Roman"/>
          <w:szCs w:val="26"/>
        </w:rPr>
        <w:t xml:space="preserve">blica tenha enfoque na construção </w:t>
      </w:r>
      <w:r>
        <w:rPr>
          <w:rFonts w:cs="Times New Roman"/>
          <w:szCs w:val="26"/>
        </w:rPr>
        <w:t xml:space="preserve">de um ambiente íntegro na medida em que deve oferecer meios de modo a que a sociedade possa contribuir </w:t>
      </w:r>
      <w:r w:rsidR="00FD7663">
        <w:rPr>
          <w:rFonts w:cs="Times New Roman"/>
          <w:szCs w:val="26"/>
        </w:rPr>
        <w:t>par</w:t>
      </w:r>
      <w:r>
        <w:rPr>
          <w:rFonts w:cs="Times New Roman"/>
          <w:szCs w:val="26"/>
        </w:rPr>
        <w:t xml:space="preserve">a adoção de medidas corretas na condução da gestão pública. É </w:t>
      </w:r>
      <w:r>
        <w:rPr>
          <w:rFonts w:cs="Times New Roman"/>
          <w:szCs w:val="26"/>
        </w:rPr>
        <w:lastRenderedPageBreak/>
        <w:t xml:space="preserve">neste seguimento, que a transparência se torna numa das principais diretrizes a serem adotadas pela </w:t>
      </w:r>
      <w:r w:rsidR="00970924">
        <w:rPr>
          <w:rFonts w:cs="Times New Roman"/>
          <w:szCs w:val="26"/>
        </w:rPr>
        <w:t>a</w:t>
      </w:r>
      <w:r>
        <w:rPr>
          <w:rFonts w:cs="Times New Roman"/>
          <w:szCs w:val="26"/>
        </w:rPr>
        <w:t xml:space="preserve">dministração </w:t>
      </w:r>
      <w:r w:rsidR="00970924">
        <w:rPr>
          <w:rFonts w:cs="Times New Roman"/>
          <w:szCs w:val="26"/>
        </w:rPr>
        <w:t>p</w:t>
      </w:r>
      <w:r>
        <w:rPr>
          <w:rFonts w:cs="Times New Roman"/>
          <w:szCs w:val="26"/>
        </w:rPr>
        <w:t>ública.</w:t>
      </w:r>
    </w:p>
    <w:p w14:paraId="0B182F42" w14:textId="77777777" w:rsidR="0074341D" w:rsidRDefault="0074341D" w:rsidP="0074341D">
      <w:pPr>
        <w:spacing w:before="120" w:after="120" w:line="360" w:lineRule="auto"/>
        <w:jc w:val="both"/>
        <w:rPr>
          <w:rFonts w:cs="Times New Roman"/>
          <w:szCs w:val="26"/>
        </w:rPr>
      </w:pPr>
      <w:r>
        <w:rPr>
          <w:rFonts w:cs="Times New Roman"/>
          <w:szCs w:val="26"/>
        </w:rPr>
        <w:t xml:space="preserve">Os agentes públicos quando têm a perceção de que as suas ações estão a ser vigiadas ou que existe um controlo externo sobre a aplicação do dinheiro público tendem, naturalmente, a ser mais cautelosos e mais cuidadosos com a correção e legalidade dos seus atos. Deste modo, a transparência surge também como uma ação preventiva à corrupção (OECI CPLP, 2011). </w:t>
      </w:r>
    </w:p>
    <w:p w14:paraId="39D99D6A" w14:textId="77777777" w:rsidR="0074341D" w:rsidRDefault="0074341D" w:rsidP="0074341D">
      <w:pPr>
        <w:spacing w:before="120" w:after="120" w:line="360" w:lineRule="auto"/>
        <w:jc w:val="both"/>
        <w:rPr>
          <w:rFonts w:cs="Times New Roman"/>
          <w:szCs w:val="26"/>
        </w:rPr>
      </w:pPr>
      <w:r>
        <w:rPr>
          <w:rFonts w:cs="Times New Roman"/>
          <w:szCs w:val="26"/>
        </w:rPr>
        <w:t>No âmbito de prestações de contas, a OCDE (2017) incentiva a transparência sobre a eficácia dos mecanismos de cumprimento através do desenvolvimento de dados estatísticos, respeitando a confidencialidade e outras disposições legais relevantes nas organizações do setor público. Acrescenta, ainda, que estes mecanismos de cumprimento devem proporcionar respostas adequadas a todas as violações suspeitas de padrões de integridade pública.</w:t>
      </w:r>
    </w:p>
    <w:p w14:paraId="6C78CC50" w14:textId="1C078C43" w:rsidR="0074341D" w:rsidRDefault="0074341D" w:rsidP="0074341D">
      <w:pPr>
        <w:spacing w:before="120" w:after="120" w:line="360" w:lineRule="auto"/>
        <w:jc w:val="both"/>
        <w:rPr>
          <w:rFonts w:cs="Times New Roman"/>
          <w:szCs w:val="26"/>
        </w:rPr>
      </w:pPr>
      <w:r>
        <w:rPr>
          <w:rFonts w:cs="Times New Roman"/>
          <w:szCs w:val="26"/>
        </w:rPr>
        <w:t>Assim, para que haja uma democracia a funcionar adequadamente é necessário que a mesma opere num ambiente de integridade e que a sociedade tenha pleno acesso à informação dos órgãos públicos (OECI - CPLP, 2011).</w:t>
      </w:r>
    </w:p>
    <w:p w14:paraId="29696A16" w14:textId="437F4597" w:rsidR="006D1F97" w:rsidRDefault="0074341D" w:rsidP="00151643">
      <w:pPr>
        <w:spacing w:before="120" w:after="120" w:line="360" w:lineRule="auto"/>
        <w:jc w:val="both"/>
        <w:rPr>
          <w:rFonts w:cs="Times New Roman"/>
          <w:szCs w:val="24"/>
        </w:rPr>
      </w:pPr>
      <w:r>
        <w:rPr>
          <w:rFonts w:cs="Times New Roman"/>
          <w:szCs w:val="24"/>
        </w:rPr>
        <w:t xml:space="preserve">Resumidamente, segundo os OECI - CPLP (2011) uma </w:t>
      </w:r>
      <w:r w:rsidR="00970924">
        <w:rPr>
          <w:rFonts w:cs="Times New Roman"/>
          <w:szCs w:val="24"/>
        </w:rPr>
        <w:t>a</w:t>
      </w:r>
      <w:r>
        <w:rPr>
          <w:rFonts w:cs="Times New Roman"/>
          <w:szCs w:val="24"/>
        </w:rPr>
        <w:t xml:space="preserve">dministração </w:t>
      </w:r>
      <w:r w:rsidR="00970924">
        <w:rPr>
          <w:rFonts w:cs="Times New Roman"/>
          <w:szCs w:val="24"/>
        </w:rPr>
        <w:t>p</w:t>
      </w:r>
      <w:r>
        <w:rPr>
          <w:rFonts w:cs="Times New Roman"/>
          <w:szCs w:val="24"/>
        </w:rPr>
        <w:t xml:space="preserve">ública transparente é aquela que apresenta uma forma de funcionar aberta, ou seja, não ocultando nada, baseando-se em princípios éticos e democráticos, com foco na facilidade que os cidadãos têm em aceder às informações públicas. Por outras palavras, a mesma deve publicar todas as informações, dentro do possível, referentes à gestão pública e à alocação de recursos públicos através da adoção de uma atitude proactiva devendo, também, oferecer um amplo acesso dessas informações aos cidadãos sem que </w:t>
      </w:r>
      <w:proofErr w:type="gramStart"/>
      <w:r>
        <w:rPr>
          <w:rFonts w:cs="Times New Roman"/>
          <w:szCs w:val="24"/>
        </w:rPr>
        <w:t>seja</w:t>
      </w:r>
      <w:proofErr w:type="gramEnd"/>
      <w:r>
        <w:rPr>
          <w:rFonts w:cs="Times New Roman"/>
          <w:szCs w:val="24"/>
        </w:rPr>
        <w:t xml:space="preserve"> necessário os mesmos enfrent</w:t>
      </w:r>
      <w:r w:rsidR="00FD7663">
        <w:rPr>
          <w:rFonts w:cs="Times New Roman"/>
          <w:szCs w:val="24"/>
        </w:rPr>
        <w:t>ar</w:t>
      </w:r>
      <w:r>
        <w:rPr>
          <w:rFonts w:cs="Times New Roman"/>
          <w:szCs w:val="24"/>
        </w:rPr>
        <w:t>em obstáculos para obtê-las (OECI - CPLP, 2011).</w:t>
      </w:r>
    </w:p>
    <w:p w14:paraId="2C1BA3E8" w14:textId="5ED20F2B" w:rsidR="00151643" w:rsidRPr="00D800FB" w:rsidRDefault="00151643" w:rsidP="00193467">
      <w:pPr>
        <w:pStyle w:val="Ttulo2"/>
        <w:numPr>
          <w:ilvl w:val="1"/>
          <w:numId w:val="2"/>
        </w:numPr>
        <w:spacing w:before="360" w:after="240" w:line="360" w:lineRule="auto"/>
        <w:ind w:left="1077"/>
        <w:rPr>
          <w:sz w:val="24"/>
          <w:szCs w:val="24"/>
        </w:rPr>
      </w:pPr>
      <w:bookmarkStart w:id="19" w:name="_Toc37792554"/>
      <w:bookmarkStart w:id="20" w:name="_Toc66624194"/>
      <w:r w:rsidRPr="00D800FB">
        <w:t>A transparência</w:t>
      </w:r>
      <w:r>
        <w:t xml:space="preserve"> política e a transparência administrativa</w:t>
      </w:r>
      <w:bookmarkEnd w:id="19"/>
      <w:bookmarkEnd w:id="20"/>
    </w:p>
    <w:p w14:paraId="3B6BB34A" w14:textId="3E7BB33A" w:rsidR="00151643" w:rsidRPr="00D800FB" w:rsidRDefault="00151643" w:rsidP="00F6646C">
      <w:pPr>
        <w:spacing w:before="120" w:after="120" w:line="360" w:lineRule="auto"/>
        <w:jc w:val="both"/>
        <w:rPr>
          <w:rFonts w:cs="Times New Roman"/>
          <w:szCs w:val="24"/>
        </w:rPr>
      </w:pPr>
      <w:r w:rsidRPr="00D800FB">
        <w:rPr>
          <w:rFonts w:cs="Times New Roman"/>
          <w:szCs w:val="24"/>
        </w:rPr>
        <w:t xml:space="preserve">A transparência está, tradicionalmente, ligada à democracia pois </w:t>
      </w:r>
      <w:r w:rsidR="00A37075" w:rsidRPr="00D800FB">
        <w:rPr>
          <w:rFonts w:cs="Times New Roman"/>
          <w:szCs w:val="24"/>
        </w:rPr>
        <w:t>a</w:t>
      </w:r>
      <w:r w:rsidR="00970924">
        <w:rPr>
          <w:rFonts w:cs="Times New Roman"/>
          <w:szCs w:val="24"/>
        </w:rPr>
        <w:t>s</w:t>
      </w:r>
      <w:r w:rsidR="00A37075" w:rsidRPr="00D800FB">
        <w:rPr>
          <w:rFonts w:cs="Times New Roman"/>
          <w:szCs w:val="24"/>
        </w:rPr>
        <w:t xml:space="preserve"> mesma</w:t>
      </w:r>
      <w:r w:rsidR="00970924">
        <w:rPr>
          <w:rFonts w:cs="Times New Roman"/>
          <w:szCs w:val="24"/>
        </w:rPr>
        <w:t>s</w:t>
      </w:r>
      <w:r w:rsidR="00A37075" w:rsidRPr="00D800FB">
        <w:rPr>
          <w:rFonts w:cs="Times New Roman"/>
          <w:szCs w:val="24"/>
        </w:rPr>
        <w:t>, juntamente com a disseminação da informação, torna</w:t>
      </w:r>
      <w:r w:rsidR="00A37075">
        <w:rPr>
          <w:rFonts w:cs="Times New Roman"/>
          <w:szCs w:val="24"/>
        </w:rPr>
        <w:t>m</w:t>
      </w:r>
      <w:r w:rsidR="00A37075" w:rsidRPr="00D800FB">
        <w:rPr>
          <w:rFonts w:cs="Times New Roman"/>
          <w:szCs w:val="24"/>
        </w:rPr>
        <w:t>-se</w:t>
      </w:r>
      <w:r w:rsidRPr="00D800FB">
        <w:rPr>
          <w:rFonts w:cs="Times New Roman"/>
          <w:szCs w:val="24"/>
        </w:rPr>
        <w:t xml:space="preserve"> ferramentas essenciais para diferentes grupos sociais participarem nos processos de tomada de decisão</w:t>
      </w:r>
      <w:r w:rsidR="00164782">
        <w:rPr>
          <w:rFonts w:cs="Times New Roman"/>
          <w:szCs w:val="24"/>
        </w:rPr>
        <w:t xml:space="preserve"> (</w:t>
      </w:r>
      <w:proofErr w:type="spellStart"/>
      <w:r w:rsidR="00164782">
        <w:rPr>
          <w:rFonts w:cs="Times New Roman"/>
          <w:szCs w:val="24"/>
        </w:rPr>
        <w:t>Bellver</w:t>
      </w:r>
      <w:proofErr w:type="spellEnd"/>
      <w:r w:rsidR="00164782">
        <w:rPr>
          <w:rFonts w:cs="Times New Roman"/>
          <w:szCs w:val="24"/>
        </w:rPr>
        <w:t xml:space="preserve"> &amp; </w:t>
      </w:r>
      <w:proofErr w:type="spellStart"/>
      <w:r w:rsidR="00164782">
        <w:rPr>
          <w:rFonts w:cs="Times New Roman"/>
          <w:szCs w:val="24"/>
        </w:rPr>
        <w:t>Kaufmann</w:t>
      </w:r>
      <w:proofErr w:type="spellEnd"/>
      <w:r w:rsidR="00164782">
        <w:rPr>
          <w:rFonts w:cs="Times New Roman"/>
          <w:szCs w:val="24"/>
        </w:rPr>
        <w:t>, 2005)</w:t>
      </w:r>
      <w:r w:rsidRPr="00D800FB">
        <w:rPr>
          <w:rFonts w:cs="Times New Roman"/>
          <w:szCs w:val="24"/>
        </w:rPr>
        <w:t xml:space="preserve">. </w:t>
      </w:r>
      <w:bookmarkStart w:id="21" w:name="_Hlk56250417"/>
      <w:r w:rsidRPr="00D800FB">
        <w:rPr>
          <w:rFonts w:cs="Times New Roman"/>
          <w:szCs w:val="24"/>
        </w:rPr>
        <w:t xml:space="preserve">Não obstante, a transparência na democracia influencia o comportamento no sistema </w:t>
      </w:r>
      <w:r w:rsidR="00E601AE" w:rsidRPr="00D800FB">
        <w:rPr>
          <w:rFonts w:cs="Times New Roman"/>
          <w:szCs w:val="24"/>
        </w:rPr>
        <w:t>político</w:t>
      </w:r>
      <w:r w:rsidRPr="00D800FB">
        <w:rPr>
          <w:rFonts w:cs="Times New Roman"/>
          <w:szCs w:val="24"/>
        </w:rPr>
        <w:t xml:space="preserve"> pois, segundo </w:t>
      </w:r>
      <w:proofErr w:type="spellStart"/>
      <w:r w:rsidRPr="00D800FB">
        <w:rPr>
          <w:rFonts w:cs="Times New Roman"/>
          <w:szCs w:val="24"/>
        </w:rPr>
        <w:t>Albalate</w:t>
      </w:r>
      <w:proofErr w:type="spellEnd"/>
      <w:r w:rsidRPr="00D800FB">
        <w:rPr>
          <w:rFonts w:cs="Times New Roman"/>
          <w:szCs w:val="24"/>
        </w:rPr>
        <w:t xml:space="preserve"> </w:t>
      </w:r>
      <w:proofErr w:type="spellStart"/>
      <w:r w:rsidRPr="00D800FB">
        <w:rPr>
          <w:rFonts w:cs="Times New Roman"/>
          <w:szCs w:val="24"/>
        </w:rPr>
        <w:t>del</w:t>
      </w:r>
      <w:proofErr w:type="spellEnd"/>
      <w:r w:rsidRPr="00D800FB">
        <w:rPr>
          <w:rFonts w:cs="Times New Roman"/>
          <w:szCs w:val="24"/>
        </w:rPr>
        <w:t xml:space="preserve"> Sol (2013)</w:t>
      </w:r>
      <w:r w:rsidR="00626752">
        <w:rPr>
          <w:rFonts w:cs="Times New Roman"/>
          <w:szCs w:val="24"/>
        </w:rPr>
        <w:t>,</w:t>
      </w:r>
      <w:r w:rsidRPr="00D800FB">
        <w:rPr>
          <w:rFonts w:cs="Times New Roman"/>
          <w:szCs w:val="24"/>
        </w:rPr>
        <w:t xml:space="preserve"> as instituições formais de competição pol</w:t>
      </w:r>
      <w:r w:rsidR="00D22AD7">
        <w:rPr>
          <w:rFonts w:cs="Times New Roman"/>
          <w:szCs w:val="24"/>
        </w:rPr>
        <w:t>í</w:t>
      </w:r>
      <w:r w:rsidRPr="00D800FB">
        <w:rPr>
          <w:rFonts w:cs="Times New Roman"/>
          <w:szCs w:val="24"/>
        </w:rPr>
        <w:t xml:space="preserve">tica não são suficientes para administrar um governo </w:t>
      </w:r>
      <w:r w:rsidR="00CC00D9">
        <w:rPr>
          <w:rFonts w:cs="Times New Roman"/>
          <w:szCs w:val="24"/>
        </w:rPr>
        <w:t>comunicativo</w:t>
      </w:r>
      <w:r w:rsidRPr="00D800FB">
        <w:rPr>
          <w:rFonts w:cs="Times New Roman"/>
          <w:szCs w:val="24"/>
        </w:rPr>
        <w:t xml:space="preserve">, principalmente se se </w:t>
      </w:r>
      <w:r w:rsidR="008018AB" w:rsidRPr="00D800FB">
        <w:rPr>
          <w:rFonts w:cs="Times New Roman"/>
          <w:szCs w:val="24"/>
        </w:rPr>
        <w:t>tratar</w:t>
      </w:r>
      <w:r w:rsidRPr="00D800FB">
        <w:rPr>
          <w:rFonts w:cs="Times New Roman"/>
          <w:szCs w:val="24"/>
        </w:rPr>
        <w:t xml:space="preserve"> de cidadãos mal informados </w:t>
      </w:r>
      <w:r w:rsidRPr="00D800FB">
        <w:rPr>
          <w:rFonts w:cs="Times New Roman"/>
          <w:szCs w:val="24"/>
        </w:rPr>
        <w:lastRenderedPageBreak/>
        <w:t xml:space="preserve">e mais vulneráveis. No entanto, segundo o mesmo autor a recessão económica, as responsabilidades e o desempenho dos funcionários públicos no que toca à gestão da </w:t>
      </w:r>
      <w:r w:rsidR="00F338BB">
        <w:rPr>
          <w:rFonts w:cs="Times New Roman"/>
          <w:szCs w:val="24"/>
        </w:rPr>
        <w:t>a</w:t>
      </w:r>
      <w:r w:rsidR="00A35C92">
        <w:rPr>
          <w:rFonts w:cs="Times New Roman"/>
          <w:szCs w:val="24"/>
        </w:rPr>
        <w:t xml:space="preserve">dministração </w:t>
      </w:r>
      <w:r w:rsidR="00F338BB">
        <w:rPr>
          <w:rFonts w:cs="Times New Roman"/>
          <w:szCs w:val="24"/>
        </w:rPr>
        <w:t>p</w:t>
      </w:r>
      <w:r w:rsidR="00A35C92">
        <w:rPr>
          <w:rFonts w:cs="Times New Roman"/>
          <w:szCs w:val="24"/>
        </w:rPr>
        <w:t>ública</w:t>
      </w:r>
      <w:r w:rsidRPr="00D800FB">
        <w:rPr>
          <w:rFonts w:cs="Times New Roman"/>
          <w:szCs w:val="24"/>
        </w:rPr>
        <w:t xml:space="preserve"> renovaram as exigências de democratização e da responsabilização. Neste sentido, a transparência torna-se uma ferramenta essencia</w:t>
      </w:r>
      <w:r w:rsidR="00281615">
        <w:rPr>
          <w:rFonts w:cs="Times New Roman"/>
          <w:szCs w:val="24"/>
        </w:rPr>
        <w:t>l na monitorização e avaliação d</w:t>
      </w:r>
      <w:r w:rsidRPr="00D800FB">
        <w:rPr>
          <w:rFonts w:cs="Times New Roman"/>
          <w:szCs w:val="24"/>
        </w:rPr>
        <w:t>o desempenho de representantes e serviços públicos</w:t>
      </w:r>
      <w:bookmarkEnd w:id="21"/>
      <w:r w:rsidRPr="00D800FB">
        <w:rPr>
          <w:rFonts w:cs="Times New Roman"/>
          <w:szCs w:val="24"/>
        </w:rPr>
        <w:t>.</w:t>
      </w:r>
    </w:p>
    <w:p w14:paraId="2DCA0253" w14:textId="6654F121" w:rsidR="00151643" w:rsidRDefault="008D291E" w:rsidP="00151643">
      <w:pPr>
        <w:spacing w:before="120" w:after="120" w:line="360" w:lineRule="auto"/>
        <w:jc w:val="both"/>
        <w:rPr>
          <w:rFonts w:cs="Times New Roman"/>
          <w:szCs w:val="24"/>
        </w:rPr>
      </w:pPr>
      <w:r>
        <w:rPr>
          <w:rFonts w:cs="Times New Roman"/>
          <w:szCs w:val="24"/>
        </w:rPr>
        <w:t xml:space="preserve">Pode assim concluir-se </w:t>
      </w:r>
      <w:r w:rsidR="00151643">
        <w:rPr>
          <w:rFonts w:cs="Times New Roman"/>
          <w:szCs w:val="24"/>
        </w:rPr>
        <w:t xml:space="preserve">que existe um debate sobre a transparência assente em dois domínios. O primeiro domínio enfoca, então, a democracia, ou seja, estamos perante uma esfera </w:t>
      </w:r>
      <w:r>
        <w:rPr>
          <w:rFonts w:cs="Times New Roman"/>
          <w:szCs w:val="24"/>
        </w:rPr>
        <w:t>política</w:t>
      </w:r>
      <w:r w:rsidR="00151643">
        <w:rPr>
          <w:rFonts w:cs="Times New Roman"/>
          <w:szCs w:val="24"/>
        </w:rPr>
        <w:t>. O segundo</w:t>
      </w:r>
      <w:r w:rsidR="00D22AD7">
        <w:rPr>
          <w:rFonts w:cs="Times New Roman"/>
          <w:szCs w:val="24"/>
        </w:rPr>
        <w:t>,</w:t>
      </w:r>
      <w:r w:rsidR="00151643">
        <w:rPr>
          <w:rFonts w:cs="Times New Roman"/>
          <w:szCs w:val="24"/>
        </w:rPr>
        <w:t xml:space="preserve"> trata do domínio administrativo que enfoca as suas preocupações na gestão e, deste modo, </w:t>
      </w:r>
      <w:r w:rsidR="00A47C8F">
        <w:rPr>
          <w:rFonts w:cs="Times New Roman"/>
          <w:szCs w:val="24"/>
        </w:rPr>
        <w:t xml:space="preserve">está </w:t>
      </w:r>
      <w:r w:rsidR="00151643">
        <w:rPr>
          <w:rFonts w:cs="Times New Roman"/>
          <w:szCs w:val="24"/>
        </w:rPr>
        <w:t xml:space="preserve">relacionado com a ideia de boa governação </w:t>
      </w:r>
      <w:r w:rsidR="00151643" w:rsidRPr="008D4F35">
        <w:rPr>
          <w:rFonts w:cs="Times New Roman"/>
          <w:szCs w:val="24"/>
        </w:rPr>
        <w:t>(Meijer,</w:t>
      </w:r>
      <w:r w:rsidR="00164782">
        <w:rPr>
          <w:rFonts w:cs="Times New Roman"/>
          <w:szCs w:val="24"/>
        </w:rPr>
        <w:t xml:space="preserve"> </w:t>
      </w:r>
      <w:proofErr w:type="spellStart"/>
      <w:r w:rsidR="00164782">
        <w:rPr>
          <w:rFonts w:cs="Times New Roman"/>
          <w:szCs w:val="24"/>
        </w:rPr>
        <w:t>Hart</w:t>
      </w:r>
      <w:proofErr w:type="spellEnd"/>
      <w:r w:rsidR="00164782">
        <w:rPr>
          <w:rFonts w:cs="Times New Roman"/>
          <w:szCs w:val="24"/>
        </w:rPr>
        <w:t xml:space="preserve"> </w:t>
      </w:r>
      <w:r w:rsidR="00BF5610">
        <w:rPr>
          <w:rFonts w:cs="Times New Roman"/>
          <w:szCs w:val="24"/>
        </w:rPr>
        <w:t>&amp;</w:t>
      </w:r>
      <w:r w:rsidR="00164782">
        <w:rPr>
          <w:rFonts w:cs="Times New Roman"/>
          <w:szCs w:val="24"/>
        </w:rPr>
        <w:t xml:space="preserve"> </w:t>
      </w:r>
      <w:proofErr w:type="spellStart"/>
      <w:r w:rsidR="00164782">
        <w:rPr>
          <w:rFonts w:cs="Times New Roman"/>
          <w:szCs w:val="24"/>
        </w:rPr>
        <w:t>Worthy</w:t>
      </w:r>
      <w:proofErr w:type="spellEnd"/>
      <w:r w:rsidR="00164782">
        <w:rPr>
          <w:rFonts w:cs="Times New Roman"/>
          <w:szCs w:val="24"/>
        </w:rPr>
        <w:t>,</w:t>
      </w:r>
      <w:r w:rsidR="00151643" w:rsidRPr="008D4F35">
        <w:rPr>
          <w:rFonts w:cs="Times New Roman"/>
          <w:szCs w:val="24"/>
        </w:rPr>
        <w:t xml:space="preserve"> 2015)</w:t>
      </w:r>
      <w:r w:rsidR="00D22AD7">
        <w:rPr>
          <w:rFonts w:cs="Times New Roman"/>
          <w:szCs w:val="24"/>
        </w:rPr>
        <w:t>.</w:t>
      </w:r>
    </w:p>
    <w:p w14:paraId="493F9997" w14:textId="5B0D0B6B" w:rsidR="00151643" w:rsidRDefault="00151643" w:rsidP="00151643">
      <w:pPr>
        <w:spacing w:before="120" w:after="120" w:line="360" w:lineRule="auto"/>
        <w:jc w:val="both"/>
        <w:rPr>
          <w:rFonts w:cs="Times New Roman"/>
          <w:szCs w:val="24"/>
        </w:rPr>
      </w:pPr>
      <w:bookmarkStart w:id="22" w:name="_Hlk56250437"/>
      <w:r>
        <w:rPr>
          <w:rFonts w:cs="Times New Roman"/>
          <w:szCs w:val="24"/>
        </w:rPr>
        <w:t xml:space="preserve">Pormenorizando, na esfera </w:t>
      </w:r>
      <w:r w:rsidR="008D291E">
        <w:rPr>
          <w:rFonts w:cs="Times New Roman"/>
          <w:szCs w:val="24"/>
        </w:rPr>
        <w:t>política</w:t>
      </w:r>
      <w:r w:rsidR="00164782">
        <w:rPr>
          <w:rFonts w:cs="Times New Roman"/>
          <w:szCs w:val="24"/>
        </w:rPr>
        <w:t xml:space="preserve">, a </w:t>
      </w:r>
      <w:r>
        <w:rPr>
          <w:rFonts w:cs="Times New Roman"/>
          <w:szCs w:val="24"/>
        </w:rPr>
        <w:t>questão que se impõe é como e quando a transparência irá dar o seu contributo à qualidade democrática dos governos. Esta questão surge através da existência de argumentos a favor e contra</w:t>
      </w:r>
      <w:r w:rsidR="008D291E">
        <w:rPr>
          <w:rFonts w:cs="Times New Roman"/>
          <w:szCs w:val="24"/>
        </w:rPr>
        <w:t>. O</w:t>
      </w:r>
      <w:r>
        <w:rPr>
          <w:rFonts w:cs="Times New Roman"/>
          <w:szCs w:val="24"/>
        </w:rPr>
        <w:t xml:space="preserve">s argumentos a favor opinam que o direito de saber contribui para uma forte democracia. Num Estado Democrático, a transparência permite constituir o direito ao cidadão e </w:t>
      </w:r>
      <w:r w:rsidR="00164782">
        <w:rPr>
          <w:rFonts w:cs="Times New Roman"/>
          <w:szCs w:val="24"/>
        </w:rPr>
        <w:t>o</w:t>
      </w:r>
      <w:r w:rsidR="00770DC9">
        <w:rPr>
          <w:rFonts w:cs="Times New Roman"/>
          <w:szCs w:val="24"/>
        </w:rPr>
        <w:t xml:space="preserve"> dever da a</w:t>
      </w:r>
      <w:r>
        <w:rPr>
          <w:rFonts w:cs="Times New Roman"/>
          <w:szCs w:val="24"/>
        </w:rPr>
        <w:t xml:space="preserve">dministração </w:t>
      </w:r>
      <w:r w:rsidR="00770DC9">
        <w:rPr>
          <w:rFonts w:cs="Times New Roman"/>
          <w:szCs w:val="24"/>
        </w:rPr>
        <w:t>p</w:t>
      </w:r>
      <w:r w:rsidR="009C46F9" w:rsidRPr="009F7356">
        <w:rPr>
          <w:rFonts w:cs="Times New Roman"/>
          <w:szCs w:val="24"/>
        </w:rPr>
        <w:t>ú</w:t>
      </w:r>
      <w:r>
        <w:rPr>
          <w:rFonts w:cs="Times New Roman"/>
          <w:szCs w:val="24"/>
        </w:rPr>
        <w:t xml:space="preserve">blica, ou seja, o cidadão tem o direito de aceder </w:t>
      </w:r>
      <w:r w:rsidR="00164782">
        <w:rPr>
          <w:rFonts w:cs="Times New Roman"/>
          <w:szCs w:val="24"/>
        </w:rPr>
        <w:t>às</w:t>
      </w:r>
      <w:r>
        <w:rPr>
          <w:rFonts w:cs="Times New Roman"/>
          <w:szCs w:val="24"/>
        </w:rPr>
        <w:t xml:space="preserve"> informaçõ</w:t>
      </w:r>
      <w:r w:rsidR="00164782">
        <w:rPr>
          <w:rFonts w:cs="Times New Roman"/>
          <w:szCs w:val="24"/>
        </w:rPr>
        <w:t>es</w:t>
      </w:r>
      <w:r>
        <w:rPr>
          <w:rFonts w:cs="Times New Roman"/>
          <w:szCs w:val="24"/>
        </w:rPr>
        <w:t xml:space="preserve"> públicas sem que seja questionado. Por outro lado, a </w:t>
      </w:r>
      <w:r w:rsidR="00F338BB">
        <w:rPr>
          <w:rFonts w:cs="Times New Roman"/>
          <w:szCs w:val="24"/>
        </w:rPr>
        <w:t>a</w:t>
      </w:r>
      <w:r>
        <w:rPr>
          <w:rFonts w:cs="Times New Roman"/>
          <w:szCs w:val="24"/>
        </w:rPr>
        <w:t>dministração tem o dever de dar esse acesso de forma fácil e compreensível</w:t>
      </w:r>
      <w:r w:rsidR="004E64A0">
        <w:rPr>
          <w:rFonts w:cs="Times New Roman"/>
          <w:szCs w:val="24"/>
        </w:rPr>
        <w:t xml:space="preserve"> (</w:t>
      </w:r>
      <w:r w:rsidR="004E64A0" w:rsidRPr="008D4F35">
        <w:rPr>
          <w:rFonts w:cs="Times New Roman"/>
          <w:szCs w:val="24"/>
        </w:rPr>
        <w:t xml:space="preserve">Meijer </w:t>
      </w:r>
      <w:r w:rsidR="004E64A0" w:rsidRPr="008D4F35">
        <w:rPr>
          <w:rFonts w:cs="Times New Roman"/>
          <w:i/>
          <w:szCs w:val="24"/>
        </w:rPr>
        <w:t>et al</w:t>
      </w:r>
      <w:r w:rsidR="004E64A0">
        <w:rPr>
          <w:rFonts w:cs="Times New Roman"/>
          <w:i/>
          <w:szCs w:val="24"/>
        </w:rPr>
        <w:t xml:space="preserve">., </w:t>
      </w:r>
      <w:r w:rsidR="004E64A0" w:rsidRPr="008D4F35">
        <w:rPr>
          <w:rFonts w:cs="Times New Roman"/>
          <w:szCs w:val="24"/>
        </w:rPr>
        <w:t>2015)</w:t>
      </w:r>
      <w:r>
        <w:rPr>
          <w:rFonts w:cs="Times New Roman"/>
          <w:szCs w:val="24"/>
        </w:rPr>
        <w:t xml:space="preserve">. </w:t>
      </w:r>
    </w:p>
    <w:bookmarkEnd w:id="22"/>
    <w:p w14:paraId="27F423DA" w14:textId="3A9A4CB5" w:rsidR="00151643" w:rsidRDefault="00151643" w:rsidP="00151643">
      <w:pPr>
        <w:spacing w:before="120" w:after="120" w:line="360" w:lineRule="auto"/>
        <w:jc w:val="both"/>
        <w:rPr>
          <w:rFonts w:cs="Times New Roman"/>
          <w:szCs w:val="24"/>
        </w:rPr>
      </w:pPr>
      <w:r>
        <w:rPr>
          <w:rFonts w:cs="Times New Roman"/>
          <w:szCs w:val="24"/>
        </w:rPr>
        <w:t xml:space="preserve">Contudo, </w:t>
      </w:r>
      <w:r w:rsidR="002B6073">
        <w:rPr>
          <w:rFonts w:cs="Times New Roman"/>
          <w:szCs w:val="24"/>
        </w:rPr>
        <w:t xml:space="preserve">os que não estão de acordo com o que está descrito anteriormente </w:t>
      </w:r>
      <w:r>
        <w:rPr>
          <w:rFonts w:cs="Times New Roman"/>
          <w:szCs w:val="24"/>
        </w:rPr>
        <w:t xml:space="preserve">afirmam </w:t>
      </w:r>
      <w:r w:rsidR="00926FD5">
        <w:rPr>
          <w:rFonts w:cs="Times New Roman"/>
          <w:szCs w:val="24"/>
        </w:rPr>
        <w:t>«</w:t>
      </w:r>
      <w:r>
        <w:rPr>
          <w:rFonts w:cs="Times New Roman"/>
          <w:szCs w:val="24"/>
        </w:rPr>
        <w:t>que a transparência gera desconfiança e mina a legitimidade das entidades públicas</w:t>
      </w:r>
      <w:r w:rsidR="00926FD5">
        <w:rPr>
          <w:rFonts w:cs="Times New Roman"/>
          <w:szCs w:val="24"/>
        </w:rPr>
        <w:t>»</w:t>
      </w:r>
      <w:r w:rsidR="0049735A">
        <w:rPr>
          <w:rFonts w:cs="Times New Roman"/>
          <w:szCs w:val="24"/>
        </w:rPr>
        <w:t xml:space="preserve"> (</w:t>
      </w:r>
      <w:r w:rsidRPr="008D4F35">
        <w:rPr>
          <w:rFonts w:cs="Times New Roman"/>
          <w:szCs w:val="24"/>
        </w:rPr>
        <w:t xml:space="preserve">Meijer </w:t>
      </w:r>
      <w:r w:rsidRPr="008D4F35">
        <w:rPr>
          <w:rFonts w:cs="Times New Roman"/>
          <w:i/>
          <w:szCs w:val="24"/>
        </w:rPr>
        <w:t>et al</w:t>
      </w:r>
      <w:r w:rsidR="0049735A">
        <w:rPr>
          <w:rFonts w:cs="Times New Roman"/>
          <w:i/>
          <w:szCs w:val="24"/>
        </w:rPr>
        <w:t xml:space="preserve">., </w:t>
      </w:r>
      <w:r w:rsidRPr="008D4F35">
        <w:rPr>
          <w:rFonts w:cs="Times New Roman"/>
          <w:szCs w:val="24"/>
        </w:rPr>
        <w:t>2015).</w:t>
      </w:r>
    </w:p>
    <w:p w14:paraId="5C102E8C" w14:textId="4D54A6CD" w:rsidR="00151643" w:rsidRDefault="00151643" w:rsidP="00151643">
      <w:pPr>
        <w:spacing w:before="120" w:after="120" w:line="360" w:lineRule="auto"/>
        <w:jc w:val="both"/>
        <w:rPr>
          <w:rFonts w:cs="Times New Roman"/>
          <w:szCs w:val="24"/>
        </w:rPr>
      </w:pPr>
      <w:r>
        <w:rPr>
          <w:rFonts w:cs="Times New Roman"/>
          <w:szCs w:val="24"/>
        </w:rPr>
        <w:t xml:space="preserve">No segundo domínio, o domínio administrativo, </w:t>
      </w:r>
      <w:r w:rsidR="00164782">
        <w:rPr>
          <w:rFonts w:cs="Times New Roman"/>
          <w:szCs w:val="24"/>
        </w:rPr>
        <w:t>a</w:t>
      </w:r>
      <w:r>
        <w:rPr>
          <w:rFonts w:cs="Times New Roman"/>
          <w:szCs w:val="24"/>
        </w:rPr>
        <w:t xml:space="preserve"> questão que se impõe é a de como e quando a transparência irá contribuir para a competência executiva do governo. </w:t>
      </w:r>
      <w:r w:rsidR="00367FC4">
        <w:rPr>
          <w:rFonts w:cs="Times New Roman"/>
          <w:szCs w:val="24"/>
        </w:rPr>
        <w:t>No mesmo</w:t>
      </w:r>
      <w:r>
        <w:rPr>
          <w:rFonts w:cs="Times New Roman"/>
          <w:szCs w:val="24"/>
        </w:rPr>
        <w:t xml:space="preserve"> afirma-se que a transparência ganha forma </w:t>
      </w:r>
      <w:r w:rsidR="00367FC4">
        <w:rPr>
          <w:rFonts w:cs="Times New Roman"/>
          <w:szCs w:val="24"/>
        </w:rPr>
        <w:t>no estímulo</w:t>
      </w:r>
      <w:r>
        <w:rPr>
          <w:rFonts w:cs="Times New Roman"/>
          <w:szCs w:val="24"/>
        </w:rPr>
        <w:t xml:space="preserve"> da tomada de decisões e prestações de serviços públicos mais eficientes, no combate à corrupção e no aumento dos cu</w:t>
      </w:r>
      <w:r w:rsidR="00367FC4">
        <w:rPr>
          <w:rFonts w:cs="Times New Roman"/>
          <w:szCs w:val="24"/>
        </w:rPr>
        <w:t>stos de conformidade e controlo (</w:t>
      </w:r>
      <w:r w:rsidR="00367FC4" w:rsidRPr="008D4F35">
        <w:rPr>
          <w:rFonts w:cs="Times New Roman"/>
          <w:szCs w:val="24"/>
        </w:rPr>
        <w:t xml:space="preserve">Meijer </w:t>
      </w:r>
      <w:r w:rsidR="00367FC4" w:rsidRPr="008D4F35">
        <w:rPr>
          <w:rFonts w:cs="Times New Roman"/>
          <w:i/>
          <w:szCs w:val="24"/>
        </w:rPr>
        <w:t>et al</w:t>
      </w:r>
      <w:r w:rsidR="00367FC4">
        <w:rPr>
          <w:rFonts w:cs="Times New Roman"/>
          <w:i/>
          <w:szCs w:val="24"/>
        </w:rPr>
        <w:t xml:space="preserve">., </w:t>
      </w:r>
      <w:r w:rsidR="00367FC4" w:rsidRPr="008D4F35">
        <w:rPr>
          <w:rFonts w:cs="Times New Roman"/>
          <w:szCs w:val="24"/>
        </w:rPr>
        <w:t>2015).</w:t>
      </w:r>
    </w:p>
    <w:p w14:paraId="2F926987" w14:textId="1598AC50" w:rsidR="00151643" w:rsidRPr="00CA6D47" w:rsidRDefault="00151643" w:rsidP="00151643">
      <w:pPr>
        <w:spacing w:before="120" w:after="120" w:line="360" w:lineRule="auto"/>
        <w:jc w:val="both"/>
        <w:rPr>
          <w:rFonts w:cs="Times New Roman"/>
          <w:szCs w:val="24"/>
        </w:rPr>
      </w:pPr>
      <w:r>
        <w:rPr>
          <w:rFonts w:cs="Times New Roman"/>
          <w:szCs w:val="24"/>
        </w:rPr>
        <w:t xml:space="preserve">Não obstante </w:t>
      </w:r>
      <w:r w:rsidR="00C21482">
        <w:rPr>
          <w:rFonts w:cs="Times New Roman"/>
          <w:szCs w:val="24"/>
        </w:rPr>
        <w:t>de</w:t>
      </w:r>
      <w:r>
        <w:rPr>
          <w:rFonts w:cs="Times New Roman"/>
          <w:szCs w:val="24"/>
        </w:rPr>
        <w:t xml:space="preserve"> a cada domínio estar ligada uma questão-chave, </w:t>
      </w:r>
      <w:r w:rsidRPr="008D4F35">
        <w:rPr>
          <w:rFonts w:cs="Times New Roman"/>
          <w:szCs w:val="24"/>
        </w:rPr>
        <w:t xml:space="preserve">Meijer </w:t>
      </w:r>
      <w:r w:rsidRPr="008D4F35">
        <w:rPr>
          <w:rFonts w:cs="Times New Roman"/>
          <w:i/>
          <w:szCs w:val="24"/>
        </w:rPr>
        <w:t>et al</w:t>
      </w:r>
      <w:r w:rsidR="008449C0">
        <w:rPr>
          <w:rFonts w:cs="Times New Roman"/>
          <w:i/>
          <w:szCs w:val="24"/>
        </w:rPr>
        <w:t>.</w:t>
      </w:r>
      <w:r w:rsidRPr="008D4F35">
        <w:rPr>
          <w:rFonts w:cs="Times New Roman"/>
          <w:i/>
          <w:szCs w:val="24"/>
        </w:rPr>
        <w:t xml:space="preserve"> </w:t>
      </w:r>
      <w:r w:rsidRPr="008D4F35">
        <w:rPr>
          <w:rFonts w:cs="Times New Roman"/>
          <w:szCs w:val="24"/>
        </w:rPr>
        <w:t>(2015</w:t>
      </w:r>
      <w:r>
        <w:rPr>
          <w:rFonts w:cs="Times New Roman"/>
          <w:szCs w:val="24"/>
        </w:rPr>
        <w:t>) afirma</w:t>
      </w:r>
      <w:r w:rsidR="008449C0">
        <w:rPr>
          <w:rFonts w:cs="Times New Roman"/>
          <w:szCs w:val="24"/>
        </w:rPr>
        <w:t>m</w:t>
      </w:r>
      <w:r>
        <w:rPr>
          <w:rFonts w:cs="Times New Roman"/>
          <w:szCs w:val="24"/>
        </w:rPr>
        <w:t xml:space="preserve"> que os mesmos estão altamente conectados uma vez que quando se procede a acordos relacionados com a transparência, estes irão alimentar os debates democráticos levando, também, a consequências nos debates relacionados com a administração do governo. </w:t>
      </w:r>
      <w:r w:rsidR="00626752">
        <w:rPr>
          <w:rFonts w:cs="Times New Roman"/>
          <w:szCs w:val="24"/>
        </w:rPr>
        <w:t>O inverso também se verifica, ou seja</w:t>
      </w:r>
      <w:r>
        <w:rPr>
          <w:rFonts w:cs="Times New Roman"/>
          <w:szCs w:val="24"/>
        </w:rPr>
        <w:t xml:space="preserve">, quando existe um aumento da transparência administrativa através </w:t>
      </w:r>
      <w:r>
        <w:rPr>
          <w:rFonts w:cs="Times New Roman"/>
          <w:szCs w:val="24"/>
        </w:rPr>
        <w:lastRenderedPageBreak/>
        <w:t>de processos administrativos técnicos que impactam a perceção de decisões polític</w:t>
      </w:r>
      <w:r w:rsidR="008449C0">
        <w:rPr>
          <w:rFonts w:cs="Times New Roman"/>
          <w:szCs w:val="24"/>
        </w:rPr>
        <w:t>a</w:t>
      </w:r>
      <w:r>
        <w:rPr>
          <w:rFonts w:cs="Times New Roman"/>
          <w:szCs w:val="24"/>
        </w:rPr>
        <w:t xml:space="preserve">s, este aumento pode ter implicações na esfera </w:t>
      </w:r>
      <w:r w:rsidR="008D291E">
        <w:rPr>
          <w:rFonts w:cs="Times New Roman"/>
          <w:szCs w:val="24"/>
        </w:rPr>
        <w:t>política</w:t>
      </w:r>
      <w:r w:rsidR="00CA6D47">
        <w:rPr>
          <w:rFonts w:cs="Times New Roman"/>
          <w:szCs w:val="24"/>
        </w:rPr>
        <w:t>.</w:t>
      </w:r>
    </w:p>
    <w:p w14:paraId="1EE7225B" w14:textId="444D8888" w:rsidR="00151643" w:rsidRPr="00FE6B94" w:rsidRDefault="00151643" w:rsidP="0054104E">
      <w:pPr>
        <w:pStyle w:val="Ttulo2"/>
        <w:numPr>
          <w:ilvl w:val="1"/>
          <w:numId w:val="2"/>
        </w:numPr>
        <w:spacing w:before="360" w:after="240" w:line="360" w:lineRule="auto"/>
        <w:ind w:left="1077"/>
      </w:pPr>
      <w:bookmarkStart w:id="23" w:name="_Toc37792555"/>
      <w:bookmarkStart w:id="24" w:name="_Toc66624195"/>
      <w:r w:rsidRPr="00FE6B94">
        <w:t>A transparência e a corrupção</w:t>
      </w:r>
      <w:bookmarkEnd w:id="23"/>
      <w:bookmarkEnd w:id="24"/>
    </w:p>
    <w:p w14:paraId="241DCD62" w14:textId="438FDF43" w:rsidR="00151643" w:rsidRDefault="00770DC9" w:rsidP="0054104E">
      <w:pPr>
        <w:spacing w:before="120" w:after="120" w:line="360" w:lineRule="auto"/>
        <w:jc w:val="both"/>
        <w:rPr>
          <w:rFonts w:cs="Times New Roman"/>
          <w:szCs w:val="24"/>
        </w:rPr>
      </w:pPr>
      <w:bookmarkStart w:id="25" w:name="_Hlk56250458"/>
      <w:r>
        <w:rPr>
          <w:rFonts w:cs="Times New Roman"/>
          <w:szCs w:val="24"/>
        </w:rPr>
        <w:t>A literatura defende que a</w:t>
      </w:r>
      <w:r w:rsidR="00151643" w:rsidRPr="005A564D">
        <w:rPr>
          <w:rFonts w:cs="Times New Roman"/>
          <w:szCs w:val="24"/>
        </w:rPr>
        <w:t xml:space="preserve"> adoção de práticas mais transparentes </w:t>
      </w:r>
      <w:r w:rsidR="00290A78">
        <w:rPr>
          <w:rFonts w:cs="Times New Roman"/>
          <w:szCs w:val="24"/>
        </w:rPr>
        <w:t>contribu</w:t>
      </w:r>
      <w:r w:rsidR="00626752">
        <w:rPr>
          <w:rFonts w:cs="Times New Roman"/>
          <w:szCs w:val="24"/>
        </w:rPr>
        <w:t>i</w:t>
      </w:r>
      <w:r w:rsidR="00151643" w:rsidRPr="005A564D">
        <w:rPr>
          <w:rFonts w:cs="Times New Roman"/>
          <w:szCs w:val="24"/>
        </w:rPr>
        <w:t xml:space="preserve"> </w:t>
      </w:r>
      <w:r w:rsidR="00290A78">
        <w:rPr>
          <w:rFonts w:cs="Times New Roman"/>
          <w:szCs w:val="24"/>
        </w:rPr>
        <w:t>para uma redução</w:t>
      </w:r>
      <w:r w:rsidR="00151643" w:rsidRPr="005A564D">
        <w:rPr>
          <w:rFonts w:cs="Times New Roman"/>
          <w:szCs w:val="24"/>
        </w:rPr>
        <w:t xml:space="preserve"> </w:t>
      </w:r>
      <w:r w:rsidR="00290A78">
        <w:rPr>
          <w:rFonts w:cs="Times New Roman"/>
          <w:szCs w:val="24"/>
        </w:rPr>
        <w:t>d</w:t>
      </w:r>
      <w:r w:rsidR="00151643" w:rsidRPr="005A564D">
        <w:rPr>
          <w:rFonts w:cs="Times New Roman"/>
          <w:szCs w:val="24"/>
        </w:rPr>
        <w:t xml:space="preserve">a corrupção. Segundo </w:t>
      </w:r>
      <w:proofErr w:type="spellStart"/>
      <w:r w:rsidR="00151643" w:rsidRPr="005A564D">
        <w:rPr>
          <w:rFonts w:cs="Times New Roman"/>
          <w:szCs w:val="24"/>
        </w:rPr>
        <w:t>Lindstedt</w:t>
      </w:r>
      <w:proofErr w:type="spellEnd"/>
      <w:r w:rsidR="00151643" w:rsidRPr="005A564D">
        <w:rPr>
          <w:rFonts w:cs="Times New Roman"/>
          <w:szCs w:val="24"/>
        </w:rPr>
        <w:t xml:space="preserve"> e </w:t>
      </w:r>
      <w:proofErr w:type="spellStart"/>
      <w:r w:rsidR="00151643" w:rsidRPr="005A564D">
        <w:rPr>
          <w:rFonts w:cs="Times New Roman"/>
          <w:szCs w:val="24"/>
        </w:rPr>
        <w:t>Naurin</w:t>
      </w:r>
      <w:proofErr w:type="spellEnd"/>
      <w:r w:rsidR="00151643" w:rsidRPr="005A564D">
        <w:rPr>
          <w:rFonts w:cs="Times New Roman"/>
          <w:szCs w:val="24"/>
        </w:rPr>
        <w:t xml:space="preserve"> (2010</w:t>
      </w:r>
      <w:r w:rsidR="00281615">
        <w:rPr>
          <w:rFonts w:cs="Times New Roman"/>
          <w:szCs w:val="24"/>
        </w:rPr>
        <w:t>, p.</w:t>
      </w:r>
      <w:r w:rsidR="00030093">
        <w:rPr>
          <w:rFonts w:cs="Times New Roman"/>
          <w:szCs w:val="24"/>
        </w:rPr>
        <w:t xml:space="preserve"> 302)</w:t>
      </w:r>
      <w:r w:rsidR="00626752">
        <w:rPr>
          <w:rFonts w:cs="Times New Roman"/>
          <w:szCs w:val="24"/>
        </w:rPr>
        <w:t>,</w:t>
      </w:r>
      <w:r w:rsidR="00151643" w:rsidRPr="005A564D">
        <w:rPr>
          <w:rFonts w:cs="Times New Roman"/>
          <w:szCs w:val="24"/>
        </w:rPr>
        <w:t xml:space="preserve"> a corrupção</w:t>
      </w:r>
      <w:r w:rsidR="00151643">
        <w:rPr>
          <w:rFonts w:cs="Times New Roman"/>
          <w:szCs w:val="24"/>
        </w:rPr>
        <w:t xml:space="preserve"> no âmbito da </w:t>
      </w:r>
      <w:r w:rsidR="00F338BB">
        <w:rPr>
          <w:rFonts w:cs="Times New Roman"/>
          <w:szCs w:val="24"/>
        </w:rPr>
        <w:t>a</w:t>
      </w:r>
      <w:r w:rsidR="00151643">
        <w:rPr>
          <w:rFonts w:cs="Times New Roman"/>
          <w:szCs w:val="24"/>
        </w:rPr>
        <w:t xml:space="preserve">dministração </w:t>
      </w:r>
      <w:r w:rsidR="00F338BB">
        <w:rPr>
          <w:rFonts w:cs="Times New Roman"/>
          <w:szCs w:val="24"/>
        </w:rPr>
        <w:t>p</w:t>
      </w:r>
      <w:r w:rsidR="00151643">
        <w:rPr>
          <w:rFonts w:cs="Times New Roman"/>
          <w:szCs w:val="24"/>
        </w:rPr>
        <w:t>ública</w:t>
      </w:r>
      <w:r w:rsidR="00151643" w:rsidRPr="005A564D">
        <w:rPr>
          <w:rFonts w:cs="Times New Roman"/>
          <w:szCs w:val="24"/>
        </w:rPr>
        <w:t xml:space="preserve"> é entendida como </w:t>
      </w:r>
      <w:r w:rsidR="00926FD5">
        <w:rPr>
          <w:rFonts w:cs="Times New Roman"/>
          <w:szCs w:val="24"/>
        </w:rPr>
        <w:t>«</w:t>
      </w:r>
      <w:r w:rsidR="00151643" w:rsidRPr="005A564D">
        <w:rPr>
          <w:rFonts w:cs="Times New Roman"/>
          <w:szCs w:val="24"/>
        </w:rPr>
        <w:t>o uso indevido de cargos públicos em troca de ganhos privados</w:t>
      </w:r>
      <w:r w:rsidR="00926FD5">
        <w:rPr>
          <w:rFonts w:cs="Times New Roman"/>
          <w:szCs w:val="24"/>
        </w:rPr>
        <w:t>»</w:t>
      </w:r>
      <w:r w:rsidR="00151643" w:rsidRPr="005A564D">
        <w:rPr>
          <w:rFonts w:cs="Times New Roman"/>
          <w:szCs w:val="24"/>
        </w:rPr>
        <w:t>. No mesmo sentido</w:t>
      </w:r>
      <w:r w:rsidR="00151643" w:rsidRPr="00C21482">
        <w:rPr>
          <w:rFonts w:cs="Times New Roman"/>
          <w:szCs w:val="24"/>
        </w:rPr>
        <w:t xml:space="preserve">, </w:t>
      </w:r>
      <w:r w:rsidR="00C21482" w:rsidRPr="00C21482">
        <w:rPr>
          <w:rFonts w:cs="Times New Roman"/>
          <w:szCs w:val="24"/>
        </w:rPr>
        <w:t>são identificadas</w:t>
      </w:r>
      <w:r w:rsidR="00151643" w:rsidRPr="00C21482">
        <w:rPr>
          <w:rFonts w:cs="Times New Roman"/>
          <w:szCs w:val="24"/>
        </w:rPr>
        <w:t xml:space="preserve"> </w:t>
      </w:r>
      <w:r w:rsidR="003A3C1F" w:rsidRPr="00C21482">
        <w:rPr>
          <w:rFonts w:cs="Times New Roman"/>
          <w:szCs w:val="24"/>
        </w:rPr>
        <w:t>duas</w:t>
      </w:r>
      <w:r w:rsidR="00151643" w:rsidRPr="005A564D">
        <w:rPr>
          <w:rFonts w:cs="Times New Roman"/>
          <w:szCs w:val="24"/>
        </w:rPr>
        <w:t xml:space="preserve"> teorias que tentam explicar o motivo que leva os políticos a serem incentivados à adoção de práticas menos transparentes: a teoria da ilusão</w:t>
      </w:r>
      <w:r w:rsidR="009F79C5">
        <w:rPr>
          <w:rFonts w:cs="Times New Roman"/>
          <w:szCs w:val="24"/>
        </w:rPr>
        <w:t xml:space="preserve"> </w:t>
      </w:r>
      <w:r w:rsidR="00151643" w:rsidRPr="005A564D">
        <w:rPr>
          <w:rFonts w:cs="Times New Roman"/>
          <w:szCs w:val="24"/>
        </w:rPr>
        <w:t>fisca</w:t>
      </w:r>
      <w:r w:rsidR="00151643">
        <w:rPr>
          <w:rFonts w:cs="Times New Roman"/>
          <w:szCs w:val="24"/>
        </w:rPr>
        <w:t>l e a teoria do principal-agente</w:t>
      </w:r>
      <w:bookmarkEnd w:id="25"/>
      <w:r w:rsidR="00151643" w:rsidRPr="005A564D">
        <w:rPr>
          <w:rFonts w:cs="Times New Roman"/>
          <w:szCs w:val="24"/>
        </w:rPr>
        <w:t>.</w:t>
      </w:r>
      <w:r w:rsidR="00151643">
        <w:rPr>
          <w:rFonts w:cs="Times New Roman"/>
          <w:szCs w:val="24"/>
        </w:rPr>
        <w:t xml:space="preserve"> </w:t>
      </w:r>
      <w:bookmarkStart w:id="26" w:name="_Hlk64623048"/>
      <w:r w:rsidR="00151643">
        <w:rPr>
          <w:rFonts w:cs="Times New Roman"/>
          <w:szCs w:val="24"/>
        </w:rPr>
        <w:t>A teoria da ilusão fiscal</w:t>
      </w:r>
      <w:bookmarkEnd w:id="26"/>
      <w:r w:rsidR="00151643">
        <w:rPr>
          <w:rFonts w:cs="Times New Roman"/>
          <w:szCs w:val="24"/>
        </w:rPr>
        <w:t xml:space="preserve">, desenvolvida pelo economista </w:t>
      </w:r>
      <w:proofErr w:type="spellStart"/>
      <w:r w:rsidR="00151643">
        <w:rPr>
          <w:rFonts w:cs="Times New Roman"/>
          <w:szCs w:val="24"/>
        </w:rPr>
        <w:t>Amilcare</w:t>
      </w:r>
      <w:proofErr w:type="spellEnd"/>
      <w:r w:rsidR="00151643">
        <w:rPr>
          <w:rFonts w:cs="Times New Roman"/>
          <w:szCs w:val="24"/>
        </w:rPr>
        <w:t xml:space="preserve"> </w:t>
      </w:r>
      <w:proofErr w:type="spellStart"/>
      <w:r w:rsidR="00151643">
        <w:rPr>
          <w:rFonts w:cs="Times New Roman"/>
          <w:szCs w:val="24"/>
        </w:rPr>
        <w:t>Puviani</w:t>
      </w:r>
      <w:proofErr w:type="spellEnd"/>
      <w:r w:rsidR="007F0B7D">
        <w:rPr>
          <w:rFonts w:cs="Times New Roman"/>
          <w:szCs w:val="24"/>
        </w:rPr>
        <w:t xml:space="preserve"> (1897)</w:t>
      </w:r>
      <w:r w:rsidR="00151643">
        <w:rPr>
          <w:rFonts w:cs="Times New Roman"/>
          <w:szCs w:val="24"/>
        </w:rPr>
        <w:t xml:space="preserve">, retrata uma escolha pública sobre os gastos governamentais. Por outras palavras, estamos perante ilusão fiscal quando o governo divulga receitas que não são totalmente transparentes ou que não sejam compreendidas pelos contribuintes levando a pressupor que os </w:t>
      </w:r>
      <w:r w:rsidR="00694E32">
        <w:rPr>
          <w:rFonts w:cs="Times New Roman"/>
          <w:szCs w:val="24"/>
        </w:rPr>
        <w:t>custos</w:t>
      </w:r>
      <w:r w:rsidR="00151643">
        <w:rPr>
          <w:rFonts w:cs="Times New Roman"/>
          <w:szCs w:val="24"/>
        </w:rPr>
        <w:t xml:space="preserve"> do governo sejam menores do que são na realidade. Esta ocorrência aumenta o apetite público pelos gastos do governo, uma vez que a maioria dos contribuintes </w:t>
      </w:r>
      <w:r w:rsidR="00626752">
        <w:rPr>
          <w:rFonts w:cs="Times New Roman"/>
          <w:szCs w:val="24"/>
        </w:rPr>
        <w:t xml:space="preserve">são </w:t>
      </w:r>
      <w:r w:rsidR="00151643">
        <w:rPr>
          <w:rFonts w:cs="Times New Roman"/>
          <w:szCs w:val="24"/>
        </w:rPr>
        <w:t>beneficia</w:t>
      </w:r>
      <w:r w:rsidR="00626752">
        <w:rPr>
          <w:rFonts w:cs="Times New Roman"/>
          <w:szCs w:val="24"/>
        </w:rPr>
        <w:t>dos</w:t>
      </w:r>
      <w:r w:rsidR="00151643">
        <w:rPr>
          <w:rFonts w:cs="Times New Roman"/>
          <w:szCs w:val="24"/>
        </w:rPr>
        <w:t xml:space="preserve"> </w:t>
      </w:r>
      <w:r w:rsidR="00694E32">
        <w:rPr>
          <w:rFonts w:cs="Times New Roman"/>
          <w:szCs w:val="24"/>
        </w:rPr>
        <w:t>por esses mesmos gastos com essas receitas ocultas</w:t>
      </w:r>
      <w:r w:rsidR="00151643">
        <w:rPr>
          <w:rFonts w:cs="Times New Roman"/>
          <w:szCs w:val="24"/>
        </w:rPr>
        <w:t>, proporcionando um incentivo para os políticos expandirem o tamanho do governo. Por sua vez, a teoria do principal-agente aborda dificuldades no âmbito do conflito</w:t>
      </w:r>
      <w:r w:rsidR="007A5AE6">
        <w:rPr>
          <w:rFonts w:cs="Times New Roman"/>
          <w:szCs w:val="24"/>
        </w:rPr>
        <w:t xml:space="preserve"> de interesses e do risco moral (</w:t>
      </w:r>
      <w:proofErr w:type="spellStart"/>
      <w:r w:rsidR="007A5AE6" w:rsidRPr="007A5AE6">
        <w:rPr>
          <w:rFonts w:cs="Times New Roman"/>
          <w:szCs w:val="24"/>
        </w:rPr>
        <w:t>Jensen</w:t>
      </w:r>
      <w:proofErr w:type="spellEnd"/>
      <w:r w:rsidR="007A5AE6" w:rsidRPr="007A5AE6">
        <w:rPr>
          <w:rFonts w:cs="Times New Roman"/>
          <w:szCs w:val="24"/>
        </w:rPr>
        <w:t xml:space="preserve"> &amp; </w:t>
      </w:r>
      <w:proofErr w:type="spellStart"/>
      <w:r w:rsidR="007A5AE6" w:rsidRPr="007A5AE6">
        <w:rPr>
          <w:rFonts w:cs="Times New Roman"/>
          <w:szCs w:val="24"/>
        </w:rPr>
        <w:t>Meckling</w:t>
      </w:r>
      <w:proofErr w:type="spellEnd"/>
      <w:r w:rsidR="007A5AE6" w:rsidRPr="007A5AE6">
        <w:rPr>
          <w:rFonts w:cs="Times New Roman"/>
          <w:szCs w:val="24"/>
        </w:rPr>
        <w:t>, 1976)</w:t>
      </w:r>
      <w:r w:rsidR="007A5AE6">
        <w:rPr>
          <w:rFonts w:cs="Times New Roman"/>
          <w:szCs w:val="24"/>
        </w:rPr>
        <w:t>.</w:t>
      </w:r>
      <w:r w:rsidR="00151643">
        <w:rPr>
          <w:rFonts w:cs="Times New Roman"/>
          <w:szCs w:val="24"/>
        </w:rPr>
        <w:t xml:space="preserve"> Esta</w:t>
      </w:r>
      <w:r w:rsidR="004E64A0">
        <w:rPr>
          <w:rFonts w:cs="Times New Roman"/>
          <w:szCs w:val="24"/>
        </w:rPr>
        <w:t xml:space="preserve"> teoria</w:t>
      </w:r>
      <w:r w:rsidR="00151643">
        <w:rPr>
          <w:rFonts w:cs="Times New Roman"/>
          <w:szCs w:val="24"/>
        </w:rPr>
        <w:t xml:space="preserve"> surge quando o principal contrata o agente, num ambiente de informações assimétricas e incompletas, de modo a prosseguir os seus próprios interesses. Para alinhar os interesses do agente com os do principal, este último pode recorrer a vários mecanismos, como comissões, participações nos lucros ou medo de demissão, de modo a atingir o seu objetivo. </w:t>
      </w:r>
      <w:r w:rsidR="00151643" w:rsidRPr="005A564D">
        <w:rPr>
          <w:rFonts w:cs="Times New Roman"/>
          <w:szCs w:val="24"/>
        </w:rPr>
        <w:t xml:space="preserve">É neste momento que a transparência se torna uma ferramenta auxiliar para a diminuição da corrupção uma vez que, segundo </w:t>
      </w:r>
      <w:proofErr w:type="spellStart"/>
      <w:r w:rsidR="00151643" w:rsidRPr="005A564D">
        <w:rPr>
          <w:rFonts w:cs="Times New Roman"/>
          <w:szCs w:val="24"/>
        </w:rPr>
        <w:t>Albalate</w:t>
      </w:r>
      <w:proofErr w:type="spellEnd"/>
      <w:r w:rsidR="00151643" w:rsidRPr="005A564D">
        <w:rPr>
          <w:rFonts w:cs="Times New Roman"/>
          <w:szCs w:val="24"/>
        </w:rPr>
        <w:t xml:space="preserve"> </w:t>
      </w:r>
      <w:proofErr w:type="spellStart"/>
      <w:r w:rsidR="00151643" w:rsidRPr="005A564D">
        <w:rPr>
          <w:rFonts w:cs="Times New Roman"/>
          <w:szCs w:val="24"/>
        </w:rPr>
        <w:t>del</w:t>
      </w:r>
      <w:proofErr w:type="spellEnd"/>
      <w:r w:rsidR="00151643" w:rsidRPr="005A564D">
        <w:rPr>
          <w:rFonts w:cs="Times New Roman"/>
          <w:szCs w:val="24"/>
        </w:rPr>
        <w:t xml:space="preserve"> Sol (2013)</w:t>
      </w:r>
      <w:r w:rsidR="00626752">
        <w:rPr>
          <w:rFonts w:cs="Times New Roman"/>
          <w:szCs w:val="24"/>
        </w:rPr>
        <w:t>,</w:t>
      </w:r>
      <w:r w:rsidR="00151643" w:rsidRPr="005A564D">
        <w:rPr>
          <w:rFonts w:cs="Times New Roman"/>
          <w:szCs w:val="24"/>
        </w:rPr>
        <w:t xml:space="preserve"> a probabilidade de um individuo cometer um crime está dependente do ganho possível, do risco assumido e, por conseguinte, do castigo associado. Mais concretamente, uma maior transparência aumenta o risco de detetar práticas menos adequadas aumentando o risco de sanção pelas mesmas. </w:t>
      </w:r>
    </w:p>
    <w:p w14:paraId="265CF7A7" w14:textId="5ED1339B" w:rsidR="00151643" w:rsidRDefault="00151643" w:rsidP="00151643">
      <w:pPr>
        <w:spacing w:before="120" w:after="120" w:line="360" w:lineRule="auto"/>
        <w:jc w:val="both"/>
        <w:rPr>
          <w:rFonts w:cs="Times New Roman"/>
          <w:szCs w:val="24"/>
        </w:rPr>
      </w:pPr>
      <w:r>
        <w:rPr>
          <w:rFonts w:cs="Times New Roman"/>
          <w:szCs w:val="24"/>
        </w:rPr>
        <w:t xml:space="preserve">Se entendermos o Estado como uma organização política da sociedade em bases jurídicas, este torna-se um espaço especial para o fenómeno da corrupção. Esta figura </w:t>
      </w:r>
      <w:r w:rsidR="008D291E">
        <w:rPr>
          <w:rFonts w:cs="Times New Roman"/>
          <w:szCs w:val="24"/>
        </w:rPr>
        <w:t>política</w:t>
      </w:r>
      <w:r>
        <w:rPr>
          <w:rFonts w:cs="Times New Roman"/>
          <w:szCs w:val="24"/>
        </w:rPr>
        <w:t xml:space="preserve"> exerce a sua função baseada num conjunto de poderes, competências e atribuições através de formas e </w:t>
      </w:r>
      <w:r>
        <w:rPr>
          <w:rFonts w:cs="Times New Roman"/>
          <w:szCs w:val="24"/>
        </w:rPr>
        <w:lastRenderedPageBreak/>
        <w:t>revestimentos jurídicos que tornam cada vez mais exigente a existência de mecanismos que garantam o cumprimento de leis, o cumprimento dos princípios fundamentais da igualdade dos cidadãos perante a lei e a isenção da a</w:t>
      </w:r>
      <w:r w:rsidR="00C21482">
        <w:rPr>
          <w:rFonts w:cs="Times New Roman"/>
          <w:szCs w:val="24"/>
        </w:rPr>
        <w:t xml:space="preserve">dministração </w:t>
      </w:r>
      <w:r w:rsidR="00F24844">
        <w:rPr>
          <w:rFonts w:cs="Times New Roman"/>
          <w:szCs w:val="24"/>
        </w:rPr>
        <w:t>pública</w:t>
      </w:r>
      <w:r w:rsidR="00C21482">
        <w:rPr>
          <w:rFonts w:cs="Times New Roman"/>
          <w:szCs w:val="24"/>
        </w:rPr>
        <w:t xml:space="preserve"> (OECI</w:t>
      </w:r>
      <w:r w:rsidR="004E64A0">
        <w:rPr>
          <w:rFonts w:cs="Times New Roman"/>
          <w:szCs w:val="24"/>
        </w:rPr>
        <w:t xml:space="preserve"> - CPLP</w:t>
      </w:r>
      <w:r>
        <w:rPr>
          <w:rFonts w:cs="Times New Roman"/>
          <w:szCs w:val="24"/>
        </w:rPr>
        <w:t>, 2011).</w:t>
      </w:r>
    </w:p>
    <w:p w14:paraId="57958D58" w14:textId="6F8BDB2E" w:rsidR="00151643" w:rsidRDefault="00151643" w:rsidP="00151643">
      <w:pPr>
        <w:spacing w:before="120" w:after="120" w:line="360" w:lineRule="auto"/>
        <w:jc w:val="both"/>
        <w:rPr>
          <w:rFonts w:cs="Times New Roman"/>
          <w:szCs w:val="24"/>
        </w:rPr>
      </w:pPr>
      <w:r>
        <w:rPr>
          <w:rFonts w:cs="Times New Roman"/>
          <w:szCs w:val="24"/>
        </w:rPr>
        <w:t>É deste modo que surge, também</w:t>
      </w:r>
      <w:r w:rsidR="00001E76">
        <w:rPr>
          <w:rFonts w:cs="Times New Roman"/>
          <w:szCs w:val="24"/>
        </w:rPr>
        <w:t>,</w:t>
      </w:r>
      <w:r>
        <w:rPr>
          <w:rFonts w:cs="Times New Roman"/>
          <w:szCs w:val="24"/>
        </w:rPr>
        <w:t xml:space="preserve"> a necessidade de existência de relacionamentos transparentes entre o Estado e os diversos modos de descentralização do mesmo, como os Municípios, os cidadãos e os servidores do Estado. </w:t>
      </w:r>
    </w:p>
    <w:p w14:paraId="1F5C5458" w14:textId="7614CFE1" w:rsidR="00151643" w:rsidRDefault="00C21482" w:rsidP="00151643">
      <w:pPr>
        <w:spacing w:before="120" w:after="120" w:line="360" w:lineRule="auto"/>
        <w:jc w:val="both"/>
        <w:rPr>
          <w:rFonts w:cs="Times New Roman"/>
          <w:szCs w:val="24"/>
        </w:rPr>
      </w:pPr>
      <w:r>
        <w:rPr>
          <w:rFonts w:cs="Times New Roman"/>
          <w:szCs w:val="24"/>
        </w:rPr>
        <w:t xml:space="preserve">A </w:t>
      </w:r>
      <w:r w:rsidRPr="004E64A0">
        <w:rPr>
          <w:rFonts w:cs="Times New Roman"/>
          <w:szCs w:val="24"/>
        </w:rPr>
        <w:t>OECI</w:t>
      </w:r>
      <w:r w:rsidR="004E64A0">
        <w:rPr>
          <w:rFonts w:cs="Times New Roman"/>
          <w:szCs w:val="24"/>
        </w:rPr>
        <w:t xml:space="preserve"> - CPLP</w:t>
      </w:r>
      <w:r w:rsidR="00151643">
        <w:rPr>
          <w:rFonts w:cs="Times New Roman"/>
          <w:szCs w:val="24"/>
        </w:rPr>
        <w:t xml:space="preserve"> (2011) evidencia alguns fatores que favorecem a corrupção na sociedade e na administração pública. Fa</w:t>
      </w:r>
      <w:r w:rsidR="00770DC9">
        <w:rPr>
          <w:rFonts w:cs="Times New Roman"/>
          <w:szCs w:val="24"/>
        </w:rPr>
        <w:t xml:space="preserve">zendo o foco na </w:t>
      </w:r>
      <w:r w:rsidR="00F338BB">
        <w:rPr>
          <w:rFonts w:cs="Times New Roman"/>
          <w:szCs w:val="24"/>
        </w:rPr>
        <w:t>a</w:t>
      </w:r>
      <w:r w:rsidR="00770DC9">
        <w:rPr>
          <w:rFonts w:cs="Times New Roman"/>
          <w:szCs w:val="24"/>
        </w:rPr>
        <w:t xml:space="preserve">dministração </w:t>
      </w:r>
      <w:r w:rsidR="00F338BB">
        <w:rPr>
          <w:rFonts w:cs="Times New Roman"/>
          <w:szCs w:val="24"/>
        </w:rPr>
        <w:t>p</w:t>
      </w:r>
      <w:r w:rsidR="00770DC9">
        <w:rPr>
          <w:rFonts w:cs="Times New Roman"/>
          <w:szCs w:val="24"/>
        </w:rPr>
        <w:t>ú</w:t>
      </w:r>
      <w:r w:rsidR="00151643">
        <w:rPr>
          <w:rFonts w:cs="Times New Roman"/>
          <w:szCs w:val="24"/>
        </w:rPr>
        <w:t xml:space="preserve">blica são evidenciados como fatores as fragilidades dos controlos, as </w:t>
      </w:r>
      <w:r w:rsidR="008D291E">
        <w:rPr>
          <w:rFonts w:cs="Times New Roman"/>
          <w:szCs w:val="24"/>
        </w:rPr>
        <w:t>política</w:t>
      </w:r>
      <w:r w:rsidR="00151643">
        <w:rPr>
          <w:rFonts w:cs="Times New Roman"/>
          <w:szCs w:val="24"/>
        </w:rPr>
        <w:t xml:space="preserve">s governamentais ineficazes, a instabilidade e descontinuidade na gestão, a impunidade </w:t>
      </w:r>
      <w:r w:rsidR="00281615">
        <w:rPr>
          <w:rFonts w:cs="Times New Roman"/>
          <w:szCs w:val="24"/>
        </w:rPr>
        <w:t>dos atos ilícitos</w:t>
      </w:r>
      <w:r w:rsidR="00151643">
        <w:rPr>
          <w:rFonts w:cs="Times New Roman"/>
          <w:szCs w:val="24"/>
        </w:rPr>
        <w:t xml:space="preserve"> e, o mais relevante neste trabalho, a falta de transparência. </w:t>
      </w:r>
    </w:p>
    <w:p w14:paraId="341C729C" w14:textId="513717D0" w:rsidR="00151643" w:rsidRPr="005A564D" w:rsidRDefault="00151643" w:rsidP="00151643">
      <w:pPr>
        <w:spacing w:before="120" w:after="120" w:line="360" w:lineRule="auto"/>
        <w:jc w:val="both"/>
        <w:rPr>
          <w:rFonts w:cs="Times New Roman"/>
          <w:szCs w:val="24"/>
        </w:rPr>
      </w:pPr>
      <w:r w:rsidRPr="005A564D">
        <w:rPr>
          <w:rFonts w:cs="Times New Roman"/>
          <w:szCs w:val="24"/>
        </w:rPr>
        <w:t>De salientar que, como referido, a transparência apenas auxilia no combate à corrupção uma vez que existem muitos outros mecanismos de mon</w:t>
      </w:r>
      <w:r w:rsidR="0011440A">
        <w:rPr>
          <w:rFonts w:cs="Times New Roman"/>
          <w:szCs w:val="24"/>
        </w:rPr>
        <w:t>i</w:t>
      </w:r>
      <w:r w:rsidRPr="005A564D">
        <w:rPr>
          <w:rFonts w:cs="Times New Roman"/>
          <w:szCs w:val="24"/>
        </w:rPr>
        <w:t>torização para o combate à mesma.</w:t>
      </w:r>
      <w:r>
        <w:rPr>
          <w:rFonts w:cs="Times New Roman"/>
          <w:szCs w:val="24"/>
        </w:rPr>
        <w:t xml:space="preserve"> </w:t>
      </w:r>
    </w:p>
    <w:p w14:paraId="42659ED1" w14:textId="77777777" w:rsidR="00151643" w:rsidRPr="005A564D" w:rsidRDefault="00151643" w:rsidP="00151643">
      <w:pPr>
        <w:spacing w:before="120" w:after="120" w:line="360" w:lineRule="auto"/>
        <w:jc w:val="both"/>
        <w:rPr>
          <w:rFonts w:cs="Times New Roman"/>
          <w:szCs w:val="24"/>
        </w:rPr>
      </w:pPr>
      <w:r w:rsidRPr="005A564D">
        <w:rPr>
          <w:rFonts w:cs="Times New Roman"/>
          <w:szCs w:val="24"/>
        </w:rPr>
        <w:t>As leis da liberdade de informação surgem, também, como uma ferramenta que facilita a deteção da corrupção e reduz os incentivos para comportamentos criminosos (</w:t>
      </w:r>
      <w:proofErr w:type="spellStart"/>
      <w:r w:rsidRPr="005A564D">
        <w:rPr>
          <w:rFonts w:cs="Times New Roman"/>
          <w:szCs w:val="24"/>
        </w:rPr>
        <w:t>Islam</w:t>
      </w:r>
      <w:proofErr w:type="spellEnd"/>
      <w:r w:rsidRPr="005A564D">
        <w:rPr>
          <w:rFonts w:cs="Times New Roman"/>
          <w:szCs w:val="24"/>
        </w:rPr>
        <w:t xml:space="preserve">, 2006). Estas proporcionam aos cidadãos o direito a aceder a informações e dados do governo contribuindo, deste modo, </w:t>
      </w:r>
      <w:r w:rsidR="00DB29B1">
        <w:rPr>
          <w:rFonts w:cs="Times New Roman"/>
          <w:szCs w:val="24"/>
        </w:rPr>
        <w:t>para</w:t>
      </w:r>
      <w:r w:rsidRPr="005A564D">
        <w:rPr>
          <w:rFonts w:cs="Times New Roman"/>
          <w:szCs w:val="24"/>
        </w:rPr>
        <w:t xml:space="preserve"> um maior índice de qualidade na governação. </w:t>
      </w:r>
    </w:p>
    <w:p w14:paraId="4F8A9117" w14:textId="0DFE6B35" w:rsidR="00151643" w:rsidRPr="005A564D" w:rsidRDefault="00151643" w:rsidP="00151643">
      <w:pPr>
        <w:spacing w:before="120" w:after="120" w:line="360" w:lineRule="auto"/>
        <w:jc w:val="both"/>
        <w:rPr>
          <w:rFonts w:cs="Times New Roman"/>
          <w:szCs w:val="24"/>
        </w:rPr>
      </w:pPr>
      <w:proofErr w:type="spellStart"/>
      <w:r w:rsidRPr="005A564D">
        <w:rPr>
          <w:rFonts w:cs="Times New Roman"/>
          <w:szCs w:val="24"/>
        </w:rPr>
        <w:t>Warren</w:t>
      </w:r>
      <w:proofErr w:type="spellEnd"/>
      <w:r w:rsidRPr="005A564D">
        <w:rPr>
          <w:rFonts w:cs="Times New Roman"/>
          <w:szCs w:val="24"/>
        </w:rPr>
        <w:t xml:space="preserve"> e </w:t>
      </w:r>
      <w:proofErr w:type="spellStart"/>
      <w:r w:rsidRPr="005A564D">
        <w:rPr>
          <w:rFonts w:cs="Times New Roman"/>
          <w:szCs w:val="24"/>
        </w:rPr>
        <w:t>Cordis</w:t>
      </w:r>
      <w:proofErr w:type="spellEnd"/>
      <w:r w:rsidRPr="005A564D">
        <w:rPr>
          <w:rFonts w:cs="Times New Roman"/>
          <w:szCs w:val="24"/>
        </w:rPr>
        <w:t xml:space="preserve"> (2011) testar</w:t>
      </w:r>
      <w:r w:rsidR="00626752">
        <w:rPr>
          <w:rFonts w:cs="Times New Roman"/>
          <w:szCs w:val="24"/>
        </w:rPr>
        <w:t>am</w:t>
      </w:r>
      <w:r w:rsidRPr="005A564D">
        <w:rPr>
          <w:rFonts w:cs="Times New Roman"/>
          <w:szCs w:val="24"/>
        </w:rPr>
        <w:t xml:space="preserve"> a hipótese acima referida, ou seja, se a liberdade de informação impactava na corrupção pública. Para isto, avaliaram as mudanças de adoção de regras fracas para regras fortes de transparência</w:t>
      </w:r>
      <w:r w:rsidR="00281615">
        <w:rPr>
          <w:rFonts w:cs="Times New Roman"/>
          <w:szCs w:val="24"/>
        </w:rPr>
        <w:t>,</w:t>
      </w:r>
      <w:r w:rsidRPr="005A564D">
        <w:rPr>
          <w:rFonts w:cs="Times New Roman"/>
          <w:szCs w:val="24"/>
        </w:rPr>
        <w:t xml:space="preserve"> verificando um aumento nas taxas de condenação por corrupção. Contudo, ao longo do tempo</w:t>
      </w:r>
      <w:r w:rsidR="00626752">
        <w:rPr>
          <w:rFonts w:cs="Times New Roman"/>
          <w:szCs w:val="24"/>
        </w:rPr>
        <w:t>,</w:t>
      </w:r>
      <w:r w:rsidRPr="005A564D">
        <w:rPr>
          <w:rFonts w:cs="Times New Roman"/>
          <w:szCs w:val="24"/>
        </w:rPr>
        <w:t xml:space="preserve"> essas taxas foram decaindo.</w:t>
      </w:r>
    </w:p>
    <w:p w14:paraId="11ECFF0B" w14:textId="73D8F02C" w:rsidR="00151643" w:rsidRPr="005A564D" w:rsidRDefault="00151643" w:rsidP="00151643">
      <w:pPr>
        <w:spacing w:before="120" w:after="120" w:line="360" w:lineRule="auto"/>
        <w:jc w:val="both"/>
        <w:rPr>
          <w:rFonts w:cs="Times New Roman"/>
          <w:szCs w:val="24"/>
        </w:rPr>
      </w:pPr>
      <w:r w:rsidRPr="005A564D">
        <w:rPr>
          <w:rFonts w:cs="Times New Roman"/>
          <w:szCs w:val="24"/>
        </w:rPr>
        <w:t xml:space="preserve">No entanto, segundo </w:t>
      </w:r>
      <w:proofErr w:type="spellStart"/>
      <w:r w:rsidRPr="005A564D">
        <w:rPr>
          <w:rFonts w:cs="Times New Roman"/>
          <w:szCs w:val="24"/>
        </w:rPr>
        <w:t>Albalate</w:t>
      </w:r>
      <w:proofErr w:type="spellEnd"/>
      <w:r w:rsidRPr="005A564D">
        <w:rPr>
          <w:rFonts w:cs="Times New Roman"/>
          <w:szCs w:val="24"/>
        </w:rPr>
        <w:t xml:space="preserve"> </w:t>
      </w:r>
      <w:proofErr w:type="spellStart"/>
      <w:r w:rsidRPr="005A564D">
        <w:rPr>
          <w:rFonts w:cs="Times New Roman"/>
          <w:szCs w:val="24"/>
        </w:rPr>
        <w:t>del</w:t>
      </w:r>
      <w:proofErr w:type="spellEnd"/>
      <w:r w:rsidRPr="005A564D">
        <w:rPr>
          <w:rFonts w:cs="Times New Roman"/>
          <w:szCs w:val="24"/>
        </w:rPr>
        <w:t xml:space="preserve"> Sol (2013) a literatura acaba por ser ambivalente relativamente à adoção de leis de liberdade de informação com a sua implementação efetiva pelo facto de, mesmo com a introdução dessas leis, o sigilo não </w:t>
      </w:r>
      <w:r w:rsidR="00281615">
        <w:rPr>
          <w:rFonts w:cs="Times New Roman"/>
          <w:szCs w:val="24"/>
        </w:rPr>
        <w:t>ter sido</w:t>
      </w:r>
      <w:r w:rsidRPr="005A564D">
        <w:rPr>
          <w:rFonts w:cs="Times New Roman"/>
          <w:szCs w:val="24"/>
        </w:rPr>
        <w:t xml:space="preserve"> erradicado. O mesmo autor sustenta a sua teoria em duas literaturas empíricas de </w:t>
      </w:r>
      <w:proofErr w:type="spellStart"/>
      <w:r w:rsidRPr="005A564D">
        <w:rPr>
          <w:rFonts w:cs="Times New Roman"/>
          <w:szCs w:val="24"/>
        </w:rPr>
        <w:t>Birchall</w:t>
      </w:r>
      <w:proofErr w:type="spellEnd"/>
      <w:r w:rsidRPr="005A564D">
        <w:rPr>
          <w:rFonts w:cs="Times New Roman"/>
          <w:szCs w:val="24"/>
        </w:rPr>
        <w:t xml:space="preserve"> (2011) e </w:t>
      </w:r>
      <w:proofErr w:type="spellStart"/>
      <w:r w:rsidRPr="005A564D">
        <w:rPr>
          <w:rFonts w:cs="Times New Roman"/>
          <w:szCs w:val="24"/>
        </w:rPr>
        <w:t>Hood</w:t>
      </w:r>
      <w:proofErr w:type="spellEnd"/>
      <w:r w:rsidRPr="005A564D">
        <w:rPr>
          <w:rFonts w:cs="Times New Roman"/>
          <w:szCs w:val="24"/>
        </w:rPr>
        <w:t xml:space="preserve"> (2011). </w:t>
      </w:r>
    </w:p>
    <w:p w14:paraId="4C00FAC0" w14:textId="2F42C400" w:rsidR="00151643" w:rsidRPr="005A564D" w:rsidRDefault="00151643" w:rsidP="00151643">
      <w:pPr>
        <w:spacing w:before="120" w:after="120" w:line="360" w:lineRule="auto"/>
        <w:jc w:val="both"/>
        <w:rPr>
          <w:rFonts w:cs="Times New Roman"/>
          <w:szCs w:val="24"/>
        </w:rPr>
      </w:pPr>
      <w:r w:rsidRPr="005A564D">
        <w:rPr>
          <w:rFonts w:cs="Times New Roman"/>
          <w:szCs w:val="24"/>
        </w:rPr>
        <w:t>Segund</w:t>
      </w:r>
      <w:r w:rsidR="00281615">
        <w:rPr>
          <w:rFonts w:cs="Times New Roman"/>
          <w:szCs w:val="24"/>
        </w:rPr>
        <w:t xml:space="preserve">o </w:t>
      </w:r>
      <w:proofErr w:type="spellStart"/>
      <w:r w:rsidR="00281615">
        <w:rPr>
          <w:rFonts w:cs="Times New Roman"/>
          <w:szCs w:val="24"/>
        </w:rPr>
        <w:t>Birchall</w:t>
      </w:r>
      <w:proofErr w:type="spellEnd"/>
      <w:r w:rsidR="00281615">
        <w:rPr>
          <w:rFonts w:cs="Times New Roman"/>
          <w:szCs w:val="24"/>
        </w:rPr>
        <w:t xml:space="preserve"> (2011)</w:t>
      </w:r>
      <w:r w:rsidR="00CA5FE3">
        <w:rPr>
          <w:rFonts w:cs="Times New Roman"/>
          <w:szCs w:val="24"/>
        </w:rPr>
        <w:t>,</w:t>
      </w:r>
      <w:r w:rsidR="00281615">
        <w:rPr>
          <w:rFonts w:cs="Times New Roman"/>
          <w:szCs w:val="24"/>
        </w:rPr>
        <w:t xml:space="preserve"> ao longo do sé</w:t>
      </w:r>
      <w:r w:rsidRPr="005A564D">
        <w:rPr>
          <w:rFonts w:cs="Times New Roman"/>
          <w:szCs w:val="24"/>
        </w:rPr>
        <w:t>culo XX observou</w:t>
      </w:r>
      <w:r w:rsidR="00DB29B1">
        <w:rPr>
          <w:rFonts w:cs="Times New Roman"/>
          <w:szCs w:val="24"/>
        </w:rPr>
        <w:t>-se</w:t>
      </w:r>
      <w:r w:rsidRPr="005A564D">
        <w:rPr>
          <w:rFonts w:cs="Times New Roman"/>
          <w:szCs w:val="24"/>
        </w:rPr>
        <w:t xml:space="preserve"> uma difusão das leis de liberdade de informação bem como a formalização e institucionali</w:t>
      </w:r>
      <w:r>
        <w:rPr>
          <w:rFonts w:cs="Times New Roman"/>
          <w:szCs w:val="24"/>
        </w:rPr>
        <w:t>zação de departamentos governamentais que coletam informações sobre possíveis ameaças à segurança do Estado, designados de agências de inteligência.</w:t>
      </w:r>
    </w:p>
    <w:p w14:paraId="5CA0629A" w14:textId="4CC8661F" w:rsidR="00151643" w:rsidRPr="005A564D" w:rsidRDefault="00151643" w:rsidP="00151643">
      <w:pPr>
        <w:spacing w:before="120" w:after="120" w:line="360" w:lineRule="auto"/>
        <w:jc w:val="both"/>
        <w:rPr>
          <w:rFonts w:cs="Times New Roman"/>
          <w:szCs w:val="24"/>
        </w:rPr>
      </w:pPr>
      <w:r w:rsidRPr="005A564D">
        <w:rPr>
          <w:rFonts w:cs="Times New Roman"/>
          <w:szCs w:val="24"/>
        </w:rPr>
        <w:lastRenderedPageBreak/>
        <w:t xml:space="preserve">Não obstante, </w:t>
      </w:r>
      <w:proofErr w:type="spellStart"/>
      <w:r w:rsidRPr="005A564D">
        <w:rPr>
          <w:rFonts w:cs="Times New Roman"/>
          <w:szCs w:val="24"/>
        </w:rPr>
        <w:t>Hood</w:t>
      </w:r>
      <w:proofErr w:type="spellEnd"/>
      <w:r w:rsidRPr="005A564D">
        <w:rPr>
          <w:rFonts w:cs="Times New Roman"/>
          <w:szCs w:val="24"/>
        </w:rPr>
        <w:t xml:space="preserve"> (2011) afirma que a transparência não é satisfeita apenas p</w:t>
      </w:r>
      <w:r w:rsidR="00DB29B1">
        <w:rPr>
          <w:rFonts w:cs="Times New Roman"/>
          <w:szCs w:val="24"/>
        </w:rPr>
        <w:t>ela</w:t>
      </w:r>
      <w:r w:rsidRPr="005A564D">
        <w:rPr>
          <w:rFonts w:cs="Times New Roman"/>
          <w:szCs w:val="24"/>
        </w:rPr>
        <w:t xml:space="preserve"> existência de leis, como também pela qualidade institucional uma vez que a transparência é crucial na restrição da formulação de políticas de interesse próprio, bem como na promoção de incentivos corretos na formulação de políticas significativas e benevolentes. Com isto, a transparência torna-se, nem mais nem menos, numa componente da qualidade institucional. </w:t>
      </w:r>
    </w:p>
    <w:p w14:paraId="5F795E85" w14:textId="407D843A" w:rsidR="007A1EE1" w:rsidRPr="007A1EE1" w:rsidRDefault="00151643" w:rsidP="007A1EE1">
      <w:pPr>
        <w:spacing w:before="120" w:after="120" w:line="360" w:lineRule="auto"/>
        <w:jc w:val="both"/>
        <w:rPr>
          <w:rFonts w:cs="Times New Roman"/>
          <w:szCs w:val="24"/>
        </w:rPr>
      </w:pPr>
      <w:r w:rsidRPr="005A564D">
        <w:rPr>
          <w:rFonts w:cs="Times New Roman"/>
          <w:szCs w:val="24"/>
        </w:rPr>
        <w:t xml:space="preserve">Para sustentar a sua teoria, o mesmo autor, invoca o caso </w:t>
      </w:r>
      <w:r w:rsidRPr="005A564D">
        <w:rPr>
          <w:rFonts w:cs="Times New Roman"/>
          <w:i/>
          <w:szCs w:val="24"/>
        </w:rPr>
        <w:t>WikiLeaks</w:t>
      </w:r>
      <w:r w:rsidRPr="005A564D">
        <w:rPr>
          <w:rFonts w:cs="Times New Roman"/>
          <w:szCs w:val="24"/>
        </w:rPr>
        <w:t xml:space="preserve"> como um caso </w:t>
      </w:r>
      <w:r w:rsidR="00DB29B1">
        <w:rPr>
          <w:rFonts w:cs="Times New Roman"/>
          <w:szCs w:val="24"/>
        </w:rPr>
        <w:t xml:space="preserve">que </w:t>
      </w:r>
      <w:r w:rsidRPr="005A564D">
        <w:rPr>
          <w:rFonts w:cs="Times New Roman"/>
          <w:szCs w:val="24"/>
        </w:rPr>
        <w:t>alterou a maneira como consideramos a transparência. Abordando sucintamente o caso, este surgiu através de um impulso por parte dos cidadãos que publica</w:t>
      </w:r>
      <w:r w:rsidR="00281615">
        <w:rPr>
          <w:rFonts w:cs="Times New Roman"/>
          <w:szCs w:val="24"/>
        </w:rPr>
        <w:t>ra</w:t>
      </w:r>
      <w:r w:rsidRPr="005A564D">
        <w:rPr>
          <w:rFonts w:cs="Times New Roman"/>
          <w:szCs w:val="24"/>
        </w:rPr>
        <w:t xml:space="preserve">m numa página eletrónica informações confidenciais como, por exemplo, documentos confidenciais do governo dos Estados Unidos. O </w:t>
      </w:r>
      <w:r w:rsidRPr="005A564D">
        <w:rPr>
          <w:rFonts w:cs="Times New Roman"/>
          <w:i/>
          <w:szCs w:val="24"/>
        </w:rPr>
        <w:t>WikiLeaks</w:t>
      </w:r>
      <w:r w:rsidR="00281615">
        <w:rPr>
          <w:rFonts w:cs="Times New Roman"/>
          <w:szCs w:val="24"/>
        </w:rPr>
        <w:t xml:space="preserve"> veio</w:t>
      </w:r>
      <w:r w:rsidRPr="005A564D">
        <w:rPr>
          <w:rFonts w:cs="Times New Roman"/>
          <w:szCs w:val="24"/>
        </w:rPr>
        <w:t xml:space="preserve"> contribuir com três fatores, sendo eles, a forma institucional de uma organização que opera a nível internacional via ciberespaço, o volume de informação publicada e classificada</w:t>
      </w:r>
      <w:r w:rsidR="006078EA">
        <w:rPr>
          <w:rFonts w:cs="Times New Roman"/>
          <w:szCs w:val="24"/>
        </w:rPr>
        <w:t xml:space="preserve"> e, por fim, a forma como a sociedade é influenciada pelo poder </w:t>
      </w:r>
      <w:r w:rsidR="00CA5FE3">
        <w:rPr>
          <w:rFonts w:cs="Times New Roman"/>
          <w:szCs w:val="24"/>
        </w:rPr>
        <w:t xml:space="preserve">dos </w:t>
      </w:r>
      <w:r w:rsidR="00290A78" w:rsidRPr="004E64A0">
        <w:rPr>
          <w:rFonts w:cs="Times New Roman"/>
          <w:i/>
          <w:iCs/>
          <w:szCs w:val="24"/>
        </w:rPr>
        <w:t>media</w:t>
      </w:r>
      <w:r w:rsidRPr="005A564D">
        <w:rPr>
          <w:rFonts w:cs="Times New Roman"/>
          <w:szCs w:val="24"/>
        </w:rPr>
        <w:t xml:space="preserve"> (</w:t>
      </w:r>
      <w:proofErr w:type="spellStart"/>
      <w:r w:rsidRPr="005A564D">
        <w:rPr>
          <w:rFonts w:cs="Times New Roman"/>
          <w:szCs w:val="24"/>
        </w:rPr>
        <w:t>Hood</w:t>
      </w:r>
      <w:proofErr w:type="spellEnd"/>
      <w:r w:rsidRPr="005A564D">
        <w:rPr>
          <w:rFonts w:cs="Times New Roman"/>
          <w:szCs w:val="24"/>
        </w:rPr>
        <w:t xml:space="preserve">, 2011). Atualmente, o </w:t>
      </w:r>
      <w:r w:rsidRPr="005A564D">
        <w:rPr>
          <w:rFonts w:cs="Times New Roman"/>
          <w:i/>
          <w:szCs w:val="24"/>
        </w:rPr>
        <w:t>WikiLeaks</w:t>
      </w:r>
      <w:r w:rsidRPr="005A564D">
        <w:rPr>
          <w:rFonts w:cs="Times New Roman"/>
          <w:szCs w:val="24"/>
        </w:rPr>
        <w:t xml:space="preserve"> serve de apoio à transparência através de uma base de aplicação de padrões morais da esfera privada ao mundo </w:t>
      </w:r>
      <w:r>
        <w:rPr>
          <w:rFonts w:cs="Times New Roman"/>
          <w:szCs w:val="24"/>
        </w:rPr>
        <w:t>polí</w:t>
      </w:r>
      <w:r w:rsidRPr="005A564D">
        <w:rPr>
          <w:rFonts w:cs="Times New Roman"/>
          <w:szCs w:val="24"/>
        </w:rPr>
        <w:t>tico. Deste modo, existe uma melhoria na satisfação de receção de informação por parte dos cidadãos atuando, os mesmos, como árbitros nos assuntos políticos.</w:t>
      </w:r>
    </w:p>
    <w:p w14:paraId="7BF1935D" w14:textId="6E3AA4F9" w:rsidR="00151643" w:rsidRPr="00FE6B94" w:rsidRDefault="00151643" w:rsidP="00193467">
      <w:pPr>
        <w:pStyle w:val="Ttulo2"/>
        <w:numPr>
          <w:ilvl w:val="1"/>
          <w:numId w:val="2"/>
        </w:numPr>
        <w:spacing w:before="360" w:after="240" w:line="360" w:lineRule="auto"/>
        <w:ind w:left="1077"/>
      </w:pPr>
      <w:bookmarkStart w:id="27" w:name="_Toc37792556"/>
      <w:bookmarkStart w:id="28" w:name="_Hlk64558699"/>
      <w:bookmarkStart w:id="29" w:name="_Toc66624196"/>
      <w:r w:rsidRPr="00FE6B94">
        <w:t xml:space="preserve">Determinantes da transparência </w:t>
      </w:r>
      <w:r w:rsidR="00F179B9">
        <w:t>na administração pública</w:t>
      </w:r>
      <w:bookmarkEnd w:id="27"/>
      <w:bookmarkEnd w:id="29"/>
    </w:p>
    <w:bookmarkEnd w:id="28"/>
    <w:p w14:paraId="7DAF5749" w14:textId="746397CF" w:rsidR="00151643" w:rsidRPr="006D1F97" w:rsidRDefault="00151643" w:rsidP="006D1F97">
      <w:pPr>
        <w:spacing w:line="360" w:lineRule="auto"/>
        <w:jc w:val="both"/>
      </w:pPr>
      <w:r>
        <w:rPr>
          <w:rFonts w:cs="Times New Roman"/>
        </w:rPr>
        <w:t>A transparência, como já referido, é um conceito multidisciplinar que cada vez mais</w:t>
      </w:r>
      <w:r w:rsidR="00281615">
        <w:rPr>
          <w:rFonts w:cs="Times New Roman"/>
        </w:rPr>
        <w:t xml:space="preserve"> se</w:t>
      </w:r>
      <w:r>
        <w:rPr>
          <w:rFonts w:cs="Times New Roman"/>
        </w:rPr>
        <w:t xml:space="preserve"> torna alvo de interesse em vários campos de pesquisa. </w:t>
      </w:r>
      <w:bookmarkStart w:id="30" w:name="_Hlk56247299"/>
      <w:r>
        <w:rPr>
          <w:rFonts w:cs="Times New Roman"/>
        </w:rPr>
        <w:t xml:space="preserve">A mesma é tradicionalmente considerada como uma condição necessária para uma democracia saudável para além de apresentar um papel fundamental </w:t>
      </w:r>
      <w:r w:rsidR="00281615">
        <w:rPr>
          <w:rFonts w:cs="Times New Roman"/>
        </w:rPr>
        <w:t>no</w:t>
      </w:r>
      <w:r>
        <w:rPr>
          <w:rFonts w:cs="Times New Roman"/>
        </w:rPr>
        <w:t xml:space="preserve"> combate à corrupção. Não obstante, </w:t>
      </w:r>
      <w:proofErr w:type="spellStart"/>
      <w:r>
        <w:rPr>
          <w:rFonts w:cs="Times New Roman"/>
        </w:rPr>
        <w:t>Albalate</w:t>
      </w:r>
      <w:proofErr w:type="spellEnd"/>
      <w:r>
        <w:rPr>
          <w:rFonts w:cs="Times New Roman"/>
        </w:rPr>
        <w:t xml:space="preserve"> </w:t>
      </w:r>
      <w:proofErr w:type="spellStart"/>
      <w:r>
        <w:rPr>
          <w:rFonts w:cs="Times New Roman"/>
        </w:rPr>
        <w:t>del</w:t>
      </w:r>
      <w:proofErr w:type="spellEnd"/>
      <w:r>
        <w:rPr>
          <w:rFonts w:cs="Times New Roman"/>
        </w:rPr>
        <w:t xml:space="preserve"> Sol (2013) refere que a maioria da literatura sobre as determinantes da transparência está concentrada em governos a nível nacional negligenciando os governos a nível local considerando, assim, que </w:t>
      </w:r>
      <w:r w:rsidR="003A3C1F" w:rsidRPr="002F1261">
        <w:rPr>
          <w:rFonts w:cs="Times New Roman"/>
        </w:rPr>
        <w:t>os estudos abrangente</w:t>
      </w:r>
      <w:r w:rsidR="002F1261" w:rsidRPr="002F1261">
        <w:rPr>
          <w:rFonts w:cs="Times New Roman"/>
        </w:rPr>
        <w:t>s</w:t>
      </w:r>
      <w:r>
        <w:rPr>
          <w:rFonts w:cs="Times New Roman"/>
        </w:rPr>
        <w:t xml:space="preserve"> desta matéria estão a </w:t>
      </w:r>
      <w:r w:rsidR="00EC1EFE">
        <w:rPr>
          <w:rFonts w:cs="Times New Roman"/>
        </w:rPr>
        <w:t>evoluir,</w:t>
      </w:r>
      <w:r>
        <w:rPr>
          <w:rFonts w:cs="Times New Roman"/>
        </w:rPr>
        <w:t xml:space="preserve"> mas ainda se encontram em es</w:t>
      </w:r>
      <w:r w:rsidR="00A374EA">
        <w:rPr>
          <w:rFonts w:cs="Times New Roman"/>
        </w:rPr>
        <w:t xml:space="preserve">tágios iniciais. </w:t>
      </w:r>
      <w:proofErr w:type="spellStart"/>
      <w:r w:rsidR="006D1F97">
        <w:rPr>
          <w:rFonts w:cs="Times New Roman"/>
        </w:rPr>
        <w:t>Caamaño</w:t>
      </w:r>
      <w:proofErr w:type="spellEnd"/>
      <w:r w:rsidR="006D1F97">
        <w:rPr>
          <w:rFonts w:cs="Times New Roman"/>
        </w:rPr>
        <w:t>-Alegre, Lago–</w:t>
      </w:r>
      <w:proofErr w:type="spellStart"/>
      <w:r w:rsidR="006D1F97">
        <w:rPr>
          <w:rFonts w:cs="Times New Roman"/>
        </w:rPr>
        <w:t>Peñas</w:t>
      </w:r>
      <w:proofErr w:type="spellEnd"/>
      <w:r w:rsidR="006D1F97">
        <w:rPr>
          <w:rFonts w:cs="Times New Roman"/>
        </w:rPr>
        <w:t xml:space="preserve">, </w:t>
      </w:r>
      <w:proofErr w:type="spellStart"/>
      <w:r w:rsidR="006D1F97">
        <w:rPr>
          <w:rFonts w:cs="Times New Roman"/>
        </w:rPr>
        <w:t>Reyes</w:t>
      </w:r>
      <w:proofErr w:type="spellEnd"/>
      <w:r w:rsidR="006D1F97">
        <w:rPr>
          <w:rFonts w:cs="Times New Roman"/>
        </w:rPr>
        <w:t>–</w:t>
      </w:r>
      <w:proofErr w:type="spellStart"/>
      <w:r w:rsidR="006D1F97">
        <w:rPr>
          <w:rFonts w:cs="Times New Roman"/>
        </w:rPr>
        <w:t>Santías</w:t>
      </w:r>
      <w:proofErr w:type="spellEnd"/>
      <w:r w:rsidR="006D1F97">
        <w:rPr>
          <w:rFonts w:cs="Times New Roman"/>
        </w:rPr>
        <w:t xml:space="preserve"> e Santiago-</w:t>
      </w:r>
      <w:proofErr w:type="spellStart"/>
      <w:r w:rsidR="006D1F97">
        <w:rPr>
          <w:rFonts w:cs="Times New Roman"/>
        </w:rPr>
        <w:t>Boubeta</w:t>
      </w:r>
      <w:proofErr w:type="spellEnd"/>
      <w:r w:rsidR="006D1F97">
        <w:rPr>
          <w:rFonts w:cs="Times New Roman"/>
        </w:rPr>
        <w:t xml:space="preserve"> (2013) </w:t>
      </w:r>
      <w:r>
        <w:rPr>
          <w:rFonts w:cs="Times New Roman"/>
        </w:rPr>
        <w:t>partilha</w:t>
      </w:r>
      <w:r w:rsidR="00A374EA">
        <w:rPr>
          <w:rFonts w:cs="Times New Roman"/>
        </w:rPr>
        <w:t>m</w:t>
      </w:r>
      <w:r>
        <w:rPr>
          <w:rFonts w:cs="Times New Roman"/>
        </w:rPr>
        <w:t xml:space="preserve"> do mesmo pensam</w:t>
      </w:r>
      <w:r w:rsidR="002F1261">
        <w:rPr>
          <w:rFonts w:cs="Times New Roman"/>
        </w:rPr>
        <w:t>ento referindo, ainda, que deve</w:t>
      </w:r>
      <w:r>
        <w:rPr>
          <w:rFonts w:cs="Times New Roman"/>
        </w:rPr>
        <w:t xml:space="preserve"> existir uma necessidade de expansão da análise em governos a nível local uma vez que esta apresenta grande relevância no âmbito das políticas públicas. </w:t>
      </w:r>
    </w:p>
    <w:p w14:paraId="4AB47924" w14:textId="1488E086" w:rsidR="00151643" w:rsidRDefault="00151643" w:rsidP="00151643">
      <w:pPr>
        <w:spacing w:line="360" w:lineRule="auto"/>
        <w:jc w:val="both"/>
        <w:rPr>
          <w:rFonts w:cs="Times New Roman"/>
        </w:rPr>
      </w:pPr>
      <w:r>
        <w:rPr>
          <w:rFonts w:cs="Times New Roman"/>
        </w:rPr>
        <w:lastRenderedPageBreak/>
        <w:t xml:space="preserve">A literatura empírica considera </w:t>
      </w:r>
      <w:r w:rsidR="008018AB">
        <w:rPr>
          <w:rFonts w:cs="Times New Roman"/>
        </w:rPr>
        <w:t>como</w:t>
      </w:r>
      <w:r>
        <w:rPr>
          <w:rFonts w:cs="Times New Roman"/>
        </w:rPr>
        <w:t xml:space="preserve"> potenciais determinantes do nível da transparência no setor público local</w:t>
      </w:r>
      <w:r w:rsidR="008018AB">
        <w:rPr>
          <w:rFonts w:cs="Times New Roman"/>
        </w:rPr>
        <w:t>,</w:t>
      </w:r>
      <w:r>
        <w:rPr>
          <w:rFonts w:cs="Times New Roman"/>
        </w:rPr>
        <w:t xml:space="preserve"> fatores políticos, desempenho e dimensão orçamental, sociodemográficos, situação económica e envolvimento </w:t>
      </w:r>
      <w:r w:rsidR="00A37075">
        <w:rPr>
          <w:rFonts w:cs="Times New Roman"/>
        </w:rPr>
        <w:t>político</w:t>
      </w:r>
      <w:r>
        <w:rPr>
          <w:rFonts w:cs="Times New Roman"/>
        </w:rPr>
        <w:t xml:space="preserve">. </w:t>
      </w:r>
    </w:p>
    <w:bookmarkEnd w:id="30"/>
    <w:p w14:paraId="08982A08" w14:textId="3CE4C9D9" w:rsidR="00151643" w:rsidRDefault="00A374EA" w:rsidP="00151643">
      <w:pPr>
        <w:spacing w:line="360" w:lineRule="auto"/>
        <w:jc w:val="both"/>
        <w:rPr>
          <w:rFonts w:cs="Times New Roman"/>
        </w:rPr>
      </w:pPr>
      <w:r>
        <w:rPr>
          <w:rFonts w:cs="Times New Roman"/>
        </w:rPr>
        <w:t>Guillamón, Bastida e Benito</w:t>
      </w:r>
      <w:r w:rsidR="00151643">
        <w:rPr>
          <w:rFonts w:cs="Times New Roman"/>
        </w:rPr>
        <w:t xml:space="preserve"> (2011) afirma</w:t>
      </w:r>
      <w:r w:rsidR="006D599C">
        <w:rPr>
          <w:rFonts w:cs="Times New Roman"/>
        </w:rPr>
        <w:t>m</w:t>
      </w:r>
      <w:r w:rsidR="00151643">
        <w:rPr>
          <w:rFonts w:cs="Times New Roman"/>
        </w:rPr>
        <w:t xml:space="preserve"> que a transparência no setor público deriva de políticas, instituições e práticas que fornecem informação com o objetivo de melhorar a compreensão das políticas públicas, aumentando a eficácia </w:t>
      </w:r>
      <w:r w:rsidR="008D291E">
        <w:rPr>
          <w:rFonts w:cs="Times New Roman"/>
        </w:rPr>
        <w:t>política</w:t>
      </w:r>
      <w:r w:rsidR="00151643">
        <w:rPr>
          <w:rFonts w:cs="Times New Roman"/>
        </w:rPr>
        <w:t xml:space="preserve"> e reduzindo a incerteza </w:t>
      </w:r>
      <w:r w:rsidR="008D291E">
        <w:rPr>
          <w:rFonts w:cs="Times New Roman"/>
        </w:rPr>
        <w:t>política</w:t>
      </w:r>
      <w:r w:rsidR="00151643">
        <w:rPr>
          <w:rFonts w:cs="Times New Roman"/>
        </w:rPr>
        <w:t>. O</w:t>
      </w:r>
      <w:r w:rsidR="006D599C">
        <w:rPr>
          <w:rFonts w:cs="Times New Roman"/>
        </w:rPr>
        <w:t>s</w:t>
      </w:r>
      <w:r w:rsidR="00151643">
        <w:rPr>
          <w:rFonts w:cs="Times New Roman"/>
        </w:rPr>
        <w:t xml:space="preserve"> me</w:t>
      </w:r>
      <w:r w:rsidR="00EF6F9D">
        <w:rPr>
          <w:rFonts w:cs="Times New Roman"/>
        </w:rPr>
        <w:t>smo</w:t>
      </w:r>
      <w:r w:rsidR="006D599C">
        <w:rPr>
          <w:rFonts w:cs="Times New Roman"/>
        </w:rPr>
        <w:t>s</w:t>
      </w:r>
      <w:r w:rsidR="00EF6F9D">
        <w:rPr>
          <w:rFonts w:cs="Times New Roman"/>
        </w:rPr>
        <w:t xml:space="preserve"> autor</w:t>
      </w:r>
      <w:r w:rsidR="006D599C">
        <w:rPr>
          <w:rFonts w:cs="Times New Roman"/>
        </w:rPr>
        <w:t>es</w:t>
      </w:r>
      <w:r w:rsidR="00EF6F9D">
        <w:rPr>
          <w:rFonts w:cs="Times New Roman"/>
        </w:rPr>
        <w:t xml:space="preserve"> incidi</w:t>
      </w:r>
      <w:r w:rsidR="006D599C">
        <w:rPr>
          <w:rFonts w:cs="Times New Roman"/>
        </w:rPr>
        <w:t>ram</w:t>
      </w:r>
      <w:r w:rsidR="00EF6F9D">
        <w:rPr>
          <w:rFonts w:cs="Times New Roman"/>
        </w:rPr>
        <w:t xml:space="preserve"> o seu estudo n</w:t>
      </w:r>
      <w:r w:rsidR="00151643">
        <w:rPr>
          <w:rFonts w:cs="Times New Roman"/>
        </w:rPr>
        <w:t xml:space="preserve">as </w:t>
      </w:r>
      <w:r w:rsidR="00EF6F9D">
        <w:rPr>
          <w:rFonts w:cs="Times New Roman"/>
        </w:rPr>
        <w:t>determinantes da transparência d</w:t>
      </w:r>
      <w:r w:rsidR="00151643">
        <w:rPr>
          <w:rFonts w:cs="Times New Roman"/>
        </w:rPr>
        <w:t>o foro político</w:t>
      </w:r>
      <w:r w:rsidR="006D599C">
        <w:rPr>
          <w:rFonts w:cs="Times New Roman"/>
        </w:rPr>
        <w:t xml:space="preserve"> (</w:t>
      </w:r>
      <w:r w:rsidR="00D31ADB">
        <w:rPr>
          <w:rFonts w:cs="Times New Roman"/>
        </w:rPr>
        <w:t>baseados em Piotrowski e Van Ryzin (2007)</w:t>
      </w:r>
      <w:r w:rsidR="006D599C">
        <w:rPr>
          <w:rFonts w:cs="Times New Roman"/>
        </w:rPr>
        <w:t>)</w:t>
      </w:r>
      <w:r w:rsidR="00D31ADB">
        <w:rPr>
          <w:rFonts w:cs="Times New Roman"/>
        </w:rPr>
        <w:t xml:space="preserve"> e sociodemográfico. </w:t>
      </w:r>
      <w:r w:rsidR="00151643">
        <w:rPr>
          <w:rFonts w:cs="Times New Roman"/>
        </w:rPr>
        <w:t xml:space="preserve">Para a realização do seu estudo </w:t>
      </w:r>
      <w:r w:rsidR="003B3E8D">
        <w:rPr>
          <w:rFonts w:cs="Times New Roman"/>
        </w:rPr>
        <w:t>criaram</w:t>
      </w:r>
      <w:r w:rsidR="00151643">
        <w:rPr>
          <w:rFonts w:cs="Times New Roman"/>
        </w:rPr>
        <w:t xml:space="preserve"> uma amostra que incluía 100 dos maiores </w:t>
      </w:r>
      <w:r w:rsidR="00151643" w:rsidRPr="00732F94">
        <w:rPr>
          <w:rFonts w:cs="Times New Roman"/>
        </w:rPr>
        <w:t>municípios</w:t>
      </w:r>
      <w:r w:rsidR="00151643">
        <w:rPr>
          <w:rFonts w:cs="Times New Roman"/>
        </w:rPr>
        <w:t xml:space="preserve"> </w:t>
      </w:r>
      <w:r w:rsidR="00A54D7E">
        <w:rPr>
          <w:rFonts w:cs="Times New Roman"/>
        </w:rPr>
        <w:t>espanhóis</w:t>
      </w:r>
      <w:r w:rsidR="00151643">
        <w:rPr>
          <w:rFonts w:cs="Times New Roman"/>
        </w:rPr>
        <w:t>. Os resultados obtidos no foro político apontam para um efeito favorável entre a transparência e a ideologia dos partidos, n</w:t>
      </w:r>
      <w:r w:rsidR="003F09A7">
        <w:rPr>
          <w:rFonts w:cs="Times New Roman"/>
        </w:rPr>
        <w:t>este ca</w:t>
      </w:r>
      <w:r w:rsidR="00D31ADB">
        <w:rPr>
          <w:rFonts w:cs="Times New Roman"/>
        </w:rPr>
        <w:t>so, partidos de esquerda.</w:t>
      </w:r>
      <w:r w:rsidR="00151643">
        <w:rPr>
          <w:rFonts w:cs="Times New Roman"/>
        </w:rPr>
        <w:t xml:space="preserve"> Este</w:t>
      </w:r>
      <w:r w:rsidR="006D599C">
        <w:rPr>
          <w:rFonts w:cs="Times New Roman"/>
        </w:rPr>
        <w:t>s</w:t>
      </w:r>
      <w:r w:rsidR="00151643">
        <w:rPr>
          <w:rFonts w:cs="Times New Roman"/>
        </w:rPr>
        <w:t xml:space="preserve"> afirma</w:t>
      </w:r>
      <w:r w:rsidR="006D599C">
        <w:rPr>
          <w:rFonts w:cs="Times New Roman"/>
        </w:rPr>
        <w:t>m</w:t>
      </w:r>
      <w:r w:rsidR="00151643">
        <w:rPr>
          <w:rFonts w:cs="Times New Roman"/>
        </w:rPr>
        <w:t xml:space="preserve"> que os partidos de esquerda apresentam mais ambição em expandir o setor público levando a níveis de transparência mais elevados</w:t>
      </w:r>
      <w:r w:rsidR="00D31ADB">
        <w:rPr>
          <w:rFonts w:cs="Times New Roman"/>
        </w:rPr>
        <w:t xml:space="preserve">, tal como </w:t>
      </w:r>
      <w:r w:rsidR="006D599C">
        <w:rPr>
          <w:rFonts w:cs="Times New Roman"/>
        </w:rPr>
        <w:t xml:space="preserve">defende também </w:t>
      </w:r>
      <w:r w:rsidR="00D31ADB">
        <w:rPr>
          <w:rFonts w:cs="Times New Roman"/>
        </w:rPr>
        <w:t>Ferejohn (1999)</w:t>
      </w:r>
      <w:r w:rsidR="00151643">
        <w:rPr>
          <w:rFonts w:cs="Times New Roman"/>
        </w:rPr>
        <w:t xml:space="preserve">. Relativamente aos resultados no </w:t>
      </w:r>
      <w:r w:rsidR="006D599C">
        <w:rPr>
          <w:rFonts w:cs="Times New Roman"/>
        </w:rPr>
        <w:t xml:space="preserve">âmbito </w:t>
      </w:r>
      <w:r w:rsidR="00151643">
        <w:rPr>
          <w:rFonts w:cs="Times New Roman"/>
        </w:rPr>
        <w:t>sociodemográfico, o mesmo pôde concluir que a transparência apresenta níveis mais elevados em municípios com maior dimensão populacional. Para este resultado aponta</w:t>
      </w:r>
      <w:r w:rsidR="006D599C">
        <w:rPr>
          <w:rFonts w:cs="Times New Roman"/>
        </w:rPr>
        <w:t>m</w:t>
      </w:r>
      <w:r w:rsidR="00151643">
        <w:rPr>
          <w:rFonts w:cs="Times New Roman"/>
        </w:rPr>
        <w:t xml:space="preserve"> duas razões possíveis. Primeiro afirma</w:t>
      </w:r>
      <w:r w:rsidR="006D599C">
        <w:rPr>
          <w:rFonts w:cs="Times New Roman"/>
        </w:rPr>
        <w:t>m</w:t>
      </w:r>
      <w:r w:rsidR="00151643">
        <w:rPr>
          <w:rFonts w:cs="Times New Roman"/>
        </w:rPr>
        <w:t xml:space="preserve"> que os municípios com maiores dimensões administram maiores quantidades de recursos públicos enfrentando, deste modo, maiores pressões para os contabilizar. Segundo, a transparência exige que haja meios humanos e materiais suficientes para fazer face ao descrito anteriormente e estes encontram-se disponíveis nos grandes municípios.</w:t>
      </w:r>
    </w:p>
    <w:p w14:paraId="5091211D" w14:textId="41B82DBC" w:rsidR="00561BB0" w:rsidRDefault="00151643" w:rsidP="00561BB0">
      <w:pPr>
        <w:spacing w:line="360" w:lineRule="auto"/>
        <w:jc w:val="both"/>
        <w:rPr>
          <w:rFonts w:cs="Times New Roman"/>
        </w:rPr>
      </w:pPr>
      <w:r>
        <w:rPr>
          <w:rFonts w:cs="Times New Roman"/>
        </w:rPr>
        <w:t xml:space="preserve">Ainda centrado no foro sociodemográfico, Esteller-Moré </w:t>
      </w:r>
      <w:r w:rsidR="002F1261">
        <w:rPr>
          <w:rFonts w:cs="Times New Roman"/>
        </w:rPr>
        <w:t xml:space="preserve">e </w:t>
      </w:r>
      <w:r>
        <w:rPr>
          <w:rFonts w:cs="Times New Roman"/>
        </w:rPr>
        <w:t xml:space="preserve">Otero (2012), através de uma amostra de 691 municípios catalães em que os dados foram recolhidos de 2001 a 2007, afirmam que num município no qual a percentagem de população idosa é mais elevada o nível de transparência orçamental é maior, não sendo explicado por variáveis </w:t>
      </w:r>
      <w:r w:rsidR="001C1957">
        <w:rPr>
          <w:rFonts w:cs="Times New Roman"/>
        </w:rPr>
        <w:t>orçamentais,</w:t>
      </w:r>
      <w:r>
        <w:rPr>
          <w:rFonts w:cs="Times New Roman"/>
        </w:rPr>
        <w:t xml:space="preserve"> mas apenas por se pressupor que </w:t>
      </w:r>
      <w:r w:rsidR="002F1261">
        <w:rPr>
          <w:rFonts w:cs="Times New Roman"/>
        </w:rPr>
        <w:t xml:space="preserve">a população com idade acima dos 65 </w:t>
      </w:r>
      <w:r w:rsidR="006E6520">
        <w:rPr>
          <w:rFonts w:cs="Times New Roman"/>
        </w:rPr>
        <w:t xml:space="preserve">anos </w:t>
      </w:r>
      <w:r w:rsidR="00EF6F9D">
        <w:rPr>
          <w:rFonts w:cs="Times New Roman"/>
        </w:rPr>
        <w:t>tende</w:t>
      </w:r>
      <w:r>
        <w:rPr>
          <w:rFonts w:cs="Times New Roman"/>
        </w:rPr>
        <w:t xml:space="preserve"> a ser m</w:t>
      </w:r>
      <w:r w:rsidR="00EF6F9D">
        <w:rPr>
          <w:rFonts w:cs="Times New Roman"/>
        </w:rPr>
        <w:t>ais participativa</w:t>
      </w:r>
      <w:r w:rsidR="00561BB0">
        <w:rPr>
          <w:rFonts w:cs="Times New Roman"/>
        </w:rPr>
        <w:t xml:space="preserve"> e exigente.</w:t>
      </w:r>
    </w:p>
    <w:p w14:paraId="5213AB8E" w14:textId="7FD73E42" w:rsidR="00361D5E" w:rsidRDefault="00361D5E" w:rsidP="00561BB0">
      <w:pPr>
        <w:spacing w:line="360" w:lineRule="auto"/>
        <w:jc w:val="both"/>
        <w:rPr>
          <w:rFonts w:cs="Times New Roman"/>
        </w:rPr>
      </w:pPr>
      <w:r>
        <w:rPr>
          <w:rFonts w:cs="Times New Roman"/>
        </w:rPr>
        <w:lastRenderedPageBreak/>
        <w:t>Com a mesma amostra, Esteller-Moré e Otero (2012)</w:t>
      </w:r>
      <w:r w:rsidR="00F9224E">
        <w:rPr>
          <w:rFonts w:cs="Times New Roman"/>
        </w:rPr>
        <w:t xml:space="preserve">, baseados em </w:t>
      </w:r>
      <w:r w:rsidR="00A374EA">
        <w:rPr>
          <w:rFonts w:cs="Times New Roman"/>
        </w:rPr>
        <w:t>Nannicini,</w:t>
      </w:r>
      <w:r w:rsidR="00F9224E">
        <w:rPr>
          <w:rFonts w:cs="Times New Roman"/>
        </w:rPr>
        <w:t xml:space="preserve"> </w:t>
      </w:r>
      <w:r w:rsidR="00A374EA">
        <w:rPr>
          <w:rFonts w:cs="Times New Roman"/>
        </w:rPr>
        <w:t xml:space="preserve">Stella, </w:t>
      </w:r>
      <w:proofErr w:type="spellStart"/>
      <w:r w:rsidR="00A374EA">
        <w:rPr>
          <w:rFonts w:cs="Times New Roman"/>
        </w:rPr>
        <w:t>Tabellini</w:t>
      </w:r>
      <w:proofErr w:type="spellEnd"/>
      <w:r w:rsidR="00A374EA">
        <w:rPr>
          <w:rFonts w:cs="Times New Roman"/>
        </w:rPr>
        <w:t xml:space="preserve"> e Troiano </w:t>
      </w:r>
      <w:r w:rsidR="00F9224E">
        <w:rPr>
          <w:rFonts w:cs="Times New Roman"/>
        </w:rPr>
        <w:t xml:space="preserve">(2010) </w:t>
      </w:r>
      <w:r w:rsidR="009732B6">
        <w:rPr>
          <w:rFonts w:cs="Times New Roman"/>
        </w:rPr>
        <w:t>concluíram que nos municípios onde se apresentava um maior capital social</w:t>
      </w:r>
      <w:r w:rsidR="00A4066A">
        <w:rPr>
          <w:rStyle w:val="Refdenotaderodap"/>
          <w:rFonts w:cs="Times New Roman"/>
        </w:rPr>
        <w:footnoteReference w:id="2"/>
      </w:r>
      <w:r w:rsidR="009732B6">
        <w:rPr>
          <w:rFonts w:cs="Times New Roman"/>
        </w:rPr>
        <w:t xml:space="preserve">, os cidadãos tendiam a ser mais exigentes quanto à divulgação das informações </w:t>
      </w:r>
      <w:r w:rsidR="00F9224E">
        <w:rPr>
          <w:rFonts w:cs="Times New Roman"/>
        </w:rPr>
        <w:t xml:space="preserve">financeiras. Deste modo, esses mesmos municípios apresentavam uma maior taxa de participação eleitoral. </w:t>
      </w:r>
    </w:p>
    <w:p w14:paraId="399C6C84" w14:textId="47C40473" w:rsidR="00127915" w:rsidRDefault="00151643" w:rsidP="00561BB0">
      <w:pPr>
        <w:spacing w:line="360" w:lineRule="auto"/>
        <w:jc w:val="both"/>
        <w:rPr>
          <w:rFonts w:cs="Times New Roman"/>
        </w:rPr>
      </w:pPr>
      <w:r>
        <w:rPr>
          <w:rFonts w:cs="Times New Roman"/>
        </w:rPr>
        <w:t>No foro d</w:t>
      </w:r>
      <w:r w:rsidR="006D599C">
        <w:rPr>
          <w:rFonts w:cs="Times New Roman"/>
        </w:rPr>
        <w:t>a</w:t>
      </w:r>
      <w:r>
        <w:rPr>
          <w:rFonts w:cs="Times New Roman"/>
        </w:rPr>
        <w:t xml:space="preserve"> competição política, Alcaraz-Quiles</w:t>
      </w:r>
      <w:r w:rsidR="00561BB0">
        <w:rPr>
          <w:rFonts w:cs="Times New Roman"/>
        </w:rPr>
        <w:t xml:space="preserve">, Navarro-Galera e Ortiz-Rodríguez (2014) </w:t>
      </w:r>
      <w:r w:rsidR="00367FC4">
        <w:rPr>
          <w:rFonts w:cs="Times New Roman"/>
        </w:rPr>
        <w:t>realizaram o seu estudo</w:t>
      </w:r>
      <w:r w:rsidR="00496626">
        <w:rPr>
          <w:rFonts w:cs="Times New Roman"/>
        </w:rPr>
        <w:t xml:space="preserve"> </w:t>
      </w:r>
      <w:r>
        <w:rPr>
          <w:rFonts w:cs="Times New Roman"/>
        </w:rPr>
        <w:t xml:space="preserve">através de uma amostra </w:t>
      </w:r>
      <w:r w:rsidR="0014165C">
        <w:rPr>
          <w:rFonts w:cs="Times New Roman"/>
        </w:rPr>
        <w:t xml:space="preserve">de </w:t>
      </w:r>
      <w:r>
        <w:rPr>
          <w:rFonts w:cs="Times New Roman"/>
        </w:rPr>
        <w:t>17</w:t>
      </w:r>
      <w:r w:rsidR="00496626">
        <w:rPr>
          <w:rFonts w:cs="Times New Roman"/>
        </w:rPr>
        <w:t xml:space="preserve"> governos regionais.</w:t>
      </w:r>
      <w:r>
        <w:rPr>
          <w:rFonts w:cs="Times New Roman"/>
        </w:rPr>
        <w:t xml:space="preserve"> </w:t>
      </w:r>
      <w:r w:rsidR="00561BB0">
        <w:rPr>
          <w:rFonts w:cs="Times New Roman"/>
        </w:rPr>
        <w:t>Estes focaram-se</w:t>
      </w:r>
      <w:r>
        <w:rPr>
          <w:rFonts w:cs="Times New Roman"/>
        </w:rPr>
        <w:t xml:space="preserve"> em governos regionais de Espanha uma vez que argumentam que uma análise de sustentabilidade das entidades do setor público nesse mesmo país poderia s</w:t>
      </w:r>
      <w:r w:rsidR="001C1957">
        <w:rPr>
          <w:rFonts w:cs="Times New Roman"/>
        </w:rPr>
        <w:t>er reveladora em relação a outro</w:t>
      </w:r>
      <w:r>
        <w:rPr>
          <w:rFonts w:cs="Times New Roman"/>
        </w:rPr>
        <w:t>s países, enumerando três ra</w:t>
      </w:r>
      <w:r w:rsidR="00F434AB" w:rsidRPr="00B30ED0">
        <w:rPr>
          <w:rFonts w:cs="Times New Roman"/>
        </w:rPr>
        <w:t>z</w:t>
      </w:r>
      <w:r w:rsidR="00BD7818" w:rsidRPr="00B30ED0">
        <w:rPr>
          <w:rFonts w:cs="Times New Roman"/>
        </w:rPr>
        <w:t>ões</w:t>
      </w:r>
      <w:r>
        <w:rPr>
          <w:rFonts w:cs="Times New Roman"/>
        </w:rPr>
        <w:t xml:space="preserve"> justificativas. </w:t>
      </w:r>
      <w:r w:rsidR="0093277E">
        <w:rPr>
          <w:rFonts w:cs="Times New Roman"/>
        </w:rPr>
        <w:t xml:space="preserve">Primeiro, os autores enunciam que as suas descobertas </w:t>
      </w:r>
      <w:r w:rsidR="00926FD5">
        <w:rPr>
          <w:rFonts w:cs="Times New Roman"/>
        </w:rPr>
        <w:t>«</w:t>
      </w:r>
      <w:r w:rsidR="0093277E" w:rsidRPr="0093277E">
        <w:rPr>
          <w:rFonts w:cs="Times New Roman"/>
        </w:rPr>
        <w:t>fornecem novos conhecimentos sobre a contribuição dos processos de descentralização administrativa com relação à melhoria da responsabilidade do governo, em termos internacionais</w:t>
      </w:r>
      <w:r w:rsidR="00926FD5">
        <w:rPr>
          <w:rFonts w:cs="Times New Roman"/>
        </w:rPr>
        <w:t>»</w:t>
      </w:r>
      <w:r w:rsidR="006D1F97">
        <w:rPr>
          <w:rFonts w:cs="Times New Roman"/>
        </w:rPr>
        <w:t xml:space="preserve"> (Alcaraz-Quiles </w:t>
      </w:r>
      <w:r w:rsidR="006D1F97" w:rsidRPr="006D1F97">
        <w:rPr>
          <w:rFonts w:cs="Times New Roman"/>
          <w:i/>
        </w:rPr>
        <w:t>et al</w:t>
      </w:r>
      <w:r w:rsidR="006D1F97">
        <w:rPr>
          <w:rFonts w:cs="Times New Roman"/>
        </w:rPr>
        <w:t>., 2014, p. 181)</w:t>
      </w:r>
      <w:r w:rsidR="0093277E">
        <w:rPr>
          <w:rFonts w:ascii="Georgia" w:hAnsi="Georgia"/>
          <w:color w:val="2E2E2E"/>
          <w:sz w:val="27"/>
          <w:szCs w:val="27"/>
        </w:rPr>
        <w:t>.</w:t>
      </w:r>
      <w:r w:rsidR="00CA792C">
        <w:rPr>
          <w:rFonts w:ascii="Georgia" w:hAnsi="Georgia"/>
          <w:color w:val="2E2E2E"/>
          <w:sz w:val="27"/>
          <w:szCs w:val="27"/>
        </w:rPr>
        <w:t xml:space="preserve"> </w:t>
      </w:r>
      <w:r w:rsidR="00CA792C" w:rsidRPr="00CA792C">
        <w:rPr>
          <w:rFonts w:cs="Times New Roman"/>
        </w:rPr>
        <w:t>A segunda justificação assenta na atual crise económica que teve efeitos graves nas finanças públicas.</w:t>
      </w:r>
      <w:r w:rsidR="00CA792C">
        <w:rPr>
          <w:rFonts w:cs="Times New Roman"/>
        </w:rPr>
        <w:t xml:space="preserve"> Por fim, Alcaraz-Quiles </w:t>
      </w:r>
      <w:r w:rsidR="00CA792C" w:rsidRPr="00C073F7">
        <w:rPr>
          <w:rFonts w:cs="Times New Roman"/>
          <w:i/>
          <w:iCs/>
        </w:rPr>
        <w:t>et al</w:t>
      </w:r>
      <w:r w:rsidR="00C64F57" w:rsidRPr="00C073F7">
        <w:rPr>
          <w:rFonts w:cs="Times New Roman"/>
          <w:i/>
          <w:iCs/>
        </w:rPr>
        <w:t>.</w:t>
      </w:r>
      <w:r w:rsidR="00CA792C">
        <w:rPr>
          <w:rFonts w:cs="Times New Roman"/>
        </w:rPr>
        <w:t xml:space="preserve"> (2014) neste estudo aplicaram uma metodologia que consideram como referência para um estudo comparativo de divulgação de informações de sustentabilidade noutros contextos culturais por força dos modelos de gestão pública em Espanha serem semelhantes aos de outros países.</w:t>
      </w:r>
    </w:p>
    <w:p w14:paraId="6AB035D1" w14:textId="40FBE91B" w:rsidR="00151643" w:rsidRDefault="00151643" w:rsidP="00561BB0">
      <w:pPr>
        <w:spacing w:line="360" w:lineRule="auto"/>
        <w:jc w:val="both"/>
        <w:rPr>
          <w:rFonts w:cs="Times New Roman"/>
        </w:rPr>
      </w:pPr>
      <w:r>
        <w:rPr>
          <w:rFonts w:cs="Times New Roman"/>
        </w:rPr>
        <w:t xml:space="preserve">Para além disso, estes autores decidiram focar-se em governos regionais uma vez que afirmam que os mesmos recebem pouca atenção no que diz respeito à divulgação de informações em geral e de informações sobre a sustentabilidade, em particular. </w:t>
      </w:r>
    </w:p>
    <w:p w14:paraId="050D7C6E" w14:textId="4A0A299B" w:rsidR="00151643" w:rsidRDefault="00151643" w:rsidP="00151643">
      <w:pPr>
        <w:spacing w:line="360" w:lineRule="auto"/>
        <w:jc w:val="both"/>
        <w:rPr>
          <w:rFonts w:cs="Times New Roman"/>
        </w:rPr>
      </w:pPr>
      <w:r>
        <w:rPr>
          <w:rFonts w:cs="Times New Roman"/>
        </w:rPr>
        <w:t>Através da amostr</w:t>
      </w:r>
      <w:r w:rsidR="00561BB0">
        <w:rPr>
          <w:rFonts w:cs="Times New Roman"/>
        </w:rPr>
        <w:t xml:space="preserve">a acima referida, Alcaraz-Quiles </w:t>
      </w:r>
      <w:r w:rsidR="00561BB0" w:rsidRPr="00561BB0">
        <w:rPr>
          <w:rFonts w:cs="Times New Roman"/>
          <w:i/>
        </w:rPr>
        <w:t>et al.</w:t>
      </w:r>
      <w:r>
        <w:rPr>
          <w:rFonts w:cs="Times New Roman"/>
        </w:rPr>
        <w:t xml:space="preserve"> (2014) analisaram a distribuição </w:t>
      </w:r>
      <w:r w:rsidRPr="002A6C7D">
        <w:rPr>
          <w:rFonts w:cs="Times New Roman"/>
          <w:i/>
        </w:rPr>
        <w:t>online</w:t>
      </w:r>
      <w:r>
        <w:rPr>
          <w:rFonts w:cs="Times New Roman"/>
        </w:rPr>
        <w:t xml:space="preserve"> de informações sobre a sustentabilidade dos governos regionais mensuradas através do método de análise de conteúdo. Concluíram que os governos de </w:t>
      </w:r>
      <w:r w:rsidR="00BD7818">
        <w:rPr>
          <w:rFonts w:cs="Times New Roman"/>
        </w:rPr>
        <w:t xml:space="preserve">coligação </w:t>
      </w:r>
      <w:r>
        <w:rPr>
          <w:rFonts w:cs="Times New Roman"/>
        </w:rPr>
        <w:t xml:space="preserve">enfrentam </w:t>
      </w:r>
      <w:r w:rsidR="00EF6F9D">
        <w:rPr>
          <w:rFonts w:cs="Times New Roman"/>
        </w:rPr>
        <w:t>maiores pressões para apresentar</w:t>
      </w:r>
      <w:r>
        <w:rPr>
          <w:rFonts w:cs="Times New Roman"/>
        </w:rPr>
        <w:t xml:space="preserve"> mais elevados níveis de transparência do que</w:t>
      </w:r>
      <w:r w:rsidR="002D7476">
        <w:rPr>
          <w:rFonts w:cs="Times New Roman"/>
        </w:rPr>
        <w:t xml:space="preserve"> governos de maioria absoluta, tal como</w:t>
      </w:r>
      <w:r w:rsidR="0053722B">
        <w:rPr>
          <w:rFonts w:cs="Times New Roman"/>
        </w:rPr>
        <w:t xml:space="preserve"> afirmado por</w:t>
      </w:r>
      <w:r w:rsidR="002D7476">
        <w:rPr>
          <w:rFonts w:cs="Times New Roman"/>
        </w:rPr>
        <w:t xml:space="preserve"> </w:t>
      </w:r>
      <w:proofErr w:type="spellStart"/>
      <w:r w:rsidR="002D7476">
        <w:rPr>
          <w:rFonts w:cs="Times New Roman"/>
        </w:rPr>
        <w:t>Roubini</w:t>
      </w:r>
      <w:proofErr w:type="spellEnd"/>
      <w:r w:rsidR="002D7476">
        <w:rPr>
          <w:rFonts w:cs="Times New Roman"/>
        </w:rPr>
        <w:t xml:space="preserve"> e </w:t>
      </w:r>
      <w:proofErr w:type="spellStart"/>
      <w:r w:rsidR="002D7476">
        <w:rPr>
          <w:rFonts w:cs="Times New Roman"/>
        </w:rPr>
        <w:t>Sachs</w:t>
      </w:r>
      <w:proofErr w:type="spellEnd"/>
      <w:r w:rsidR="002D7476">
        <w:rPr>
          <w:rFonts w:cs="Times New Roman"/>
        </w:rPr>
        <w:t xml:space="preserve"> (1989), autor</w:t>
      </w:r>
      <w:r w:rsidR="00C64F57">
        <w:rPr>
          <w:rFonts w:cs="Times New Roman"/>
        </w:rPr>
        <w:t>es</w:t>
      </w:r>
      <w:r w:rsidR="002D7476">
        <w:rPr>
          <w:rFonts w:cs="Times New Roman"/>
        </w:rPr>
        <w:t xml:space="preserve"> </w:t>
      </w:r>
      <w:r w:rsidR="00C64F57">
        <w:rPr>
          <w:rFonts w:cs="Times New Roman"/>
        </w:rPr>
        <w:t>em que</w:t>
      </w:r>
      <w:r w:rsidR="002D7476">
        <w:rPr>
          <w:rFonts w:cs="Times New Roman"/>
        </w:rPr>
        <w:t xml:space="preserve"> fundamentaram a sua hipótese.</w:t>
      </w:r>
      <w:r>
        <w:rPr>
          <w:rFonts w:cs="Times New Roman"/>
        </w:rPr>
        <w:t xml:space="preserve"> Deste modo, maior competição política está positivamente relacionada com a transparência, sendo que o resultado obtido não foi considerado como significativo.</w:t>
      </w:r>
    </w:p>
    <w:p w14:paraId="716B31D8" w14:textId="52E4EA9C" w:rsidR="00151643" w:rsidRDefault="00151643" w:rsidP="00151643">
      <w:pPr>
        <w:spacing w:line="360" w:lineRule="auto"/>
        <w:jc w:val="both"/>
        <w:rPr>
          <w:rFonts w:cs="Times New Roman"/>
        </w:rPr>
      </w:pPr>
      <w:r>
        <w:rPr>
          <w:rFonts w:cs="Times New Roman"/>
        </w:rPr>
        <w:lastRenderedPageBreak/>
        <w:t>Analisado, também, pelos mesmo</w:t>
      </w:r>
      <w:r w:rsidR="00BD7818">
        <w:rPr>
          <w:rFonts w:cs="Times New Roman"/>
        </w:rPr>
        <w:t>s</w:t>
      </w:r>
      <w:r>
        <w:rPr>
          <w:rFonts w:cs="Times New Roman"/>
        </w:rPr>
        <w:t xml:space="preserve"> autores foi a determinante relativa à taxa de desemprego que é usada como fator explicativo da eficiência e eficácia municipal. Com o mesmo procedimento de estudo, afirmam que a taxa de desemprego está positivamente relacionada com a transparência, apresentando como explicação que maiores taxas de desemprego pressupõem maiores necessidades sociais e, deste modo, maiores pressões por parte dos governos para divulgar informações</w:t>
      </w:r>
      <w:r w:rsidR="00C64F57">
        <w:rPr>
          <w:rFonts w:cs="Times New Roman"/>
        </w:rPr>
        <w:t>,</w:t>
      </w:r>
      <w:r>
        <w:rPr>
          <w:rFonts w:cs="Times New Roman"/>
        </w:rPr>
        <w:t xml:space="preserve"> particularmente no foro de natureza social.</w:t>
      </w:r>
    </w:p>
    <w:p w14:paraId="386419EA" w14:textId="4FB31C16" w:rsidR="00151643" w:rsidRDefault="00151643" w:rsidP="00151643">
      <w:pPr>
        <w:spacing w:line="360" w:lineRule="auto"/>
        <w:jc w:val="both"/>
        <w:rPr>
          <w:rFonts w:cs="Times New Roman"/>
        </w:rPr>
      </w:pPr>
      <w:r>
        <w:rPr>
          <w:rFonts w:cs="Times New Roman"/>
        </w:rPr>
        <w:t xml:space="preserve">Outro fator que pode ser considerado como uma determinante da transparência é o desempenho orçamental. Relativamente a este, </w:t>
      </w:r>
      <w:r w:rsidR="003A3C1F" w:rsidRPr="002F1261">
        <w:rPr>
          <w:rFonts w:cs="Times New Roman"/>
        </w:rPr>
        <w:t>fo</w:t>
      </w:r>
      <w:r w:rsidR="002F1261" w:rsidRPr="002F1261">
        <w:rPr>
          <w:rFonts w:cs="Times New Roman"/>
        </w:rPr>
        <w:t>ram</w:t>
      </w:r>
      <w:r w:rsidRPr="002F1261">
        <w:rPr>
          <w:rFonts w:cs="Times New Roman"/>
        </w:rPr>
        <w:t xml:space="preserve"> desenvolvido</w:t>
      </w:r>
      <w:r w:rsidR="002F1261" w:rsidRPr="002F1261">
        <w:rPr>
          <w:rFonts w:cs="Times New Roman"/>
        </w:rPr>
        <w:t>s</w:t>
      </w:r>
      <w:r w:rsidRPr="002F1261">
        <w:rPr>
          <w:rFonts w:cs="Times New Roman"/>
        </w:rPr>
        <w:t xml:space="preserve"> divers</w:t>
      </w:r>
      <w:r w:rsidR="003A3C1F" w:rsidRPr="002F1261">
        <w:rPr>
          <w:rFonts w:cs="Times New Roman"/>
        </w:rPr>
        <w:t>os</w:t>
      </w:r>
      <w:r>
        <w:rPr>
          <w:rFonts w:cs="Times New Roman"/>
        </w:rPr>
        <w:t xml:space="preserve"> estudos que argumentam que o endividamento terá impacto na transparência, contudo não existe concordância entre os diversos autores sendo que, por isso, não existe um resultado concreto ne</w:t>
      </w:r>
      <w:r w:rsidR="00A374EA">
        <w:rPr>
          <w:rFonts w:cs="Times New Roman"/>
        </w:rPr>
        <w:t xml:space="preserve">sta área. Não obstante, Bolívar, </w:t>
      </w:r>
      <w:proofErr w:type="spellStart"/>
      <w:r w:rsidR="00A374EA">
        <w:rPr>
          <w:rFonts w:cs="Times New Roman"/>
        </w:rPr>
        <w:t>Muñoz</w:t>
      </w:r>
      <w:proofErr w:type="spellEnd"/>
      <w:r w:rsidR="00A374EA">
        <w:rPr>
          <w:rFonts w:cs="Times New Roman"/>
        </w:rPr>
        <w:t xml:space="preserve"> e López</w:t>
      </w:r>
      <w:r w:rsidR="00C64F57">
        <w:rPr>
          <w:rFonts w:cs="Times New Roman"/>
        </w:rPr>
        <w:t>-</w:t>
      </w:r>
      <w:r w:rsidR="00A374EA">
        <w:rPr>
          <w:rFonts w:cs="Times New Roman"/>
        </w:rPr>
        <w:t xml:space="preserve">Hernández </w:t>
      </w:r>
      <w:r>
        <w:rPr>
          <w:rFonts w:cs="Times New Roman"/>
        </w:rPr>
        <w:t>(2013) afirma</w:t>
      </w:r>
      <w:r w:rsidR="00EF6F9D">
        <w:rPr>
          <w:rFonts w:cs="Times New Roman"/>
        </w:rPr>
        <w:t>m</w:t>
      </w:r>
      <w:r>
        <w:rPr>
          <w:rFonts w:cs="Times New Roman"/>
        </w:rPr>
        <w:t xml:space="preserve"> que um município que apresente um elevado </w:t>
      </w:r>
      <w:r w:rsidR="009C561F">
        <w:rPr>
          <w:rFonts w:cs="Times New Roman"/>
        </w:rPr>
        <w:t xml:space="preserve">valor </w:t>
      </w:r>
      <w:r>
        <w:rPr>
          <w:rFonts w:cs="Times New Roman"/>
        </w:rPr>
        <w:t xml:space="preserve">de endividamento, irá apresentar maior transparência. Para obter esta conclusão, os mesmos autores realizaram uma análise de publicações listadas, através da técnica de </w:t>
      </w:r>
      <w:proofErr w:type="spellStart"/>
      <w:r w:rsidR="003A3C1F" w:rsidRPr="00755EC3">
        <w:rPr>
          <w:rFonts w:cs="Times New Roman"/>
        </w:rPr>
        <w:t>metanalíse</w:t>
      </w:r>
      <w:proofErr w:type="spellEnd"/>
      <w:r w:rsidR="00755EC3" w:rsidRPr="00755EC3">
        <w:rPr>
          <w:rStyle w:val="Refdenotaderodap"/>
          <w:rFonts w:cs="Times New Roman"/>
        </w:rPr>
        <w:footnoteReference w:id="3"/>
      </w:r>
      <w:r w:rsidR="00361D5E">
        <w:rPr>
          <w:rFonts w:cs="Times New Roman"/>
        </w:rPr>
        <w:t>.</w:t>
      </w:r>
      <w:r>
        <w:rPr>
          <w:rFonts w:cs="Times New Roman"/>
        </w:rPr>
        <w:t xml:space="preserve"> Esta análise focou-se </w:t>
      </w:r>
      <w:r w:rsidR="00CC011A">
        <w:rPr>
          <w:rFonts w:cs="Times New Roman"/>
        </w:rPr>
        <w:t>n</w:t>
      </w:r>
      <w:r w:rsidR="007B79E0">
        <w:rPr>
          <w:rFonts w:cs="Times New Roman"/>
        </w:rPr>
        <w:t xml:space="preserve">a análise </w:t>
      </w:r>
      <w:r>
        <w:rPr>
          <w:rFonts w:cs="Times New Roman"/>
        </w:rPr>
        <w:t>do título, resumo e introdução de cada artigo de modo a garantir que os objetivos de pesquisa do estudo fossem relevantes para as suas investigações. Após esta seleção de artigos, foi realizada uma pesquisa sistemát</w:t>
      </w:r>
      <w:r w:rsidR="000D03E4">
        <w:rPr>
          <w:rFonts w:cs="Times New Roman"/>
        </w:rPr>
        <w:t>ica em diversa</w:t>
      </w:r>
      <w:r w:rsidR="008A6D40">
        <w:rPr>
          <w:rFonts w:cs="Times New Roman"/>
        </w:rPr>
        <w:t xml:space="preserve">s </w:t>
      </w:r>
      <w:r w:rsidR="000D03E4">
        <w:rPr>
          <w:rFonts w:cs="Times New Roman"/>
        </w:rPr>
        <w:t>bases</w:t>
      </w:r>
      <w:r w:rsidR="008A6D40">
        <w:rPr>
          <w:rFonts w:cs="Times New Roman"/>
        </w:rPr>
        <w:t xml:space="preserve"> de dados. </w:t>
      </w:r>
      <w:r>
        <w:rPr>
          <w:rFonts w:cs="Times New Roman"/>
        </w:rPr>
        <w:t>Para além desta</w:t>
      </w:r>
      <w:r w:rsidR="00CC00D9">
        <w:rPr>
          <w:rFonts w:cs="Times New Roman"/>
        </w:rPr>
        <w:t>s</w:t>
      </w:r>
      <w:r>
        <w:rPr>
          <w:rFonts w:cs="Times New Roman"/>
        </w:rPr>
        <w:t xml:space="preserve"> duas etapas, Bolívar </w:t>
      </w:r>
      <w:r w:rsidRPr="00AF22BF">
        <w:rPr>
          <w:rFonts w:cs="Times New Roman"/>
          <w:i/>
        </w:rPr>
        <w:t>et al</w:t>
      </w:r>
      <w:r w:rsidR="00C64F57">
        <w:rPr>
          <w:rFonts w:cs="Times New Roman"/>
          <w:i/>
        </w:rPr>
        <w:t>.</w:t>
      </w:r>
      <w:r>
        <w:rPr>
          <w:rFonts w:cs="Times New Roman"/>
        </w:rPr>
        <w:t xml:space="preserve"> (2013) selecionaram, ainda, os trabalhos mais significativos que tenham sido identificados na primeira e na segunda </w:t>
      </w:r>
      <w:r w:rsidR="008F5AD1">
        <w:rPr>
          <w:rFonts w:cs="Times New Roman"/>
        </w:rPr>
        <w:t>procura</w:t>
      </w:r>
      <w:r>
        <w:rPr>
          <w:rFonts w:cs="Times New Roman"/>
        </w:rPr>
        <w:t xml:space="preserve"> de modo a realizarem uma análise exaustiva das referências citadas com o intuito de evitar a falta de inclusão de pesquisas relevantes. </w:t>
      </w:r>
    </w:p>
    <w:p w14:paraId="7342F5F4" w14:textId="45241CC1" w:rsidR="00151643" w:rsidRDefault="00151643" w:rsidP="00151643">
      <w:pPr>
        <w:spacing w:line="360" w:lineRule="auto"/>
        <w:jc w:val="both"/>
        <w:rPr>
          <w:rFonts w:cs="Times New Roman"/>
        </w:rPr>
      </w:pPr>
      <w:r>
        <w:rPr>
          <w:rFonts w:cs="Times New Roman"/>
        </w:rPr>
        <w:t xml:space="preserve">Através da conclusão desse mesmo estudo, Bolívar </w:t>
      </w:r>
      <w:r w:rsidRPr="00F30B6F">
        <w:rPr>
          <w:rFonts w:cs="Times New Roman"/>
          <w:i/>
        </w:rPr>
        <w:t>et al</w:t>
      </w:r>
      <w:r w:rsidR="001C1957">
        <w:rPr>
          <w:rFonts w:cs="Times New Roman"/>
          <w:i/>
        </w:rPr>
        <w:t>.</w:t>
      </w:r>
      <w:r w:rsidRPr="00F30B6F">
        <w:rPr>
          <w:rFonts w:cs="Times New Roman"/>
          <w:i/>
        </w:rPr>
        <w:t xml:space="preserve"> </w:t>
      </w:r>
      <w:r>
        <w:rPr>
          <w:rFonts w:cs="Times New Roman"/>
        </w:rPr>
        <w:t>(2013) afirmam que municípios em que sejam acentuadas as dificuldades financeiras, ou seja, maiores níveis de endividamento, existe uma maior necessidade dos mesmos divulgarem informações que espelhem as suas situações financeira</w:t>
      </w:r>
      <w:r w:rsidR="001C1957">
        <w:rPr>
          <w:rFonts w:cs="Times New Roman"/>
        </w:rPr>
        <w:t>s</w:t>
      </w:r>
      <w:r>
        <w:rPr>
          <w:rFonts w:cs="Times New Roman"/>
        </w:rPr>
        <w:t xml:space="preserve"> levando, assim, a uma maior transparência por parte dos municípios. </w:t>
      </w:r>
    </w:p>
    <w:p w14:paraId="6AE28A93" w14:textId="254969A9" w:rsidR="00504974" w:rsidRDefault="00504974" w:rsidP="00151643">
      <w:pPr>
        <w:spacing w:line="360" w:lineRule="auto"/>
        <w:jc w:val="both"/>
        <w:rPr>
          <w:rFonts w:cs="Times New Roman"/>
        </w:rPr>
      </w:pPr>
      <w:r>
        <w:rPr>
          <w:rFonts w:cs="Times New Roman"/>
        </w:rPr>
        <w:t xml:space="preserve">Por fim, </w:t>
      </w:r>
      <w:r w:rsidR="00EF6F9D">
        <w:rPr>
          <w:rFonts w:cs="Times New Roman"/>
        </w:rPr>
        <w:t>tem sido ainda objeto de estudo</w:t>
      </w:r>
      <w:r>
        <w:rPr>
          <w:rFonts w:cs="Times New Roman"/>
        </w:rPr>
        <w:t xml:space="preserve"> o impacto d</w:t>
      </w:r>
      <w:r w:rsidR="00926C19">
        <w:rPr>
          <w:rFonts w:cs="Times New Roman"/>
        </w:rPr>
        <w:t>o fator</w:t>
      </w:r>
      <w:r>
        <w:rPr>
          <w:rFonts w:cs="Times New Roman"/>
        </w:rPr>
        <w:t xml:space="preserve"> dimensão do orçamento na transparência. O estudo d</w:t>
      </w:r>
      <w:r w:rsidR="00926C19">
        <w:rPr>
          <w:rFonts w:cs="Times New Roman"/>
        </w:rPr>
        <w:t>a</w:t>
      </w:r>
      <w:r>
        <w:rPr>
          <w:rFonts w:cs="Times New Roman"/>
        </w:rPr>
        <w:t xml:space="preserve"> potencial determinante foi realizado </w:t>
      </w:r>
      <w:bookmarkStart w:id="31" w:name="_Hlk56263515"/>
      <w:r>
        <w:rPr>
          <w:rFonts w:cs="Times New Roman"/>
        </w:rPr>
        <w:t>por</w:t>
      </w:r>
      <w:r w:rsidRPr="00504974">
        <w:rPr>
          <w:rFonts w:cs="Times New Roman"/>
        </w:rPr>
        <w:t xml:space="preserve"> </w:t>
      </w:r>
      <w:proofErr w:type="spellStart"/>
      <w:r>
        <w:rPr>
          <w:rFonts w:cs="Times New Roman"/>
        </w:rPr>
        <w:t>Caamaño</w:t>
      </w:r>
      <w:proofErr w:type="spellEnd"/>
      <w:r>
        <w:rPr>
          <w:rFonts w:cs="Times New Roman"/>
        </w:rPr>
        <w:t xml:space="preserve">-Alegre </w:t>
      </w:r>
      <w:r w:rsidRPr="003638E9">
        <w:rPr>
          <w:rFonts w:cs="Times New Roman"/>
          <w:i/>
        </w:rPr>
        <w:t>et al</w:t>
      </w:r>
      <w:r w:rsidR="00C64F57">
        <w:rPr>
          <w:rFonts w:cs="Times New Roman"/>
          <w:i/>
        </w:rPr>
        <w:t>.</w:t>
      </w:r>
      <w:r w:rsidRPr="003638E9">
        <w:rPr>
          <w:rFonts w:cs="Times New Roman"/>
          <w:i/>
        </w:rPr>
        <w:t xml:space="preserve"> </w:t>
      </w:r>
      <w:r>
        <w:rPr>
          <w:rFonts w:cs="Times New Roman"/>
        </w:rPr>
        <w:t>(2013)</w:t>
      </w:r>
      <w:bookmarkEnd w:id="31"/>
      <w:r w:rsidR="00EC1EFE">
        <w:rPr>
          <w:rFonts w:cs="Times New Roman"/>
        </w:rPr>
        <w:t xml:space="preserve">, baseados nos estudos elaborados por La Porte, </w:t>
      </w:r>
      <w:proofErr w:type="spellStart"/>
      <w:r w:rsidR="00EC1EFE">
        <w:rPr>
          <w:rFonts w:cs="Times New Roman"/>
        </w:rPr>
        <w:t>Demchack</w:t>
      </w:r>
      <w:proofErr w:type="spellEnd"/>
      <w:r w:rsidR="00EC1EFE">
        <w:rPr>
          <w:rFonts w:cs="Times New Roman"/>
        </w:rPr>
        <w:t xml:space="preserve"> e </w:t>
      </w:r>
      <w:proofErr w:type="spellStart"/>
      <w:r w:rsidR="00EC1EFE">
        <w:rPr>
          <w:rFonts w:cs="Times New Roman"/>
        </w:rPr>
        <w:t>Jong</w:t>
      </w:r>
      <w:proofErr w:type="spellEnd"/>
      <w:r w:rsidR="00EC1EFE">
        <w:rPr>
          <w:rFonts w:cs="Times New Roman"/>
        </w:rPr>
        <w:t xml:space="preserve"> (2002) e Alesina e </w:t>
      </w:r>
      <w:r w:rsidR="00EC1EFE">
        <w:rPr>
          <w:rFonts w:cs="Times New Roman"/>
        </w:rPr>
        <w:lastRenderedPageBreak/>
        <w:t>Angeletos (2005),</w:t>
      </w:r>
      <w:r>
        <w:rPr>
          <w:rFonts w:cs="Times New Roman"/>
        </w:rPr>
        <w:t xml:space="preserve"> </w:t>
      </w:r>
      <w:r w:rsidR="001C1957">
        <w:rPr>
          <w:rFonts w:cs="Times New Roman"/>
        </w:rPr>
        <w:t xml:space="preserve">através da elaboração de </w:t>
      </w:r>
      <w:r w:rsidR="00125626">
        <w:rPr>
          <w:rFonts w:cs="Times New Roman"/>
        </w:rPr>
        <w:t>um questionário de pesquisa em que participaram 33 municípios galegos.</w:t>
      </w:r>
    </w:p>
    <w:p w14:paraId="09C3C89B" w14:textId="4245C9B4" w:rsidR="00973922" w:rsidRDefault="00973922" w:rsidP="00151643">
      <w:pPr>
        <w:spacing w:line="360" w:lineRule="auto"/>
        <w:jc w:val="both"/>
        <w:rPr>
          <w:rFonts w:cs="Times New Roman"/>
        </w:rPr>
      </w:pPr>
      <w:r>
        <w:rPr>
          <w:rFonts w:cs="Times New Roman"/>
        </w:rPr>
        <w:t>Este questionário era composto por 15 itens baseado nos pilares do Código de Boas Práticas de Transparência Fiscal revis</w:t>
      </w:r>
      <w:r w:rsidR="00701874">
        <w:rPr>
          <w:rFonts w:cs="Times New Roman"/>
        </w:rPr>
        <w:t>to</w:t>
      </w:r>
      <w:r>
        <w:rPr>
          <w:rFonts w:cs="Times New Roman"/>
        </w:rPr>
        <w:t xml:space="preserve"> pelo FMI</w:t>
      </w:r>
      <w:r w:rsidR="00125626">
        <w:rPr>
          <w:rFonts w:cs="Times New Roman"/>
        </w:rPr>
        <w:t xml:space="preserve"> e no próprio conhecimento</w:t>
      </w:r>
      <w:r w:rsidR="001A6910">
        <w:rPr>
          <w:rFonts w:cs="Times New Roman"/>
        </w:rPr>
        <w:t xml:space="preserve"> dos autores sobre</w:t>
      </w:r>
      <w:r w:rsidR="00C755D4">
        <w:rPr>
          <w:rFonts w:cs="Times New Roman"/>
        </w:rPr>
        <w:t xml:space="preserve"> os processos orçamentais a nível local dos governos</w:t>
      </w:r>
      <w:r w:rsidR="00942783">
        <w:rPr>
          <w:rFonts w:cs="Times New Roman"/>
        </w:rPr>
        <w:t>.</w:t>
      </w:r>
    </w:p>
    <w:p w14:paraId="3A2AF3C7" w14:textId="5D27FF2F" w:rsidR="00732F94" w:rsidRDefault="001635F6" w:rsidP="00841FB3">
      <w:pPr>
        <w:spacing w:line="360" w:lineRule="auto"/>
        <w:jc w:val="both"/>
        <w:rPr>
          <w:rFonts w:cs="Times New Roman"/>
        </w:rPr>
      </w:pPr>
      <w:r>
        <w:rPr>
          <w:rFonts w:cs="Times New Roman"/>
        </w:rPr>
        <w:t>Depois de analisadas as respostas recebid</w:t>
      </w:r>
      <w:r w:rsidR="00D64071">
        <w:rPr>
          <w:rFonts w:cs="Times New Roman"/>
        </w:rPr>
        <w:t>a</w:t>
      </w:r>
      <w:r>
        <w:rPr>
          <w:rFonts w:cs="Times New Roman"/>
        </w:rPr>
        <w:t>s pelos municípios</w:t>
      </w:r>
      <w:r w:rsidR="00D64071">
        <w:rPr>
          <w:rFonts w:cs="Times New Roman"/>
        </w:rPr>
        <w:t>,</w:t>
      </w:r>
      <w:r>
        <w:rPr>
          <w:rFonts w:cs="Times New Roman"/>
        </w:rPr>
        <w:t xml:space="preserve"> </w:t>
      </w:r>
      <w:proofErr w:type="spellStart"/>
      <w:r>
        <w:rPr>
          <w:rFonts w:cs="Times New Roman"/>
        </w:rPr>
        <w:t>concluí</w:t>
      </w:r>
      <w:r w:rsidR="00D64071">
        <w:rPr>
          <w:rFonts w:cs="Times New Roman"/>
        </w:rPr>
        <w:t>u-se</w:t>
      </w:r>
      <w:proofErr w:type="spellEnd"/>
      <w:r>
        <w:rPr>
          <w:rFonts w:cs="Times New Roman"/>
        </w:rPr>
        <w:t xml:space="preserve">, entre outras, que existia uma relação negativa entre o nível de transparência e o </w:t>
      </w:r>
      <w:r w:rsidR="009768CB">
        <w:rPr>
          <w:rFonts w:cs="Times New Roman"/>
        </w:rPr>
        <w:t>valor do orçamento dos municípios</w:t>
      </w:r>
      <w:r w:rsidR="00EC1EFE">
        <w:rPr>
          <w:rFonts w:cs="Times New Roman"/>
        </w:rPr>
        <w:t>.</w:t>
      </w:r>
      <w:r w:rsidR="00841FB3">
        <w:rPr>
          <w:rFonts w:cs="Times New Roman"/>
        </w:rPr>
        <w:t xml:space="preserve"> </w:t>
      </w:r>
    </w:p>
    <w:p w14:paraId="3D3D26FA" w14:textId="62759AF1" w:rsidR="00841FB3" w:rsidRDefault="00732F94" w:rsidP="00841FB3">
      <w:pPr>
        <w:spacing w:line="360" w:lineRule="auto"/>
        <w:jc w:val="both"/>
        <w:rPr>
          <w:rFonts w:cs="Times New Roman"/>
        </w:rPr>
      </w:pPr>
      <w:r>
        <w:rPr>
          <w:rFonts w:cs="Times New Roman"/>
        </w:rPr>
        <w:t>Em suma, n</w:t>
      </w:r>
      <w:r w:rsidR="000760B1">
        <w:rPr>
          <w:rFonts w:cs="Times New Roman"/>
        </w:rPr>
        <w:t xml:space="preserve">o Quadro 2.1 apresentam-se as principais determinantes da transparência na administração pública resultantes da </w:t>
      </w:r>
      <w:r w:rsidR="00841FB3">
        <w:rPr>
          <w:rFonts w:cs="Times New Roman"/>
        </w:rPr>
        <w:t>revisão de literatura efetuada</w:t>
      </w:r>
      <w:bookmarkStart w:id="32" w:name="_Toc54714639"/>
      <w:bookmarkStart w:id="33" w:name="_Toc57488353"/>
      <w:r w:rsidR="00841FB3">
        <w:rPr>
          <w:rFonts w:cs="Times New Roman"/>
        </w:rPr>
        <w:t>.</w:t>
      </w:r>
    </w:p>
    <w:p w14:paraId="0A33EBE7" w14:textId="7C144FC7" w:rsidR="00C90AC5" w:rsidRPr="00C90AC5" w:rsidRDefault="00C90AC5" w:rsidP="00C90AC5">
      <w:pPr>
        <w:pStyle w:val="Legenda"/>
        <w:keepNext/>
        <w:spacing w:after="60"/>
        <w:jc w:val="center"/>
        <w:rPr>
          <w:rFonts w:cs="Times New Roman"/>
          <w:b w:val="0"/>
          <w:bCs w:val="0"/>
          <w:color w:val="auto"/>
          <w:sz w:val="24"/>
          <w:szCs w:val="24"/>
        </w:rPr>
      </w:pPr>
      <w:bookmarkStart w:id="34" w:name="_Toc58853179"/>
      <w:bookmarkStart w:id="35" w:name="_Toc66624300"/>
      <w:bookmarkEnd w:id="32"/>
      <w:bookmarkEnd w:id="33"/>
      <w:r w:rsidRPr="00C90AC5">
        <w:rPr>
          <w:rFonts w:cs="Times New Roman"/>
          <w:color w:val="auto"/>
          <w:sz w:val="24"/>
          <w:szCs w:val="24"/>
        </w:rPr>
        <w:t xml:space="preserve">Quadro </w:t>
      </w:r>
      <w:r w:rsidRPr="00C90AC5">
        <w:rPr>
          <w:rFonts w:cs="Times New Roman"/>
          <w:color w:val="auto"/>
          <w:sz w:val="24"/>
          <w:szCs w:val="24"/>
        </w:rPr>
        <w:fldChar w:fldCharType="begin"/>
      </w:r>
      <w:r w:rsidRPr="00C90AC5">
        <w:rPr>
          <w:rFonts w:cs="Times New Roman"/>
          <w:color w:val="auto"/>
          <w:sz w:val="24"/>
          <w:szCs w:val="24"/>
        </w:rPr>
        <w:instrText xml:space="preserve"> STYLEREF 1 \s </w:instrText>
      </w:r>
      <w:r w:rsidRPr="00C90AC5">
        <w:rPr>
          <w:rFonts w:cs="Times New Roman"/>
          <w:color w:val="auto"/>
          <w:sz w:val="24"/>
          <w:szCs w:val="24"/>
        </w:rPr>
        <w:fldChar w:fldCharType="separate"/>
      </w:r>
      <w:r w:rsidR="00380A6F">
        <w:rPr>
          <w:rFonts w:cs="Times New Roman"/>
          <w:noProof/>
          <w:color w:val="auto"/>
          <w:sz w:val="24"/>
          <w:szCs w:val="24"/>
        </w:rPr>
        <w:t>2</w:t>
      </w:r>
      <w:r w:rsidRPr="00C90AC5">
        <w:rPr>
          <w:rFonts w:cs="Times New Roman"/>
          <w:color w:val="auto"/>
          <w:sz w:val="24"/>
          <w:szCs w:val="24"/>
        </w:rPr>
        <w:fldChar w:fldCharType="end"/>
      </w:r>
      <w:r w:rsidRPr="00C90AC5">
        <w:rPr>
          <w:rFonts w:cs="Times New Roman"/>
          <w:color w:val="auto"/>
          <w:sz w:val="24"/>
          <w:szCs w:val="24"/>
        </w:rPr>
        <w:t>.</w:t>
      </w:r>
      <w:r w:rsidRPr="00C90AC5">
        <w:rPr>
          <w:rFonts w:cs="Times New Roman"/>
          <w:color w:val="auto"/>
          <w:sz w:val="24"/>
          <w:szCs w:val="24"/>
        </w:rPr>
        <w:fldChar w:fldCharType="begin"/>
      </w:r>
      <w:r w:rsidRPr="00C90AC5">
        <w:rPr>
          <w:rFonts w:cs="Times New Roman"/>
          <w:color w:val="auto"/>
          <w:sz w:val="24"/>
          <w:szCs w:val="24"/>
        </w:rPr>
        <w:instrText xml:space="preserve"> SEQ Quadro \* ARABIC \s 1 </w:instrText>
      </w:r>
      <w:r w:rsidRPr="00C90AC5">
        <w:rPr>
          <w:rFonts w:cs="Times New Roman"/>
          <w:color w:val="auto"/>
          <w:sz w:val="24"/>
          <w:szCs w:val="24"/>
        </w:rPr>
        <w:fldChar w:fldCharType="separate"/>
      </w:r>
      <w:r w:rsidR="00380A6F">
        <w:rPr>
          <w:rFonts w:cs="Times New Roman"/>
          <w:noProof/>
          <w:color w:val="auto"/>
          <w:sz w:val="24"/>
          <w:szCs w:val="24"/>
        </w:rPr>
        <w:t>1</w:t>
      </w:r>
      <w:r w:rsidRPr="00C90AC5">
        <w:rPr>
          <w:rFonts w:cs="Times New Roman"/>
          <w:color w:val="auto"/>
          <w:sz w:val="24"/>
          <w:szCs w:val="24"/>
        </w:rPr>
        <w:fldChar w:fldCharType="end"/>
      </w:r>
      <w:r w:rsidRPr="00C90AC5">
        <w:rPr>
          <w:rFonts w:cs="Times New Roman"/>
          <w:color w:val="auto"/>
          <w:sz w:val="24"/>
          <w:szCs w:val="24"/>
        </w:rPr>
        <w:t xml:space="preserve"> -</w:t>
      </w:r>
      <w:r w:rsidRPr="00C90AC5">
        <w:rPr>
          <w:rFonts w:cs="Times New Roman"/>
          <w:b w:val="0"/>
          <w:bCs w:val="0"/>
          <w:color w:val="auto"/>
          <w:sz w:val="24"/>
          <w:szCs w:val="24"/>
        </w:rPr>
        <w:t xml:space="preserve"> Determinantes que influenciam a transparência na </w:t>
      </w:r>
      <w:r w:rsidR="00F338BB">
        <w:rPr>
          <w:rFonts w:cs="Times New Roman"/>
          <w:b w:val="0"/>
          <w:bCs w:val="0"/>
          <w:color w:val="auto"/>
          <w:sz w:val="24"/>
          <w:szCs w:val="24"/>
        </w:rPr>
        <w:t>a</w:t>
      </w:r>
      <w:r w:rsidRPr="00C90AC5">
        <w:rPr>
          <w:rFonts w:cs="Times New Roman"/>
          <w:b w:val="0"/>
          <w:bCs w:val="0"/>
          <w:color w:val="auto"/>
          <w:sz w:val="24"/>
          <w:szCs w:val="24"/>
        </w:rPr>
        <w:t xml:space="preserve">dministração </w:t>
      </w:r>
      <w:r w:rsidR="00F338BB">
        <w:rPr>
          <w:rFonts w:cs="Times New Roman"/>
          <w:b w:val="0"/>
          <w:bCs w:val="0"/>
          <w:color w:val="auto"/>
          <w:sz w:val="24"/>
          <w:szCs w:val="24"/>
        </w:rPr>
        <w:t>p</w:t>
      </w:r>
      <w:r w:rsidRPr="00C90AC5">
        <w:rPr>
          <w:rFonts w:cs="Times New Roman"/>
          <w:b w:val="0"/>
          <w:bCs w:val="0"/>
          <w:color w:val="auto"/>
          <w:sz w:val="24"/>
          <w:szCs w:val="24"/>
        </w:rPr>
        <w:t>ública</w:t>
      </w:r>
      <w:bookmarkEnd w:id="34"/>
      <w:bookmarkEnd w:id="35"/>
    </w:p>
    <w:p w14:paraId="490C6A96" w14:textId="17299383" w:rsidR="00710805" w:rsidRPr="00B53601" w:rsidRDefault="009D09F7" w:rsidP="00F53EDE">
      <w:pPr>
        <w:jc w:val="center"/>
        <w:rPr>
          <w:rFonts w:cs="Times New Roman"/>
        </w:rPr>
      </w:pPr>
      <w:r w:rsidRPr="009D09F7">
        <w:rPr>
          <w:noProof/>
        </w:rPr>
        <w:drawing>
          <wp:inline distT="0" distB="0" distL="0" distR="0" wp14:anchorId="7EF23BDB" wp14:editId="1F502A68">
            <wp:extent cx="4204335" cy="4953000"/>
            <wp:effectExtent l="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6988" r="6755" b="4391"/>
                    <a:stretch/>
                  </pic:blipFill>
                  <pic:spPr bwMode="auto">
                    <a:xfrm>
                      <a:off x="0" y="0"/>
                      <a:ext cx="4204335" cy="4953000"/>
                    </a:xfrm>
                    <a:prstGeom prst="rect">
                      <a:avLst/>
                    </a:prstGeom>
                    <a:noFill/>
                    <a:ln>
                      <a:noFill/>
                    </a:ln>
                    <a:extLst>
                      <a:ext uri="{53640926-AAD7-44D8-BBD7-CCE9431645EC}">
                        <a14:shadowObscured xmlns:a14="http://schemas.microsoft.com/office/drawing/2010/main"/>
                      </a:ext>
                    </a:extLst>
                  </pic:spPr>
                </pic:pic>
              </a:graphicData>
            </a:graphic>
          </wp:inline>
        </w:drawing>
      </w:r>
      <w:r w:rsidR="00115C78">
        <w:rPr>
          <w:rFonts w:cs="Times New Roman"/>
        </w:rPr>
        <w:br w:type="page"/>
      </w:r>
    </w:p>
    <w:p w14:paraId="1CD155C3" w14:textId="673BE64B" w:rsidR="00A618B3" w:rsidRDefault="00CC011A" w:rsidP="00193467">
      <w:pPr>
        <w:pStyle w:val="Ttulo1"/>
        <w:numPr>
          <w:ilvl w:val="0"/>
          <w:numId w:val="2"/>
        </w:numPr>
        <w:spacing w:before="120" w:after="360" w:line="360" w:lineRule="auto"/>
        <w:ind w:left="567" w:hanging="567"/>
        <w:jc w:val="center"/>
      </w:pPr>
      <w:bookmarkStart w:id="36" w:name="_Toc37792557"/>
      <w:bookmarkStart w:id="37" w:name="_Toc66624197"/>
      <w:r>
        <w:lastRenderedPageBreak/>
        <w:t xml:space="preserve">A </w:t>
      </w:r>
      <w:r w:rsidR="0074429B">
        <w:t>t</w:t>
      </w:r>
      <w:r>
        <w:t xml:space="preserve">ransparência nos </w:t>
      </w:r>
      <w:r w:rsidR="0074429B">
        <w:t>m</w:t>
      </w:r>
      <w:r>
        <w:t xml:space="preserve">unicípios </w:t>
      </w:r>
      <w:r w:rsidR="0074429B">
        <w:t>p</w:t>
      </w:r>
      <w:r>
        <w:t>ortugueses</w:t>
      </w:r>
      <w:bookmarkEnd w:id="36"/>
      <w:bookmarkEnd w:id="37"/>
    </w:p>
    <w:p w14:paraId="20160037" w14:textId="4CE715D4" w:rsidR="00A14608" w:rsidRPr="00A14608" w:rsidRDefault="00DC733A" w:rsidP="00A14608">
      <w:pPr>
        <w:spacing w:line="360" w:lineRule="auto"/>
        <w:jc w:val="both"/>
        <w:rPr>
          <w:rFonts w:cs="Times New Roman"/>
        </w:rPr>
      </w:pPr>
      <w:r>
        <w:rPr>
          <w:rFonts w:cs="Times New Roman"/>
        </w:rPr>
        <w:t>E</w:t>
      </w:r>
      <w:r w:rsidR="00A14608" w:rsidRPr="00A14608">
        <w:rPr>
          <w:rFonts w:cs="Times New Roman"/>
        </w:rPr>
        <w:t>ste terceiro capítulo inicia-se por definir e apresentar a composição do Setor Público, seguindo-se de uma breve hist</w:t>
      </w:r>
      <w:r>
        <w:rPr>
          <w:rFonts w:cs="Times New Roman"/>
        </w:rPr>
        <w:t>ó</w:t>
      </w:r>
      <w:r w:rsidR="00A14608" w:rsidRPr="00A14608">
        <w:rPr>
          <w:rFonts w:cs="Times New Roman"/>
        </w:rPr>
        <w:t>ria da evolução dos municípios portugueses e da implantação da República. De seguida, apresenta-se a composição das Autarquias Locais e, por fim, aborda-se o tema do Índice de Transparência Municipal.</w:t>
      </w:r>
    </w:p>
    <w:p w14:paraId="7B4B1316" w14:textId="620686A4" w:rsidR="00CC011A" w:rsidRDefault="00CC011A" w:rsidP="00193467">
      <w:pPr>
        <w:pStyle w:val="Ttulo2"/>
        <w:numPr>
          <w:ilvl w:val="1"/>
          <w:numId w:val="2"/>
        </w:numPr>
        <w:spacing w:before="360" w:after="240"/>
        <w:ind w:left="1077"/>
      </w:pPr>
      <w:bookmarkStart w:id="38" w:name="_Toc37792558"/>
      <w:bookmarkStart w:id="39" w:name="_Toc66624198"/>
      <w:r>
        <w:t xml:space="preserve">Definição e </w:t>
      </w:r>
      <w:r w:rsidR="0074429B">
        <w:t>c</w:t>
      </w:r>
      <w:r>
        <w:t xml:space="preserve">omposição do </w:t>
      </w:r>
      <w:r w:rsidR="0074429B">
        <w:t>s</w:t>
      </w:r>
      <w:r>
        <w:t xml:space="preserve">etor </w:t>
      </w:r>
      <w:r w:rsidR="0074429B">
        <w:t>p</w:t>
      </w:r>
      <w:r>
        <w:t>úblico</w:t>
      </w:r>
      <w:bookmarkEnd w:id="38"/>
      <w:r w:rsidR="00931CDD">
        <w:t xml:space="preserve"> português</w:t>
      </w:r>
      <w:bookmarkEnd w:id="39"/>
    </w:p>
    <w:p w14:paraId="4507027A" w14:textId="1B131C26" w:rsidR="00CC011A" w:rsidRPr="00D45DD4" w:rsidRDefault="00317BC7" w:rsidP="00CC011A">
      <w:pPr>
        <w:spacing w:line="360" w:lineRule="auto"/>
        <w:jc w:val="both"/>
        <w:rPr>
          <w:rFonts w:cs="Times New Roman"/>
        </w:rPr>
      </w:pPr>
      <w:bookmarkStart w:id="40" w:name="_Hlk56247425"/>
      <w:r>
        <w:rPr>
          <w:rFonts w:cs="Times New Roman"/>
        </w:rPr>
        <w:t>Em Portugal, o</w:t>
      </w:r>
      <w:r w:rsidR="00CC011A">
        <w:rPr>
          <w:rFonts w:cs="Times New Roman"/>
        </w:rPr>
        <w:t xml:space="preserve"> conceito de Setor </w:t>
      </w:r>
      <w:r>
        <w:rPr>
          <w:rFonts w:cs="Times New Roman"/>
        </w:rPr>
        <w:t>P</w:t>
      </w:r>
      <w:r w:rsidR="00CC011A">
        <w:rPr>
          <w:rFonts w:cs="Times New Roman"/>
        </w:rPr>
        <w:t xml:space="preserve">úblico muitas vezes é confundido com conceitos como de Estado ou de </w:t>
      </w:r>
      <w:r w:rsidR="00C20BC9">
        <w:rPr>
          <w:rFonts w:cs="Times New Roman"/>
        </w:rPr>
        <w:t>a</w:t>
      </w:r>
      <w:r w:rsidR="00A35C92">
        <w:rPr>
          <w:rFonts w:cs="Times New Roman"/>
        </w:rPr>
        <w:t xml:space="preserve">dministração </w:t>
      </w:r>
      <w:r w:rsidR="00C20BC9">
        <w:rPr>
          <w:rFonts w:cs="Times New Roman"/>
        </w:rPr>
        <w:t>p</w:t>
      </w:r>
      <w:r w:rsidR="00A35C92">
        <w:rPr>
          <w:rFonts w:cs="Times New Roman"/>
        </w:rPr>
        <w:t>ública</w:t>
      </w:r>
      <w:r w:rsidR="00CC011A">
        <w:rPr>
          <w:rFonts w:cs="Times New Roman"/>
        </w:rPr>
        <w:t xml:space="preserve"> </w:t>
      </w:r>
      <w:bookmarkEnd w:id="40"/>
      <w:r>
        <w:rPr>
          <w:rFonts w:cs="Times New Roman"/>
        </w:rPr>
        <w:t>(Pinto, Santos</w:t>
      </w:r>
      <w:r w:rsidR="00931CDD">
        <w:rPr>
          <w:rFonts w:cs="Times New Roman"/>
        </w:rPr>
        <w:t xml:space="preserve"> &amp;</w:t>
      </w:r>
      <w:r>
        <w:rPr>
          <w:rFonts w:cs="Times New Roman"/>
        </w:rPr>
        <w:t xml:space="preserve"> Melo, 2014) </w:t>
      </w:r>
      <w:r w:rsidR="00CC011A">
        <w:rPr>
          <w:rFonts w:cs="Times New Roman"/>
        </w:rPr>
        <w:t xml:space="preserve">surgindo, assim, a necessidade de abordar este tema na presente dissertação. </w:t>
      </w:r>
    </w:p>
    <w:p w14:paraId="61907505" w14:textId="1C23C45F" w:rsidR="00CC011A" w:rsidRPr="00FF3C2C" w:rsidRDefault="00CC011A" w:rsidP="00CC011A">
      <w:pPr>
        <w:jc w:val="both"/>
        <w:rPr>
          <w:rFonts w:cs="Times New Roman"/>
          <w:b/>
          <w:color w:val="FF0000"/>
        </w:rPr>
      </w:pPr>
      <w:r>
        <w:rPr>
          <w:rFonts w:cs="Times New Roman"/>
        </w:rPr>
        <w:t>S</w:t>
      </w:r>
      <w:r w:rsidRPr="00ED66A2">
        <w:rPr>
          <w:rFonts w:cs="Times New Roman"/>
        </w:rPr>
        <w:t>egundo o artigo 2</w:t>
      </w:r>
      <w:r w:rsidR="000A6D7B">
        <w:rPr>
          <w:rFonts w:cs="Times New Roman"/>
        </w:rPr>
        <w:t>.</w:t>
      </w:r>
      <w:r w:rsidRPr="00ED66A2">
        <w:rPr>
          <w:rFonts w:cs="Times New Roman"/>
        </w:rPr>
        <w:t>º</w:t>
      </w:r>
      <w:r>
        <w:rPr>
          <w:rFonts w:cs="Times New Roman"/>
        </w:rPr>
        <w:t xml:space="preserve"> da Lei </w:t>
      </w:r>
      <w:r w:rsidR="000A6D7B">
        <w:rPr>
          <w:rFonts w:cs="Times New Roman"/>
        </w:rPr>
        <w:t xml:space="preserve">n.º </w:t>
      </w:r>
      <w:r>
        <w:rPr>
          <w:rFonts w:cs="Times New Roman"/>
        </w:rPr>
        <w:t>151/2015, de 11 de setembro, o setor publico administrativo é composto por:</w:t>
      </w:r>
    </w:p>
    <w:p w14:paraId="7DE63507" w14:textId="3BCA4EE0" w:rsidR="00CC011A" w:rsidRPr="00330E80" w:rsidRDefault="00CC011A" w:rsidP="00330E80">
      <w:pPr>
        <w:spacing w:line="360" w:lineRule="auto"/>
        <w:ind w:left="720" w:right="850"/>
        <w:jc w:val="both"/>
        <w:rPr>
          <w:rFonts w:cs="Times New Roman"/>
          <w:sz w:val="22"/>
        </w:rPr>
      </w:pPr>
      <w:r w:rsidRPr="00330E80">
        <w:rPr>
          <w:rFonts w:cs="Times New Roman"/>
          <w:sz w:val="22"/>
        </w:rPr>
        <w:t xml:space="preserve">1-O setor das administrações públicas abrange todos os serviços e entidades dos subsetores da administração central, regional, local e da segurança social, que não tenham natureza e forma de empresa, de fundação ou de associação </w:t>
      </w:r>
      <w:proofErr w:type="gramStart"/>
      <w:r w:rsidRPr="00330E80">
        <w:rPr>
          <w:rFonts w:cs="Times New Roman"/>
          <w:sz w:val="22"/>
        </w:rPr>
        <w:t>públicas.(</w:t>
      </w:r>
      <w:proofErr w:type="gramEnd"/>
      <w:r w:rsidRPr="00330E80">
        <w:rPr>
          <w:rFonts w:cs="Times New Roman"/>
          <w:sz w:val="22"/>
        </w:rPr>
        <w:t>…)</w:t>
      </w:r>
      <w:r w:rsidRPr="00330E80">
        <w:rPr>
          <w:rFonts w:cs="Times New Roman"/>
          <w:sz w:val="22"/>
        </w:rPr>
        <w:tab/>
      </w:r>
    </w:p>
    <w:p w14:paraId="038D432F" w14:textId="5B40B693" w:rsidR="00CC011A" w:rsidRPr="00330E80" w:rsidRDefault="00CC011A" w:rsidP="00330E80">
      <w:pPr>
        <w:spacing w:line="360" w:lineRule="auto"/>
        <w:ind w:left="720" w:right="850"/>
        <w:jc w:val="both"/>
        <w:rPr>
          <w:rFonts w:cs="Times New Roman"/>
          <w:sz w:val="22"/>
        </w:rPr>
      </w:pPr>
      <w:r w:rsidRPr="00330E80">
        <w:rPr>
          <w:rFonts w:cs="Times New Roman"/>
          <w:sz w:val="22"/>
        </w:rPr>
        <w:t xml:space="preserve">4-Integram ainda o setor das administrações públicas as entidades </w:t>
      </w:r>
      <w:proofErr w:type="gramStart"/>
      <w:r w:rsidRPr="00330E80">
        <w:rPr>
          <w:rFonts w:cs="Times New Roman"/>
          <w:sz w:val="22"/>
        </w:rPr>
        <w:t xml:space="preserve">que,   </w:t>
      </w:r>
      <w:proofErr w:type="gramEnd"/>
      <w:r w:rsidRPr="00330E80">
        <w:rPr>
          <w:rFonts w:cs="Times New Roman"/>
          <w:sz w:val="22"/>
        </w:rPr>
        <w:t>independentemente da sua natureza e forma, tenham sido incluídas em cada subsetor no âmbito do Sistema Europeu de Contas Nacionais e Regionais, na última lista das entidades que compõem o setor das administrações públicas divulgada até 30 de junho, pela autoridade estatística nacional, designadas por entidades públicas reclassificadas.</w:t>
      </w:r>
    </w:p>
    <w:p w14:paraId="5D571C71" w14:textId="77777777" w:rsidR="00CC011A" w:rsidRDefault="00CC011A" w:rsidP="00CC011A">
      <w:pPr>
        <w:spacing w:line="360" w:lineRule="auto"/>
        <w:jc w:val="both"/>
        <w:rPr>
          <w:rFonts w:cs="Times New Roman"/>
        </w:rPr>
      </w:pPr>
      <w:r>
        <w:rPr>
          <w:rFonts w:cs="Times New Roman"/>
        </w:rPr>
        <w:t xml:space="preserve">Por outras palavras, o setor público administrativo engloba a administração direta e indireta do Estado, bem como, a administração autónoma. </w:t>
      </w:r>
    </w:p>
    <w:p w14:paraId="71EB07FE" w14:textId="07FAE876" w:rsidR="00CC011A" w:rsidRDefault="00CC011A" w:rsidP="00CC011A">
      <w:pPr>
        <w:spacing w:line="360" w:lineRule="auto"/>
        <w:jc w:val="both"/>
        <w:rPr>
          <w:rFonts w:cs="Times New Roman"/>
        </w:rPr>
      </w:pPr>
      <w:r>
        <w:rPr>
          <w:rFonts w:cs="Times New Roman"/>
        </w:rPr>
        <w:t>Na administração direta do Estado encontramos todo o leque de entidades, sejam órgãos, serviços ou agentes integrados na pessoa coletiva “Estado” que desenvolvam atividades com foco na satisfação das necessidades coletivas de modo direto, imediato e sob dependência hierárquica do Governo (</w:t>
      </w:r>
      <w:r w:rsidRPr="00C65DF2">
        <w:rPr>
          <w:rFonts w:cs="Times New Roman"/>
        </w:rPr>
        <w:t xml:space="preserve">Pinto </w:t>
      </w:r>
      <w:r w:rsidRPr="00C65DF2">
        <w:rPr>
          <w:rFonts w:cs="Times New Roman"/>
          <w:i/>
        </w:rPr>
        <w:t>et al</w:t>
      </w:r>
      <w:r w:rsidRPr="00C65DF2">
        <w:rPr>
          <w:rFonts w:cs="Times New Roman"/>
        </w:rPr>
        <w:t>., 2014</w:t>
      </w:r>
      <w:r>
        <w:rPr>
          <w:rFonts w:cs="Times New Roman"/>
        </w:rPr>
        <w:t xml:space="preserve">). </w:t>
      </w:r>
    </w:p>
    <w:p w14:paraId="609E9F85" w14:textId="77E6CC5B" w:rsidR="00CC011A" w:rsidRDefault="00CC011A" w:rsidP="00CC011A">
      <w:pPr>
        <w:spacing w:line="360" w:lineRule="auto"/>
        <w:jc w:val="both"/>
        <w:rPr>
          <w:rFonts w:cs="Times New Roman"/>
        </w:rPr>
      </w:pPr>
      <w:r>
        <w:rPr>
          <w:rFonts w:cs="Times New Roman"/>
        </w:rPr>
        <w:t xml:space="preserve">Por sua vez, a administração indireta do Estado integra as entidades públicas que exerçam uma atividade administrativa que converge para os fins próprios do Estado, que são dotados de </w:t>
      </w:r>
      <w:r>
        <w:rPr>
          <w:rFonts w:cs="Times New Roman"/>
        </w:rPr>
        <w:lastRenderedPageBreak/>
        <w:t>personalidade jurídica e autonomia administrativa e financeira. Porém, estas entidad</w:t>
      </w:r>
      <w:r w:rsidR="00680E0D">
        <w:rPr>
          <w:rFonts w:cs="Times New Roman"/>
        </w:rPr>
        <w:t>es são distintas da pessoa cole</w:t>
      </w:r>
      <w:r>
        <w:rPr>
          <w:rFonts w:cs="Times New Roman"/>
        </w:rPr>
        <w:t>tiva “Estado”.</w:t>
      </w:r>
    </w:p>
    <w:p w14:paraId="405AA215" w14:textId="22A92538" w:rsidR="00CC011A" w:rsidRDefault="00CC011A" w:rsidP="00CC011A">
      <w:pPr>
        <w:spacing w:line="360" w:lineRule="auto"/>
        <w:jc w:val="both"/>
        <w:rPr>
          <w:rFonts w:cs="Times New Roman"/>
        </w:rPr>
      </w:pPr>
      <w:r>
        <w:rPr>
          <w:rFonts w:cs="Times New Roman"/>
        </w:rPr>
        <w:t>Por fim, relativamente ao setor público administrativo, a administração autónoma consagra a administração regional, local e</w:t>
      </w:r>
      <w:r w:rsidR="0014165C">
        <w:rPr>
          <w:rFonts w:cs="Times New Roman"/>
        </w:rPr>
        <w:t xml:space="preserve"> as</w:t>
      </w:r>
      <w:r>
        <w:rPr>
          <w:rFonts w:cs="Times New Roman"/>
        </w:rPr>
        <w:t xml:space="preserve"> associações públicas. </w:t>
      </w:r>
    </w:p>
    <w:p w14:paraId="7008E7A0" w14:textId="351DCFCF" w:rsidR="00CC011A" w:rsidRDefault="00CC011A" w:rsidP="00CC011A">
      <w:pPr>
        <w:spacing w:line="360" w:lineRule="auto"/>
        <w:jc w:val="both"/>
        <w:rPr>
          <w:rFonts w:cs="Times New Roman"/>
        </w:rPr>
      </w:pPr>
      <w:r>
        <w:rPr>
          <w:rFonts w:cs="Times New Roman"/>
        </w:rPr>
        <w:t xml:space="preserve">Pinto </w:t>
      </w:r>
      <w:r w:rsidRPr="0080741C">
        <w:rPr>
          <w:rFonts w:cs="Times New Roman"/>
          <w:i/>
        </w:rPr>
        <w:t>et al</w:t>
      </w:r>
      <w:r w:rsidR="00931CDD">
        <w:rPr>
          <w:rFonts w:cs="Times New Roman"/>
          <w:i/>
        </w:rPr>
        <w:t>.</w:t>
      </w:r>
      <w:r>
        <w:rPr>
          <w:rFonts w:cs="Times New Roman"/>
        </w:rPr>
        <w:t xml:space="preserve"> (2014) refere</w:t>
      </w:r>
      <w:r w:rsidR="009F5A5A">
        <w:rPr>
          <w:rFonts w:cs="Times New Roman"/>
        </w:rPr>
        <w:t>m</w:t>
      </w:r>
      <w:r>
        <w:rPr>
          <w:rFonts w:cs="Times New Roman"/>
        </w:rPr>
        <w:t xml:space="preserve"> que relativamente à primeira entidade encontra-se o mesmo modelo da administração direto do Estado e da administração indireta do Estado com a particularidade do seu foco estar em territórios distintos, como os Açores e a Madeira.</w:t>
      </w:r>
    </w:p>
    <w:p w14:paraId="20AAE9D3" w14:textId="77777777" w:rsidR="00CC011A" w:rsidRDefault="00CC011A" w:rsidP="00CC011A">
      <w:pPr>
        <w:spacing w:line="360" w:lineRule="auto"/>
        <w:jc w:val="both"/>
        <w:rPr>
          <w:rFonts w:cs="Times New Roman"/>
        </w:rPr>
      </w:pPr>
      <w:r>
        <w:rPr>
          <w:rFonts w:cs="Times New Roman"/>
        </w:rPr>
        <w:t>Obedecendo também ao mesmo modelo, encontramos a administração local sendo, esta, constituída pelas Autarquias Locais.</w:t>
      </w:r>
    </w:p>
    <w:p w14:paraId="57D91180" w14:textId="472B8F2F" w:rsidR="00CC011A" w:rsidRDefault="00CC011A" w:rsidP="00CC011A">
      <w:pPr>
        <w:spacing w:line="360" w:lineRule="auto"/>
        <w:jc w:val="both"/>
        <w:rPr>
          <w:rFonts w:cs="Times New Roman"/>
        </w:rPr>
      </w:pPr>
      <w:r>
        <w:rPr>
          <w:rFonts w:cs="Times New Roman"/>
        </w:rPr>
        <w:t xml:space="preserve">Relativamente às Associações públicas, os mesmos autores, enunciam que se trata de pessoas coletivas de natureza associativa criadas pelo poder público de modo a garantir a prossecução dos interesses não lucrativos, as quais são compostas por um grupo de pessoas organizadas para esse fim, como as ordens profissionais. </w:t>
      </w:r>
    </w:p>
    <w:p w14:paraId="3D815123" w14:textId="4BDD085E" w:rsidR="00CC011A" w:rsidRPr="0080741C" w:rsidRDefault="00392A9D" w:rsidP="00CC011A">
      <w:pPr>
        <w:spacing w:line="360" w:lineRule="auto"/>
        <w:jc w:val="both"/>
        <w:rPr>
          <w:rFonts w:cs="Times New Roman"/>
        </w:rPr>
      </w:pPr>
      <w:r>
        <w:rPr>
          <w:rFonts w:cs="Times New Roman"/>
        </w:rPr>
        <w:t>O</w:t>
      </w:r>
      <w:r w:rsidR="00CC011A">
        <w:rPr>
          <w:rFonts w:cs="Times New Roman"/>
        </w:rPr>
        <w:t xml:space="preserve"> setor público administrativo, segu</w:t>
      </w:r>
      <w:r w:rsidR="00680E0D">
        <w:rPr>
          <w:rFonts w:cs="Times New Roman"/>
        </w:rPr>
        <w:t>ndo o artigo 2</w:t>
      </w:r>
      <w:r w:rsidR="000A6D7B">
        <w:rPr>
          <w:rFonts w:cs="Times New Roman"/>
        </w:rPr>
        <w:t>.</w:t>
      </w:r>
      <w:r w:rsidR="00680E0D">
        <w:rPr>
          <w:rFonts w:cs="Times New Roman"/>
        </w:rPr>
        <w:t>º</w:t>
      </w:r>
      <w:r>
        <w:rPr>
          <w:rFonts w:cs="Times New Roman"/>
        </w:rPr>
        <w:t>, número 1</w:t>
      </w:r>
      <w:r w:rsidR="00680E0D">
        <w:rPr>
          <w:rFonts w:cs="Times New Roman"/>
        </w:rPr>
        <w:t xml:space="preserve"> da </w:t>
      </w:r>
      <w:r w:rsidR="000A6D7B">
        <w:rPr>
          <w:rFonts w:cs="Times New Roman"/>
        </w:rPr>
        <w:t>L</w:t>
      </w:r>
      <w:r w:rsidR="00680E0D">
        <w:rPr>
          <w:rFonts w:cs="Times New Roman"/>
        </w:rPr>
        <w:t xml:space="preserve">ei </w:t>
      </w:r>
      <w:r w:rsidR="000A6D7B">
        <w:rPr>
          <w:rFonts w:cs="Times New Roman"/>
        </w:rPr>
        <w:t xml:space="preserve">n.º </w:t>
      </w:r>
      <w:r w:rsidR="00680E0D">
        <w:rPr>
          <w:rFonts w:cs="Times New Roman"/>
        </w:rPr>
        <w:t>151/2015</w:t>
      </w:r>
      <w:r w:rsidR="00CC011A" w:rsidRPr="00392A9D">
        <w:rPr>
          <w:rFonts w:cs="Times New Roman"/>
          <w:szCs w:val="24"/>
        </w:rPr>
        <w:t>,</w:t>
      </w:r>
      <w:r w:rsidRPr="00392A9D">
        <w:rPr>
          <w:rFonts w:cs="Times New Roman"/>
          <w:color w:val="333333"/>
          <w:szCs w:val="24"/>
          <w:shd w:val="clear" w:color="auto" w:fill="FFFFFF"/>
        </w:rPr>
        <w:t xml:space="preserve"> </w:t>
      </w:r>
      <w:r w:rsidR="00926FD5">
        <w:rPr>
          <w:rFonts w:cs="Times New Roman"/>
          <w:szCs w:val="24"/>
          <w:shd w:val="clear" w:color="auto" w:fill="FFFFFF"/>
        </w:rPr>
        <w:t>«</w:t>
      </w:r>
      <w:r w:rsidRPr="00F24844">
        <w:rPr>
          <w:rFonts w:cs="Times New Roman"/>
          <w:szCs w:val="24"/>
          <w:shd w:val="clear" w:color="auto" w:fill="FFFFFF"/>
        </w:rPr>
        <w:t>abrange todos os serviços e entidades dos subsetores da administração central, regional, local e da segurança social, que não tenham natureza e forma de empresa, de fundação ou de associação públicas</w:t>
      </w:r>
      <w:r w:rsidR="00926FD5">
        <w:rPr>
          <w:rFonts w:cs="Times New Roman"/>
          <w:szCs w:val="24"/>
          <w:shd w:val="clear" w:color="auto" w:fill="FFFFFF"/>
        </w:rPr>
        <w:t>»</w:t>
      </w:r>
      <w:r w:rsidRPr="00F24844">
        <w:rPr>
          <w:rFonts w:cs="Times New Roman"/>
          <w:szCs w:val="24"/>
          <w:shd w:val="clear" w:color="auto" w:fill="FFFFFF"/>
        </w:rPr>
        <w:t xml:space="preserve"> </w:t>
      </w:r>
      <w:r>
        <w:rPr>
          <w:rFonts w:cs="Times New Roman"/>
        </w:rPr>
        <w:t>(Lei nº 151/2015, artigo 2º).</w:t>
      </w:r>
      <w:r w:rsidR="00CC011A">
        <w:rPr>
          <w:rFonts w:cs="Times New Roman"/>
        </w:rPr>
        <w:t xml:space="preserve"> A mesma lei, no artigo 5</w:t>
      </w:r>
      <w:r w:rsidR="000A6D7B">
        <w:rPr>
          <w:rFonts w:cs="Times New Roman"/>
        </w:rPr>
        <w:t>.</w:t>
      </w:r>
      <w:r w:rsidR="00CC011A">
        <w:rPr>
          <w:rFonts w:cs="Times New Roman"/>
        </w:rPr>
        <w:t xml:space="preserve">º reforça, ainda, a inclusão de todas as entidades </w:t>
      </w:r>
      <w:r w:rsidR="000A6D7B">
        <w:rPr>
          <w:rFonts w:cs="Times New Roman"/>
        </w:rPr>
        <w:t xml:space="preserve">públicas </w:t>
      </w:r>
      <w:r w:rsidR="00CC011A">
        <w:rPr>
          <w:rFonts w:cs="Times New Roman"/>
        </w:rPr>
        <w:t>reclassificadas</w:t>
      </w:r>
      <w:r w:rsidR="000A6D7B">
        <w:rPr>
          <w:rFonts w:cs="Times New Roman"/>
        </w:rPr>
        <w:t>, e</w:t>
      </w:r>
      <w:r w:rsidR="00CC011A">
        <w:rPr>
          <w:rFonts w:cs="Times New Roman"/>
        </w:rPr>
        <w:t>ntende</w:t>
      </w:r>
      <w:r w:rsidR="000A6D7B">
        <w:rPr>
          <w:rFonts w:cs="Times New Roman"/>
        </w:rPr>
        <w:t>ndo</w:t>
      </w:r>
      <w:r w:rsidR="00CC011A">
        <w:rPr>
          <w:rFonts w:cs="Times New Roman"/>
        </w:rPr>
        <w:t xml:space="preserve">-se </w:t>
      </w:r>
      <w:r w:rsidR="000A6D7B">
        <w:rPr>
          <w:rFonts w:cs="Times New Roman"/>
        </w:rPr>
        <w:t xml:space="preserve">estas </w:t>
      </w:r>
      <w:r w:rsidR="00CC011A">
        <w:rPr>
          <w:rFonts w:cs="Times New Roman"/>
        </w:rPr>
        <w:t>como</w:t>
      </w:r>
      <w:r w:rsidR="000A6D7B">
        <w:rPr>
          <w:rFonts w:cs="Times New Roman"/>
        </w:rPr>
        <w:t xml:space="preserve"> as</w:t>
      </w:r>
      <w:r w:rsidR="00CC011A">
        <w:rPr>
          <w:rFonts w:cs="Times New Roman"/>
        </w:rPr>
        <w:t xml:space="preserve"> </w:t>
      </w:r>
      <w:r w:rsidR="00926FD5">
        <w:rPr>
          <w:rFonts w:cs="Times New Roman"/>
        </w:rPr>
        <w:t>«</w:t>
      </w:r>
      <w:r w:rsidR="00CC011A">
        <w:rPr>
          <w:rFonts w:cs="Times New Roman"/>
        </w:rPr>
        <w:t>entidades que independentemente da sua natureza e forma foram incluídas em cada subsetor no âmbito do sistema europeu das contas nacionais e regionais, nas últimas contas sectoriais publicadas pela autoridade nacional, referente ao ano anterior ao da apresentação do orçamento</w:t>
      </w:r>
      <w:r w:rsidR="00926FD5">
        <w:rPr>
          <w:rFonts w:cs="Times New Roman"/>
        </w:rPr>
        <w:t>»</w:t>
      </w:r>
      <w:r w:rsidR="00CC011A">
        <w:rPr>
          <w:rFonts w:cs="Times New Roman"/>
        </w:rPr>
        <w:t xml:space="preserve"> (</w:t>
      </w:r>
      <w:r w:rsidR="0074341D">
        <w:rPr>
          <w:rFonts w:cs="Times New Roman"/>
        </w:rPr>
        <w:t xml:space="preserve">Lei nº 151/2015, artigo </w:t>
      </w:r>
      <w:r>
        <w:rPr>
          <w:rFonts w:cs="Times New Roman"/>
        </w:rPr>
        <w:t>5</w:t>
      </w:r>
      <w:r w:rsidR="0074341D">
        <w:rPr>
          <w:rFonts w:cs="Times New Roman"/>
        </w:rPr>
        <w:t>º</w:t>
      </w:r>
      <w:r w:rsidR="00CC011A">
        <w:rPr>
          <w:rFonts w:cs="Times New Roman"/>
        </w:rPr>
        <w:t xml:space="preserve">). </w:t>
      </w:r>
    </w:p>
    <w:p w14:paraId="25128C4D" w14:textId="3CC63833" w:rsidR="00CC011A" w:rsidRPr="00D45DD4" w:rsidRDefault="00CC011A" w:rsidP="00CC011A">
      <w:pPr>
        <w:spacing w:line="360" w:lineRule="auto"/>
        <w:jc w:val="both"/>
        <w:rPr>
          <w:rFonts w:cs="Times New Roman"/>
        </w:rPr>
      </w:pPr>
      <w:r>
        <w:rPr>
          <w:rFonts w:cs="Times New Roman"/>
        </w:rPr>
        <w:t>A</w:t>
      </w:r>
      <w:r w:rsidRPr="00D45DD4">
        <w:rPr>
          <w:rFonts w:cs="Times New Roman"/>
        </w:rPr>
        <w:t xml:space="preserve"> Lei </w:t>
      </w:r>
      <w:r w:rsidR="000A6D7B">
        <w:rPr>
          <w:rFonts w:cs="Times New Roman"/>
        </w:rPr>
        <w:t xml:space="preserve">n.º </w:t>
      </w:r>
      <w:r w:rsidRPr="00D45DD4">
        <w:rPr>
          <w:rFonts w:cs="Times New Roman"/>
        </w:rPr>
        <w:t>151/</w:t>
      </w:r>
      <w:r>
        <w:rPr>
          <w:rFonts w:cs="Times New Roman"/>
        </w:rPr>
        <w:t>20</w:t>
      </w:r>
      <w:r w:rsidRPr="00D45DD4">
        <w:rPr>
          <w:rFonts w:cs="Times New Roman"/>
        </w:rPr>
        <w:t>15</w:t>
      </w:r>
      <w:r>
        <w:rPr>
          <w:rFonts w:cs="Times New Roman"/>
        </w:rPr>
        <w:t xml:space="preserve">, </w:t>
      </w:r>
      <w:r w:rsidRPr="00D45DD4">
        <w:rPr>
          <w:rFonts w:cs="Times New Roman"/>
        </w:rPr>
        <w:t>Lei do Enquadramento Orçamental</w:t>
      </w:r>
      <w:r>
        <w:rPr>
          <w:rFonts w:cs="Times New Roman"/>
        </w:rPr>
        <w:t>,</w:t>
      </w:r>
      <w:r w:rsidRPr="00D45DD4">
        <w:rPr>
          <w:rFonts w:cs="Times New Roman"/>
        </w:rPr>
        <w:t xml:space="preserve"> define que os orçamentos dos </w:t>
      </w:r>
      <w:r w:rsidRPr="00FE11B1">
        <w:rPr>
          <w:rFonts w:cs="Times New Roman"/>
        </w:rPr>
        <w:t>organismos acima apresentados são</w:t>
      </w:r>
      <w:r>
        <w:rPr>
          <w:rFonts w:cs="Times New Roman"/>
        </w:rPr>
        <w:t xml:space="preserve"> abrangido</w:t>
      </w:r>
      <w:r w:rsidRPr="00D45DD4">
        <w:rPr>
          <w:rFonts w:cs="Times New Roman"/>
        </w:rPr>
        <w:t>s pelo Orçamento de Estado.</w:t>
      </w:r>
    </w:p>
    <w:p w14:paraId="10F75380" w14:textId="08333533" w:rsidR="00CC011A" w:rsidRPr="001244FE" w:rsidRDefault="00C206BB" w:rsidP="001244FE">
      <w:pPr>
        <w:spacing w:line="360" w:lineRule="auto"/>
        <w:jc w:val="both"/>
        <w:rPr>
          <w:rFonts w:cs="Times New Roman"/>
        </w:rPr>
      </w:pPr>
      <w:r>
        <w:rPr>
          <w:rFonts w:cs="Times New Roman"/>
        </w:rPr>
        <w:t>E</w:t>
      </w:r>
      <w:r w:rsidR="00CC011A" w:rsidRPr="00D45DD4">
        <w:rPr>
          <w:rFonts w:cs="Times New Roman"/>
        </w:rPr>
        <w:t>stes organismos estão abrangidos pelo Sistema de Normalização Contabilística para as Administrações Públicas (SNC-AP)</w:t>
      </w:r>
      <w:r w:rsidR="00680E0D">
        <w:rPr>
          <w:rFonts w:cs="Times New Roman"/>
        </w:rPr>
        <w:t>,</w:t>
      </w:r>
      <w:r w:rsidR="00CC011A" w:rsidRPr="00D45DD4">
        <w:rPr>
          <w:rFonts w:cs="Times New Roman"/>
        </w:rPr>
        <w:t xml:space="preserve"> aprovado pelo Decreto</w:t>
      </w:r>
      <w:r w:rsidR="000A6D7B">
        <w:rPr>
          <w:rFonts w:cs="Times New Roman"/>
        </w:rPr>
        <w:t>-</w:t>
      </w:r>
      <w:r w:rsidR="00CC011A" w:rsidRPr="00D45DD4">
        <w:rPr>
          <w:rFonts w:cs="Times New Roman"/>
        </w:rPr>
        <w:t>Lei n.º 192/2015</w:t>
      </w:r>
      <w:r w:rsidR="00CC011A">
        <w:rPr>
          <w:rFonts w:cs="Times New Roman"/>
        </w:rPr>
        <w:t>, de 11 de setembro, e</w:t>
      </w:r>
      <w:r w:rsidR="00CC011A" w:rsidRPr="00D45DD4">
        <w:rPr>
          <w:rFonts w:cs="Times New Roman"/>
        </w:rPr>
        <w:t xml:space="preserve"> que integra as normas de contabilidade pú</w:t>
      </w:r>
      <w:r w:rsidR="00CC011A">
        <w:rPr>
          <w:rFonts w:cs="Times New Roman"/>
        </w:rPr>
        <w:t>blica, a estrutura concetual da</w:t>
      </w:r>
      <w:r w:rsidR="00CC011A" w:rsidRPr="00D45DD4">
        <w:rPr>
          <w:rFonts w:cs="Times New Roman"/>
        </w:rPr>
        <w:t xml:space="preserve"> informação financeira p</w:t>
      </w:r>
      <w:r w:rsidR="00CC011A">
        <w:rPr>
          <w:rFonts w:cs="Times New Roman"/>
        </w:rPr>
        <w:t>ú</w:t>
      </w:r>
      <w:r w:rsidR="00CC011A" w:rsidRPr="00D45DD4">
        <w:rPr>
          <w:rFonts w:cs="Times New Roman"/>
        </w:rPr>
        <w:t xml:space="preserve">blica, bem como o plano de contas multidimensional. </w:t>
      </w:r>
    </w:p>
    <w:p w14:paraId="25D3E9CA" w14:textId="4439DCF7" w:rsidR="00A618B3" w:rsidRPr="00DD3029" w:rsidRDefault="009207A4" w:rsidP="00193467">
      <w:pPr>
        <w:pStyle w:val="Ttulo2"/>
        <w:numPr>
          <w:ilvl w:val="1"/>
          <w:numId w:val="2"/>
        </w:numPr>
        <w:spacing w:before="360" w:after="240" w:line="360" w:lineRule="auto"/>
        <w:ind w:left="1077"/>
        <w:rPr>
          <w:rFonts w:cs="Times New Roman"/>
          <w:sz w:val="24"/>
        </w:rPr>
      </w:pPr>
      <w:bookmarkStart w:id="41" w:name="_Toc37792559"/>
      <w:bookmarkStart w:id="42" w:name="_Toc66624199"/>
      <w:r>
        <w:lastRenderedPageBreak/>
        <w:t xml:space="preserve">Breve </w:t>
      </w:r>
      <w:r w:rsidR="0074429B">
        <w:t>h</w:t>
      </w:r>
      <w:r>
        <w:t xml:space="preserve">istória da </w:t>
      </w:r>
      <w:r w:rsidR="00AA641F">
        <w:t>e</w:t>
      </w:r>
      <w:r>
        <w:t xml:space="preserve">volução </w:t>
      </w:r>
      <w:r w:rsidR="00A618B3">
        <w:t>dos</w:t>
      </w:r>
      <w:r w:rsidR="00A618B3" w:rsidRPr="00165AB4">
        <w:t xml:space="preserve"> </w:t>
      </w:r>
      <w:r w:rsidR="00AA641F">
        <w:t>m</w:t>
      </w:r>
      <w:r w:rsidR="00A618B3" w:rsidRPr="00165AB4">
        <w:t>unicípios</w:t>
      </w:r>
      <w:r w:rsidR="00A618B3">
        <w:t xml:space="preserve"> </w:t>
      </w:r>
      <w:r w:rsidR="00AA641F">
        <w:t>p</w:t>
      </w:r>
      <w:r w:rsidR="00A618B3">
        <w:t>ortugueses</w:t>
      </w:r>
      <w:bookmarkEnd w:id="41"/>
      <w:bookmarkEnd w:id="42"/>
    </w:p>
    <w:p w14:paraId="4DBCBCF4" w14:textId="23BD583C" w:rsidR="00A618B3" w:rsidRPr="009F354A" w:rsidRDefault="00A618B3" w:rsidP="00942728">
      <w:pPr>
        <w:spacing w:line="360" w:lineRule="auto"/>
        <w:jc w:val="both"/>
        <w:rPr>
          <w:rFonts w:cs="Times New Roman"/>
        </w:rPr>
      </w:pPr>
      <w:r w:rsidRPr="009F354A">
        <w:rPr>
          <w:rFonts w:cs="Times New Roman"/>
        </w:rPr>
        <w:t>Em 1820</w:t>
      </w:r>
      <w:r>
        <w:rPr>
          <w:rFonts w:cs="Times New Roman"/>
        </w:rPr>
        <w:t>,</w:t>
      </w:r>
      <w:r w:rsidRPr="009F354A">
        <w:rPr>
          <w:rFonts w:cs="Times New Roman"/>
        </w:rPr>
        <w:t xml:space="preserve"> após uma revolução liberal em Portugal, foi aprovado um decreto</w:t>
      </w:r>
      <w:r>
        <w:rPr>
          <w:rFonts w:cs="Times New Roman"/>
        </w:rPr>
        <w:t>-l</w:t>
      </w:r>
      <w:r w:rsidRPr="009F354A">
        <w:rPr>
          <w:rFonts w:cs="Times New Roman"/>
        </w:rPr>
        <w:t xml:space="preserve">ei que </w:t>
      </w:r>
      <w:r>
        <w:rPr>
          <w:rFonts w:cs="Times New Roman"/>
        </w:rPr>
        <w:t xml:space="preserve">vinculava </w:t>
      </w:r>
      <w:r w:rsidRPr="009F354A">
        <w:rPr>
          <w:rFonts w:cs="Times New Roman"/>
        </w:rPr>
        <w:t>o poder local. Este decreto</w:t>
      </w:r>
      <w:r>
        <w:rPr>
          <w:rFonts w:cs="Times New Roman"/>
        </w:rPr>
        <w:t>, que</w:t>
      </w:r>
      <w:r w:rsidRPr="009F354A">
        <w:rPr>
          <w:rFonts w:cs="Times New Roman"/>
        </w:rPr>
        <w:t xml:space="preserve"> entraria em vigor em 1822</w:t>
      </w:r>
      <w:r>
        <w:rPr>
          <w:rFonts w:cs="Times New Roman"/>
        </w:rPr>
        <w:t>,</w:t>
      </w:r>
      <w:r w:rsidRPr="009F354A">
        <w:rPr>
          <w:rFonts w:cs="Times New Roman"/>
        </w:rPr>
        <w:t xml:space="preserve"> enunciava no artigo 219º que </w:t>
      </w:r>
      <w:proofErr w:type="gramStart"/>
      <w:r w:rsidRPr="009F354A">
        <w:rPr>
          <w:rFonts w:cs="Times New Roman"/>
        </w:rPr>
        <w:t>haveria</w:t>
      </w:r>
      <w:r>
        <w:rPr>
          <w:rFonts w:cs="Times New Roman"/>
        </w:rPr>
        <w:t>m</w:t>
      </w:r>
      <w:proofErr w:type="gramEnd"/>
      <w:r w:rsidRPr="009F354A">
        <w:rPr>
          <w:rFonts w:cs="Times New Roman"/>
        </w:rPr>
        <w:t xml:space="preserve"> </w:t>
      </w:r>
      <w:r w:rsidR="00926FD5">
        <w:rPr>
          <w:rFonts w:cs="Times New Roman"/>
        </w:rPr>
        <w:t>«</w:t>
      </w:r>
      <w:r w:rsidRPr="009F354A">
        <w:rPr>
          <w:rFonts w:cs="Times New Roman"/>
        </w:rPr>
        <w:t>Câmaras em todos os povos, onde assim convier ao bem público</w:t>
      </w:r>
      <w:r w:rsidR="00926FD5">
        <w:rPr>
          <w:rFonts w:cs="Times New Roman"/>
        </w:rPr>
        <w:t>»</w:t>
      </w:r>
      <w:r w:rsidRPr="009F354A">
        <w:rPr>
          <w:rFonts w:cs="Times New Roman"/>
        </w:rPr>
        <w:t xml:space="preserve">, dando </w:t>
      </w:r>
      <w:r w:rsidR="00F24844" w:rsidRPr="009F354A">
        <w:rPr>
          <w:rFonts w:cs="Times New Roman"/>
        </w:rPr>
        <w:t>início</w:t>
      </w:r>
      <w:r w:rsidRPr="009F354A">
        <w:rPr>
          <w:rFonts w:cs="Times New Roman"/>
        </w:rPr>
        <w:t xml:space="preserve"> à história do municipalismo em Portugal. </w:t>
      </w:r>
      <w:r>
        <w:rPr>
          <w:rFonts w:cs="Times New Roman"/>
        </w:rPr>
        <w:t>N</w:t>
      </w:r>
      <w:r w:rsidRPr="009F354A">
        <w:rPr>
          <w:rFonts w:cs="Times New Roman"/>
        </w:rPr>
        <w:t xml:space="preserve">o artigo 223º eram enumeradas as atribuições concedidas ao poder municipal como sendo: </w:t>
      </w:r>
      <w:r w:rsidR="00926FD5">
        <w:rPr>
          <w:rFonts w:cs="Times New Roman"/>
        </w:rPr>
        <w:t>«</w:t>
      </w:r>
      <w:r w:rsidRPr="009F354A">
        <w:rPr>
          <w:rFonts w:cs="Times New Roman"/>
        </w:rPr>
        <w:t>fazer posturas ou leis municipais</w:t>
      </w:r>
      <w:r w:rsidR="00926FD5">
        <w:rPr>
          <w:rFonts w:cs="Times New Roman"/>
        </w:rPr>
        <w:t>»</w:t>
      </w:r>
      <w:r w:rsidRPr="009F354A">
        <w:rPr>
          <w:rFonts w:cs="Times New Roman"/>
        </w:rPr>
        <w:t xml:space="preserve">, </w:t>
      </w:r>
      <w:r w:rsidR="00926FD5">
        <w:rPr>
          <w:rFonts w:cs="Times New Roman"/>
        </w:rPr>
        <w:t>«</w:t>
      </w:r>
      <w:r w:rsidRPr="009F354A">
        <w:rPr>
          <w:rFonts w:cs="Times New Roman"/>
        </w:rPr>
        <w:t xml:space="preserve">promover a agricultura, o comercio, a </w:t>
      </w:r>
      <w:r w:rsidR="0024515A" w:rsidRPr="009F354A">
        <w:rPr>
          <w:rFonts w:cs="Times New Roman"/>
        </w:rPr>
        <w:t>indústria</w:t>
      </w:r>
      <w:r w:rsidRPr="009F354A">
        <w:rPr>
          <w:rFonts w:cs="Times New Roman"/>
        </w:rPr>
        <w:t>, a saúde publica e geralmente todas as comodidades do concelho</w:t>
      </w:r>
      <w:r w:rsidR="00926FD5">
        <w:rPr>
          <w:rFonts w:cs="Times New Roman"/>
        </w:rPr>
        <w:t>»</w:t>
      </w:r>
      <w:r w:rsidRPr="009F354A">
        <w:rPr>
          <w:rFonts w:cs="Times New Roman"/>
        </w:rPr>
        <w:t xml:space="preserve">, </w:t>
      </w:r>
      <w:r w:rsidR="00926FD5">
        <w:rPr>
          <w:rFonts w:cs="Times New Roman"/>
        </w:rPr>
        <w:t>«</w:t>
      </w:r>
      <w:r w:rsidRPr="009F354A">
        <w:rPr>
          <w:rFonts w:cs="Times New Roman"/>
        </w:rPr>
        <w:t>tratar das obras particulares dos Concelhos e do reparo das publicas (…)” e “cobrar e despender os rendimentos do Concelho</w:t>
      </w:r>
      <w:r w:rsidR="00926FD5">
        <w:rPr>
          <w:rFonts w:cs="Times New Roman"/>
        </w:rPr>
        <w:t>»</w:t>
      </w:r>
      <w:r w:rsidRPr="009F354A">
        <w:rPr>
          <w:rFonts w:cs="Times New Roman"/>
        </w:rPr>
        <w:t>. Os municípios conta</w:t>
      </w:r>
      <w:r>
        <w:rPr>
          <w:rFonts w:cs="Times New Roman"/>
        </w:rPr>
        <w:t>va</w:t>
      </w:r>
      <w:r w:rsidRPr="009F354A">
        <w:rPr>
          <w:rFonts w:cs="Times New Roman"/>
        </w:rPr>
        <w:t>m, assim, com o seu poder normativo, as incumbências sociais básicas e o seu poder tributário.</w:t>
      </w:r>
    </w:p>
    <w:p w14:paraId="5CA9BCEC" w14:textId="1DF39802" w:rsidR="00A618B3" w:rsidRPr="009F354A" w:rsidRDefault="00A618B3" w:rsidP="00A618B3">
      <w:pPr>
        <w:spacing w:line="360" w:lineRule="auto"/>
        <w:jc w:val="both"/>
        <w:rPr>
          <w:rFonts w:cs="Times New Roman"/>
        </w:rPr>
      </w:pPr>
      <w:r w:rsidRPr="009F354A">
        <w:rPr>
          <w:rFonts w:cs="Times New Roman"/>
        </w:rPr>
        <w:t>Contudo em 1823 dá-se a “</w:t>
      </w:r>
      <w:proofErr w:type="spellStart"/>
      <w:r w:rsidRPr="009F354A">
        <w:rPr>
          <w:rFonts w:cs="Times New Roman"/>
        </w:rPr>
        <w:t>Contrarevolução</w:t>
      </w:r>
      <w:proofErr w:type="spellEnd"/>
      <w:r w:rsidRPr="009F354A">
        <w:rPr>
          <w:rFonts w:cs="Times New Roman"/>
        </w:rPr>
        <w:t xml:space="preserve">” onde regressa o modelo </w:t>
      </w:r>
      <w:r w:rsidR="00F24844" w:rsidRPr="009F354A">
        <w:rPr>
          <w:rFonts w:cs="Times New Roman"/>
        </w:rPr>
        <w:t>político</w:t>
      </w:r>
      <w:r w:rsidRPr="009F354A">
        <w:rPr>
          <w:rFonts w:cs="Times New Roman"/>
        </w:rPr>
        <w:t xml:space="preserve"> do absolutismo, afastando a época liberal. Deste modo, os poderes dos municípios foram suprimidos até 1826, onde é criada uma Carta Constitucional. Esta Carta vinha afirmar uma regra que defendia a autonomia municipal, reforçando que haveria Câmaras em todas as cidades e </w:t>
      </w:r>
      <w:r w:rsidRPr="009F7356">
        <w:rPr>
          <w:rFonts w:cs="Times New Roman"/>
        </w:rPr>
        <w:t xml:space="preserve">vilas </w:t>
      </w:r>
      <w:r w:rsidR="0024515A">
        <w:rPr>
          <w:rFonts w:cs="Times New Roman"/>
        </w:rPr>
        <w:t>concedendo</w:t>
      </w:r>
      <w:r w:rsidRPr="009F354A">
        <w:rPr>
          <w:rFonts w:cs="Times New Roman"/>
        </w:rPr>
        <w:t xml:space="preserve"> às mesmas o governo económico e municipal. </w:t>
      </w:r>
    </w:p>
    <w:p w14:paraId="76C1933B" w14:textId="47F66E25" w:rsidR="00A618B3" w:rsidRPr="009F354A" w:rsidRDefault="00A618B3" w:rsidP="00A618B3">
      <w:pPr>
        <w:spacing w:line="360" w:lineRule="auto"/>
        <w:jc w:val="both"/>
        <w:rPr>
          <w:rFonts w:cs="Times New Roman"/>
        </w:rPr>
      </w:pPr>
      <w:r w:rsidRPr="009F354A">
        <w:rPr>
          <w:rFonts w:cs="Times New Roman"/>
        </w:rPr>
        <w:t>Ainda em 1832 dá-se uma alteração na organização administrativa territorial onde são abolidas as</w:t>
      </w:r>
      <w:r>
        <w:rPr>
          <w:rFonts w:cs="Times New Roman"/>
        </w:rPr>
        <w:t xml:space="preserve"> antigas divisões territoriais através da publicação de um decreto-lei elaborado por Mouzinho da Silveira</w:t>
      </w:r>
      <w:r w:rsidR="00942783">
        <w:rPr>
          <w:rFonts w:cs="Times New Roman"/>
        </w:rPr>
        <w:t xml:space="preserve"> que foi um estadista, jurisconsulto e político português com um papel relevante na revolução liberal</w:t>
      </w:r>
      <w:r>
        <w:rPr>
          <w:rFonts w:cs="Times New Roman"/>
        </w:rPr>
        <w:t xml:space="preserve">. </w:t>
      </w:r>
      <w:r w:rsidRPr="009F354A">
        <w:rPr>
          <w:rFonts w:cs="Times New Roman"/>
        </w:rPr>
        <w:t>Esta al</w:t>
      </w:r>
      <w:r>
        <w:rPr>
          <w:rFonts w:cs="Times New Roman"/>
        </w:rPr>
        <w:t>teração não foi bem recebida em</w:t>
      </w:r>
      <w:r w:rsidRPr="009F354A">
        <w:rPr>
          <w:rFonts w:cs="Times New Roman"/>
        </w:rPr>
        <w:t xml:space="preserve"> Portugal uma vez que estava subjacente um abuso de poder por parte dos agentes administrativos que, ao serem nomeados pelo poder central, iriam deter todo o poder perante as populações. </w:t>
      </w:r>
    </w:p>
    <w:p w14:paraId="7B3A350B" w14:textId="5A4F4685" w:rsidR="00A618B3" w:rsidRPr="00347845" w:rsidRDefault="00A618B3" w:rsidP="00A618B3">
      <w:pPr>
        <w:spacing w:line="360" w:lineRule="auto"/>
        <w:jc w:val="both"/>
        <w:rPr>
          <w:rFonts w:cs="Times New Roman"/>
        </w:rPr>
      </w:pPr>
      <w:r w:rsidRPr="009F354A">
        <w:rPr>
          <w:rFonts w:cs="Times New Roman"/>
        </w:rPr>
        <w:t>Surge</w:t>
      </w:r>
      <w:r>
        <w:rPr>
          <w:rFonts w:cs="Times New Roman"/>
        </w:rPr>
        <w:t>m</w:t>
      </w:r>
      <w:r w:rsidRPr="009F354A">
        <w:rPr>
          <w:rFonts w:cs="Times New Roman"/>
        </w:rPr>
        <w:t>, assim, em 1835 e 1836, novos diplomas que dividem os territórios, como hoje os conhecemos, em distritos administrativos subdivididos em concelhos que, por sua vez, se decompunham em freguesias. Este mesmo diploma enuncia, ainda, a autonomia própria dos municípios uma vez que</w:t>
      </w:r>
      <w:r w:rsidR="00607825">
        <w:rPr>
          <w:rFonts w:cs="Times New Roman"/>
        </w:rPr>
        <w:t>,</w:t>
      </w:r>
      <w:r w:rsidRPr="009F354A">
        <w:rPr>
          <w:rFonts w:cs="Times New Roman"/>
        </w:rPr>
        <w:t xml:space="preserve"> segundo o mesmo</w:t>
      </w:r>
      <w:r w:rsidR="00607825">
        <w:rPr>
          <w:rFonts w:cs="Times New Roman"/>
        </w:rPr>
        <w:t>,</w:t>
      </w:r>
      <w:r w:rsidRPr="009F354A">
        <w:rPr>
          <w:rFonts w:cs="Times New Roman"/>
        </w:rPr>
        <w:t xml:space="preserve"> cada município “deveria ter o número suficiente de cidadãos hábeis para os car</w:t>
      </w:r>
      <w:r w:rsidR="00E80063">
        <w:rPr>
          <w:rFonts w:cs="Times New Roman"/>
        </w:rPr>
        <w:t>gos eleito</w:t>
      </w:r>
      <w:r w:rsidRPr="009F354A">
        <w:rPr>
          <w:rFonts w:cs="Times New Roman"/>
        </w:rPr>
        <w:t xml:space="preserve">s e bastantes meios de sustentar os encargos municipais”. É no dia 6 de </w:t>
      </w:r>
      <w:proofErr w:type="gramStart"/>
      <w:r w:rsidRPr="009F354A">
        <w:rPr>
          <w:rFonts w:cs="Times New Roman"/>
        </w:rPr>
        <w:t>Novembro</w:t>
      </w:r>
      <w:proofErr w:type="gramEnd"/>
      <w:r w:rsidRPr="009F354A">
        <w:rPr>
          <w:rFonts w:cs="Times New Roman"/>
        </w:rPr>
        <w:t xml:space="preserve"> de 1836 que surge a nova divisão administrativa e territorial de Portugal </w:t>
      </w:r>
      <w:r w:rsidR="00607825">
        <w:rPr>
          <w:rFonts w:cs="Times New Roman"/>
        </w:rPr>
        <w:t xml:space="preserve">que </w:t>
      </w:r>
      <w:r w:rsidRPr="009F354A">
        <w:rPr>
          <w:rFonts w:cs="Times New Roman"/>
        </w:rPr>
        <w:t>incluí</w:t>
      </w:r>
      <w:r w:rsidR="00607825">
        <w:rPr>
          <w:rFonts w:cs="Times New Roman"/>
        </w:rPr>
        <w:t>a</w:t>
      </w:r>
      <w:r w:rsidRPr="009F354A">
        <w:rPr>
          <w:rFonts w:cs="Times New Roman"/>
        </w:rPr>
        <w:t xml:space="preserve"> 17 distritos administrativos e 351 municípios. Está</w:t>
      </w:r>
      <w:r>
        <w:rPr>
          <w:rFonts w:cs="Times New Roman"/>
        </w:rPr>
        <w:t>,</w:t>
      </w:r>
      <w:r w:rsidRPr="009F354A">
        <w:rPr>
          <w:rFonts w:cs="Times New Roman"/>
        </w:rPr>
        <w:t xml:space="preserve"> assim</w:t>
      </w:r>
      <w:r>
        <w:rPr>
          <w:rFonts w:cs="Times New Roman"/>
        </w:rPr>
        <w:t>,</w:t>
      </w:r>
      <w:r w:rsidRPr="009F354A">
        <w:rPr>
          <w:rFonts w:cs="Times New Roman"/>
        </w:rPr>
        <w:t xml:space="preserve"> constituída a base da </w:t>
      </w:r>
      <w:r w:rsidRPr="009F354A">
        <w:rPr>
          <w:rFonts w:cs="Times New Roman"/>
        </w:rPr>
        <w:lastRenderedPageBreak/>
        <w:t>divisão do território</w:t>
      </w:r>
      <w:r w:rsidR="00607825">
        <w:rPr>
          <w:rFonts w:cs="Times New Roman"/>
        </w:rPr>
        <w:t xml:space="preserve"> português</w:t>
      </w:r>
      <w:r w:rsidRPr="009F354A">
        <w:rPr>
          <w:rFonts w:cs="Times New Roman"/>
        </w:rPr>
        <w:t>, que</w:t>
      </w:r>
      <w:r>
        <w:rPr>
          <w:rFonts w:cs="Times New Roman"/>
        </w:rPr>
        <w:t xml:space="preserve"> vigora </w:t>
      </w:r>
      <w:r w:rsidRPr="009F354A">
        <w:rPr>
          <w:rFonts w:cs="Times New Roman"/>
        </w:rPr>
        <w:t>até hoje. Portugal, atualmente, conta apenas com 308 municípios.</w:t>
      </w:r>
    </w:p>
    <w:p w14:paraId="0311D585" w14:textId="32F902B7" w:rsidR="00A618B3" w:rsidRPr="00165AB4" w:rsidRDefault="00A618B3" w:rsidP="00193467">
      <w:pPr>
        <w:pStyle w:val="Ttulo2"/>
        <w:numPr>
          <w:ilvl w:val="1"/>
          <w:numId w:val="2"/>
        </w:numPr>
        <w:spacing w:before="360" w:after="240" w:line="360" w:lineRule="auto"/>
        <w:ind w:left="1077"/>
      </w:pPr>
      <w:bookmarkStart w:id="43" w:name="_Toc37792560"/>
      <w:bookmarkStart w:id="44" w:name="_Toc66624200"/>
      <w:r w:rsidRPr="00165AB4">
        <w:t xml:space="preserve">Implantação da </w:t>
      </w:r>
      <w:r w:rsidR="00AA641F">
        <w:t>r</w:t>
      </w:r>
      <w:r w:rsidRPr="00165AB4">
        <w:t xml:space="preserve">epública e os </w:t>
      </w:r>
      <w:r w:rsidR="00AA641F">
        <w:t>m</w:t>
      </w:r>
      <w:r w:rsidRPr="00165AB4">
        <w:t>unicípios</w:t>
      </w:r>
      <w:bookmarkEnd w:id="43"/>
      <w:bookmarkEnd w:id="44"/>
    </w:p>
    <w:p w14:paraId="5E38FFCB" w14:textId="77777777" w:rsidR="00A618B3" w:rsidRPr="009F354A" w:rsidRDefault="00A618B3" w:rsidP="00A618B3">
      <w:pPr>
        <w:spacing w:line="360" w:lineRule="auto"/>
        <w:jc w:val="both"/>
        <w:rPr>
          <w:rFonts w:cs="Times New Roman"/>
        </w:rPr>
      </w:pPr>
      <w:r>
        <w:rPr>
          <w:rFonts w:cs="Times New Roman"/>
        </w:rPr>
        <w:t>Decorridos alguns anos</w:t>
      </w:r>
      <w:r w:rsidRPr="009F354A">
        <w:rPr>
          <w:rFonts w:cs="Times New Roman"/>
        </w:rPr>
        <w:t xml:space="preserve"> e acrescentado de algumas alterações em matéria de autonomia municipal, a implantação da República em 1910 acarreta várias mudanças importantes na administração local, partindo de uma maior descentralização. Estas mudanças são evidenciadas </w:t>
      </w:r>
      <w:r>
        <w:rPr>
          <w:rFonts w:cs="Times New Roman"/>
        </w:rPr>
        <w:t xml:space="preserve">na </w:t>
      </w:r>
      <w:r w:rsidRPr="009F354A">
        <w:rPr>
          <w:rFonts w:cs="Times New Roman"/>
        </w:rPr>
        <w:t>Constituição Republicana</w:t>
      </w:r>
      <w:r>
        <w:rPr>
          <w:rFonts w:cs="Times New Roman"/>
        </w:rPr>
        <w:t xml:space="preserve"> em vigor nesse mesmo ano,</w:t>
      </w:r>
      <w:r w:rsidRPr="009F354A">
        <w:rPr>
          <w:rFonts w:cs="Times New Roman"/>
        </w:rPr>
        <w:t xml:space="preserve"> no artigo 66º que determina, em matéria de poder local, a não ingerência do governo na vida dos corpos administrativos, a divisão do poder local em deliberativos e executivos, a representação das minorias nos corpos administrativos e a autonomia financeira dos mesmos. </w:t>
      </w:r>
    </w:p>
    <w:p w14:paraId="4BB9FC98" w14:textId="2DD446EA" w:rsidR="00A618B3" w:rsidRPr="009F354A" w:rsidRDefault="00A618B3" w:rsidP="00A618B3">
      <w:pPr>
        <w:spacing w:line="360" w:lineRule="auto"/>
        <w:jc w:val="both"/>
        <w:rPr>
          <w:rFonts w:cs="Times New Roman"/>
        </w:rPr>
      </w:pPr>
      <w:r w:rsidRPr="009F354A">
        <w:rPr>
          <w:rFonts w:cs="Times New Roman"/>
        </w:rPr>
        <w:t xml:space="preserve">Segundo Rocha e Silva (2017), só em 1913 é publicada uma legislação administrativa que iria ao encontro da nova Constituição da </w:t>
      </w:r>
      <w:r w:rsidR="000A3876" w:rsidRPr="009F354A">
        <w:rPr>
          <w:rFonts w:cs="Times New Roman"/>
        </w:rPr>
        <w:t>República</w:t>
      </w:r>
      <w:r w:rsidRPr="009F354A">
        <w:rPr>
          <w:rFonts w:cs="Times New Roman"/>
        </w:rPr>
        <w:t xml:space="preserve"> e retocada em 1916. Nestas duas legislações ficou estabelecido que o território nacional estaria dividido em distritos, concelhos e freguesias havendo, nos mesmos, um órgão deliberativo eleito de forma direta. Seriam eles, a junta geral, a c</w:t>
      </w:r>
      <w:r>
        <w:rPr>
          <w:rFonts w:cs="Times New Roman"/>
        </w:rPr>
        <w:t>â</w:t>
      </w:r>
      <w:r w:rsidRPr="009F354A">
        <w:rPr>
          <w:rFonts w:cs="Times New Roman"/>
        </w:rPr>
        <w:t xml:space="preserve">mara municipal e a junta de freguesia, respetivamente. </w:t>
      </w:r>
    </w:p>
    <w:p w14:paraId="391C28A3" w14:textId="75DCFE6B" w:rsidR="00A618B3" w:rsidRPr="009F354A" w:rsidRDefault="00A618B3" w:rsidP="00A618B3">
      <w:pPr>
        <w:spacing w:line="360" w:lineRule="auto"/>
        <w:jc w:val="both"/>
        <w:rPr>
          <w:rFonts w:cs="Times New Roman"/>
        </w:rPr>
      </w:pPr>
      <w:r w:rsidRPr="009F354A">
        <w:rPr>
          <w:rFonts w:cs="Times New Roman"/>
        </w:rPr>
        <w:t>O regime político republicano é substituído pelo regime autocrático quando em 1926 Portugal sofre um golpe militar que perdurou até 1974. Com a instauração deste regime, é promulgada a Constituição de 1933 que, no seu artigo 127º, enuncia que a vida das autarquias locais estava dependente de uma inspeção de agentes do governo que levaria a uma autorização ou a uma exigência da aprovação das deliberativas municipais por parte de outros organismos públicos. O regime da administração local que resultava da Constituiç</w:t>
      </w:r>
      <w:r>
        <w:rPr>
          <w:rFonts w:cs="Times New Roman"/>
        </w:rPr>
        <w:t>ã</w:t>
      </w:r>
      <w:r w:rsidRPr="009F354A">
        <w:rPr>
          <w:rFonts w:cs="Times New Roman"/>
        </w:rPr>
        <w:t xml:space="preserve">o acima referida foi moldado passando o território nacional, segundo o Código Administrativo de 1936, a ser dividido em concelhos que se formavam em freguesias e que se agregavam em distritos e províncias. Com o mesmo regime, os órgãos do concelho passavam a ser o conselho municipal, a câmara municipal e o presidente da câmara municipal. </w:t>
      </w:r>
    </w:p>
    <w:p w14:paraId="084FD1C1" w14:textId="41184F06" w:rsidR="00A618B3" w:rsidRPr="009F354A" w:rsidRDefault="00A618B3" w:rsidP="00A618B3">
      <w:pPr>
        <w:spacing w:line="360" w:lineRule="auto"/>
        <w:jc w:val="both"/>
        <w:rPr>
          <w:rFonts w:cs="Times New Roman"/>
        </w:rPr>
      </w:pPr>
      <w:r w:rsidRPr="009F354A">
        <w:rPr>
          <w:rFonts w:cs="Times New Roman"/>
        </w:rPr>
        <w:t xml:space="preserve">Não obstante, segundo Rocha e Silva (2017), a câmara municipal continuava a ser o órgão central da administração dos concelhos com múltiplas competências, previstas na lei. </w:t>
      </w:r>
    </w:p>
    <w:p w14:paraId="792E9919" w14:textId="049D899A" w:rsidR="00A618B3" w:rsidRPr="00093F2F" w:rsidRDefault="00A618B3" w:rsidP="00A618B3">
      <w:pPr>
        <w:spacing w:line="360" w:lineRule="auto"/>
        <w:jc w:val="both"/>
        <w:rPr>
          <w:rFonts w:cs="Times New Roman"/>
        </w:rPr>
      </w:pPr>
      <w:r w:rsidRPr="009F354A">
        <w:rPr>
          <w:rFonts w:cs="Times New Roman"/>
        </w:rPr>
        <w:lastRenderedPageBreak/>
        <w:t>Como já enunciado, o regime autocrático perdurou até 1974, mais especificamente,</w:t>
      </w:r>
      <w:r w:rsidR="009E221F">
        <w:rPr>
          <w:rFonts w:cs="Times New Roman"/>
        </w:rPr>
        <w:t xml:space="preserve"> até </w:t>
      </w:r>
      <w:r w:rsidRPr="009F354A">
        <w:rPr>
          <w:rFonts w:cs="Times New Roman"/>
        </w:rPr>
        <w:t>o dia 25 de Abril onde o mesmo regime é substituído por outro regime de natureza democrática</w:t>
      </w:r>
      <w:r w:rsidR="009E221F">
        <w:rPr>
          <w:rFonts w:cs="Times New Roman"/>
        </w:rPr>
        <w:t>,</w:t>
      </w:r>
      <w:r w:rsidRPr="009F354A">
        <w:rPr>
          <w:rFonts w:cs="Times New Roman"/>
        </w:rPr>
        <w:t xml:space="preserve"> cuj</w:t>
      </w:r>
      <w:r>
        <w:rPr>
          <w:rFonts w:cs="Times New Roman"/>
        </w:rPr>
        <w:t>as</w:t>
      </w:r>
      <w:r w:rsidRPr="009F354A">
        <w:rPr>
          <w:rFonts w:cs="Times New Roman"/>
        </w:rPr>
        <w:t xml:space="preserve"> bases constam na Constituição da </w:t>
      </w:r>
      <w:r w:rsidR="000A3876" w:rsidRPr="009F354A">
        <w:rPr>
          <w:rFonts w:cs="Times New Roman"/>
        </w:rPr>
        <w:t>República</w:t>
      </w:r>
      <w:r w:rsidRPr="009F354A">
        <w:rPr>
          <w:rFonts w:cs="Times New Roman"/>
        </w:rPr>
        <w:t xml:space="preserve"> Portuguesa de 1976. </w:t>
      </w:r>
      <w:r>
        <w:rPr>
          <w:rFonts w:cs="Times New Roman"/>
        </w:rPr>
        <w:t xml:space="preserve"> </w:t>
      </w:r>
    </w:p>
    <w:p w14:paraId="0BB458EF" w14:textId="1A8AFC2C" w:rsidR="00A618B3" w:rsidRPr="00DD3029" w:rsidRDefault="006003A8" w:rsidP="00193467">
      <w:pPr>
        <w:pStyle w:val="Ttulo2"/>
        <w:numPr>
          <w:ilvl w:val="1"/>
          <w:numId w:val="2"/>
        </w:numPr>
        <w:spacing w:before="360" w:after="240" w:line="360" w:lineRule="auto"/>
        <w:ind w:left="1077"/>
      </w:pPr>
      <w:bookmarkStart w:id="45" w:name="_Toc37792561"/>
      <w:bookmarkStart w:id="46" w:name="_Toc66624201"/>
      <w:r>
        <w:t xml:space="preserve">Composição das </w:t>
      </w:r>
      <w:r w:rsidR="00AA641F">
        <w:t>a</w:t>
      </w:r>
      <w:r>
        <w:t xml:space="preserve">utarquias </w:t>
      </w:r>
      <w:r w:rsidR="00AA641F">
        <w:t>l</w:t>
      </w:r>
      <w:r>
        <w:t>ocais</w:t>
      </w:r>
      <w:bookmarkEnd w:id="45"/>
      <w:bookmarkEnd w:id="46"/>
    </w:p>
    <w:p w14:paraId="20C47E40" w14:textId="285A6A08" w:rsidR="00A618B3" w:rsidRPr="009F354A" w:rsidRDefault="00A618B3" w:rsidP="00A618B3">
      <w:pPr>
        <w:spacing w:line="360" w:lineRule="auto"/>
        <w:jc w:val="both"/>
        <w:rPr>
          <w:rFonts w:cs="Times New Roman"/>
        </w:rPr>
      </w:pPr>
      <w:r w:rsidRPr="009F354A">
        <w:rPr>
          <w:rFonts w:cs="Times New Roman"/>
        </w:rPr>
        <w:t xml:space="preserve">Ao longo dos anos o território, atribuições e competências, finanças e atividade empresarial pertencentes ao núcleo do estatuto das autarquias locais foram objeto de rápidas e radicais </w:t>
      </w:r>
      <w:r w:rsidR="000A3876" w:rsidRPr="009F354A">
        <w:rPr>
          <w:rFonts w:cs="Times New Roman"/>
        </w:rPr>
        <w:t>transformações,</w:t>
      </w:r>
      <w:r w:rsidRPr="009F354A">
        <w:rPr>
          <w:rFonts w:cs="Times New Roman"/>
        </w:rPr>
        <w:t xml:space="preserve"> mas, segundo Rocha e Silva (2017), o verdadeiro alcance só será compreendido daqui a alguns anos. Todavia, os mesmos autores, referem uma data que marca todas estas alterações, 17 de maio de 2011. Nesta data, o Estado português celebra um acordo </w:t>
      </w:r>
      <w:r>
        <w:rPr>
          <w:rFonts w:cs="Times New Roman"/>
        </w:rPr>
        <w:t>in</w:t>
      </w:r>
      <w:r w:rsidRPr="009F354A">
        <w:rPr>
          <w:rFonts w:cs="Times New Roman"/>
        </w:rPr>
        <w:t xml:space="preserve">titulado de </w:t>
      </w:r>
      <w:r w:rsidR="00926FD5">
        <w:rPr>
          <w:rFonts w:cs="Times New Roman"/>
        </w:rPr>
        <w:t>«</w:t>
      </w:r>
      <w:r w:rsidRPr="009F354A">
        <w:rPr>
          <w:rFonts w:cs="Times New Roman"/>
        </w:rPr>
        <w:t xml:space="preserve">Memorando de Entendimento sobre as Condicionalidades de </w:t>
      </w:r>
      <w:r>
        <w:rPr>
          <w:rFonts w:cs="Times New Roman"/>
        </w:rPr>
        <w:t>Política</w:t>
      </w:r>
      <w:r w:rsidRPr="009F354A">
        <w:rPr>
          <w:rFonts w:cs="Times New Roman"/>
        </w:rPr>
        <w:t xml:space="preserve"> Econ</w:t>
      </w:r>
      <w:r>
        <w:rPr>
          <w:rFonts w:cs="Times New Roman"/>
        </w:rPr>
        <w:t>ómic</w:t>
      </w:r>
      <w:r w:rsidRPr="009F354A">
        <w:rPr>
          <w:rFonts w:cs="Times New Roman"/>
        </w:rPr>
        <w:t>a</w:t>
      </w:r>
      <w:r w:rsidR="00926FD5">
        <w:rPr>
          <w:rFonts w:cs="Times New Roman"/>
        </w:rPr>
        <w:t>»</w:t>
      </w:r>
      <w:r w:rsidRPr="009F354A">
        <w:rPr>
          <w:rFonts w:cs="Times New Roman"/>
        </w:rPr>
        <w:t xml:space="preserve"> com o </w:t>
      </w:r>
      <w:r w:rsidRPr="00E3007D">
        <w:rPr>
          <w:rFonts w:cs="Times New Roman"/>
        </w:rPr>
        <w:t>FMI</w:t>
      </w:r>
      <w:r w:rsidRPr="009F354A">
        <w:rPr>
          <w:rFonts w:cs="Times New Roman"/>
        </w:rPr>
        <w:t>, a Comissão Europeia</w:t>
      </w:r>
      <w:r>
        <w:rPr>
          <w:rFonts w:cs="Times New Roman"/>
        </w:rPr>
        <w:t xml:space="preserve"> (CE)</w:t>
      </w:r>
      <w:r w:rsidRPr="009F354A">
        <w:rPr>
          <w:rFonts w:cs="Times New Roman"/>
        </w:rPr>
        <w:t xml:space="preserve"> e o Banco Central Europeu</w:t>
      </w:r>
      <w:r>
        <w:rPr>
          <w:rFonts w:cs="Times New Roman"/>
        </w:rPr>
        <w:t xml:space="preserve"> (BCE)</w:t>
      </w:r>
      <w:r w:rsidRPr="009F354A">
        <w:rPr>
          <w:rFonts w:cs="Times New Roman"/>
        </w:rPr>
        <w:t xml:space="preserve"> resultante de um Programa de Assistência Económica e Financeira. Relativamente à administração local</w:t>
      </w:r>
      <w:r>
        <w:rPr>
          <w:rFonts w:cs="Times New Roman"/>
        </w:rPr>
        <w:t>, de acordo com o descrito no mesmo memorando na página 9,</w:t>
      </w:r>
      <w:r w:rsidRPr="009F354A">
        <w:rPr>
          <w:rFonts w:cs="Times New Roman"/>
        </w:rPr>
        <w:t xml:space="preserve"> o Estado compromete-se a:</w:t>
      </w:r>
    </w:p>
    <w:p w14:paraId="2D2C2449" w14:textId="77777777" w:rsidR="00A618B3" w:rsidRPr="0044606E" w:rsidRDefault="00A618B3" w:rsidP="0044606E">
      <w:pPr>
        <w:spacing w:line="360" w:lineRule="auto"/>
        <w:ind w:left="567" w:right="567"/>
        <w:jc w:val="both"/>
        <w:rPr>
          <w:rFonts w:cs="Times New Roman"/>
          <w:sz w:val="22"/>
        </w:rPr>
      </w:pPr>
      <w:r w:rsidRPr="0044606E">
        <w:rPr>
          <w:rFonts w:cs="Times New Roman"/>
          <w:sz w:val="22"/>
        </w:rPr>
        <w:t xml:space="preserve">Reorganizar a estrutura da administração local. Existem atualmente 308 Municípios e 4259 freguesias. Até julho de 2012, o governo desenvolverá um plano de consolidação para reorganizar e reduzir significativamente o número destas entidades. O governo implementará estes planos baseado num acordo com a CE e o FMI. Estas alterações, que deverão entrar em vigor no próximo ciclo eleitoral local, reforçarão a prestação de serviço público, aumentarão a eficácia e reduzirão custos. </w:t>
      </w:r>
    </w:p>
    <w:p w14:paraId="1178BF7E" w14:textId="2FA2745F" w:rsidR="00A618B3" w:rsidRPr="009F354A" w:rsidRDefault="00A618B3" w:rsidP="00A618B3">
      <w:pPr>
        <w:spacing w:line="360" w:lineRule="auto"/>
        <w:jc w:val="both"/>
        <w:rPr>
          <w:rFonts w:cs="Times New Roman"/>
        </w:rPr>
      </w:pPr>
      <w:r w:rsidRPr="009F354A">
        <w:rPr>
          <w:rFonts w:cs="Times New Roman"/>
        </w:rPr>
        <w:t xml:space="preserve">Com este acordo, o Estado português assume a obrigação de proceder a uma significativa alteração do seu mapa territorial local apresentando como consequência desta ação uma diminuição do </w:t>
      </w:r>
      <w:r w:rsidR="00926848" w:rsidRPr="009F354A">
        <w:rPr>
          <w:rFonts w:cs="Times New Roman"/>
        </w:rPr>
        <w:t>número</w:t>
      </w:r>
      <w:r w:rsidRPr="009F354A">
        <w:rPr>
          <w:rFonts w:cs="Times New Roman"/>
        </w:rPr>
        <w:t xml:space="preserve"> de entidades locais, </w:t>
      </w:r>
      <w:r w:rsidR="003D0958">
        <w:rPr>
          <w:rFonts w:cs="Times New Roman"/>
        </w:rPr>
        <w:t xml:space="preserve">o </w:t>
      </w:r>
      <w:r w:rsidRPr="009F354A">
        <w:rPr>
          <w:rFonts w:cs="Times New Roman"/>
        </w:rPr>
        <w:t>reforç</w:t>
      </w:r>
      <w:r w:rsidR="003D0958">
        <w:rPr>
          <w:rFonts w:cs="Times New Roman"/>
        </w:rPr>
        <w:t>o</w:t>
      </w:r>
      <w:r w:rsidRPr="009F354A">
        <w:rPr>
          <w:rFonts w:cs="Times New Roman"/>
        </w:rPr>
        <w:t xml:space="preserve"> </w:t>
      </w:r>
      <w:r w:rsidR="003D0958">
        <w:rPr>
          <w:rFonts w:cs="Times New Roman"/>
        </w:rPr>
        <w:t>d</w:t>
      </w:r>
      <w:r w:rsidRPr="009F354A">
        <w:rPr>
          <w:rFonts w:cs="Times New Roman"/>
        </w:rPr>
        <w:t>a qualidade da prestação do serviço p</w:t>
      </w:r>
      <w:r>
        <w:rPr>
          <w:rFonts w:cs="Times New Roman"/>
        </w:rPr>
        <w:t>ú</w:t>
      </w:r>
      <w:r w:rsidRPr="009F354A">
        <w:rPr>
          <w:rFonts w:cs="Times New Roman"/>
        </w:rPr>
        <w:t>blico, o aumento da sua eficácia e, por fim, uma redução dos seus custos.</w:t>
      </w:r>
    </w:p>
    <w:p w14:paraId="6056F660" w14:textId="1918388F" w:rsidR="00A618B3" w:rsidRPr="009F354A" w:rsidRDefault="00A618B3" w:rsidP="00A618B3">
      <w:pPr>
        <w:spacing w:line="360" w:lineRule="auto"/>
        <w:jc w:val="both"/>
        <w:rPr>
          <w:rFonts w:cs="Times New Roman"/>
        </w:rPr>
      </w:pPr>
      <w:r>
        <w:rPr>
          <w:rFonts w:cs="Times New Roman"/>
        </w:rPr>
        <w:t xml:space="preserve">No número 1 do artigo 6º previsto na </w:t>
      </w:r>
      <w:r w:rsidR="00165001" w:rsidRPr="006C1C74">
        <w:rPr>
          <w:rFonts w:cs="Times New Roman"/>
          <w:szCs w:val="24"/>
        </w:rPr>
        <w:t>Constituição</w:t>
      </w:r>
      <w:r w:rsidR="00165001">
        <w:rPr>
          <w:rFonts w:cs="Times New Roman"/>
          <w:szCs w:val="24"/>
        </w:rPr>
        <w:t xml:space="preserve"> da República Portuguesa</w:t>
      </w:r>
      <w:r w:rsidR="00165001" w:rsidRPr="009F354A">
        <w:rPr>
          <w:rFonts w:cs="Times New Roman"/>
        </w:rPr>
        <w:t xml:space="preserve"> </w:t>
      </w:r>
      <w:r w:rsidR="00165001">
        <w:rPr>
          <w:rFonts w:cs="Times New Roman"/>
        </w:rPr>
        <w:t>(</w:t>
      </w:r>
      <w:r w:rsidRPr="009F354A">
        <w:rPr>
          <w:rFonts w:cs="Times New Roman"/>
        </w:rPr>
        <w:t>CRP</w:t>
      </w:r>
      <w:r w:rsidR="00165001">
        <w:rPr>
          <w:rFonts w:cs="Times New Roman"/>
        </w:rPr>
        <w:t>)</w:t>
      </w:r>
      <w:r w:rsidRPr="009F354A">
        <w:rPr>
          <w:rFonts w:cs="Times New Roman"/>
        </w:rPr>
        <w:t xml:space="preserve"> é enunciado o princípio geral e quatro princípios de âmbito específico onde está enquadrada a autonomia local: </w:t>
      </w:r>
      <w:r w:rsidR="00926FD5">
        <w:rPr>
          <w:rFonts w:cs="Times New Roman"/>
        </w:rPr>
        <w:t>«</w:t>
      </w:r>
      <w:r w:rsidRPr="009F354A">
        <w:rPr>
          <w:rFonts w:cs="Times New Roman"/>
        </w:rPr>
        <w:t xml:space="preserve">o Estado é unitário e respeita na sua organização e funcionamento o regime autonómico insular e os princípios da subsidiariedade, da autonomia das autarquias locais e da descentralização democrática da </w:t>
      </w:r>
      <w:r w:rsidR="00F338BB">
        <w:rPr>
          <w:rFonts w:cs="Times New Roman"/>
        </w:rPr>
        <w:t>a</w:t>
      </w:r>
      <w:r w:rsidR="00A35C92">
        <w:rPr>
          <w:rFonts w:cs="Times New Roman"/>
        </w:rPr>
        <w:t xml:space="preserve">dministração </w:t>
      </w:r>
      <w:r w:rsidR="00F338BB">
        <w:rPr>
          <w:rFonts w:cs="Times New Roman"/>
        </w:rPr>
        <w:t>p</w:t>
      </w:r>
      <w:r w:rsidR="00A35C92">
        <w:rPr>
          <w:rFonts w:cs="Times New Roman"/>
        </w:rPr>
        <w:t>ública</w:t>
      </w:r>
      <w:r w:rsidR="00926FD5">
        <w:rPr>
          <w:rFonts w:cs="Times New Roman"/>
        </w:rPr>
        <w:t>»</w:t>
      </w:r>
      <w:r>
        <w:rPr>
          <w:rFonts w:cs="Times New Roman"/>
        </w:rPr>
        <w:t xml:space="preserve">. </w:t>
      </w:r>
      <w:r w:rsidRPr="009F354A">
        <w:rPr>
          <w:rFonts w:cs="Times New Roman"/>
        </w:rPr>
        <w:t xml:space="preserve">A autonomia local assume, então, a forma de garantia institucional na medida em que cabe ao legislador ordinário a preservação do </w:t>
      </w:r>
      <w:r w:rsidRPr="009F354A">
        <w:rPr>
          <w:rFonts w:cs="Times New Roman"/>
        </w:rPr>
        <w:lastRenderedPageBreak/>
        <w:t xml:space="preserve">núcleo essencial das autarquias locais, sendo ele, o território, a população, as atribuições, as competências, as finanças e o pessoal de forma a não colocar em causa a subsistência das entidades locais bem como a perceção social que a comunidade tem destas mesmas entidades. </w:t>
      </w:r>
    </w:p>
    <w:p w14:paraId="0336A429" w14:textId="472682AF" w:rsidR="00A618B3" w:rsidRPr="009F354A" w:rsidRDefault="00A618B3" w:rsidP="00A618B3">
      <w:pPr>
        <w:spacing w:line="360" w:lineRule="auto"/>
        <w:jc w:val="both"/>
        <w:rPr>
          <w:rFonts w:cs="Times New Roman"/>
        </w:rPr>
      </w:pPr>
      <w:r w:rsidRPr="009F354A">
        <w:rPr>
          <w:rFonts w:cs="Times New Roman"/>
        </w:rPr>
        <w:t xml:space="preserve">O tema </w:t>
      </w:r>
      <w:r w:rsidR="00607473">
        <w:rPr>
          <w:rFonts w:cs="Times New Roman"/>
        </w:rPr>
        <w:t xml:space="preserve">das </w:t>
      </w:r>
      <w:r w:rsidRPr="009F354A">
        <w:rPr>
          <w:rFonts w:cs="Times New Roman"/>
        </w:rPr>
        <w:t>autarquias locais está, então</w:t>
      </w:r>
      <w:r w:rsidR="00607473">
        <w:rPr>
          <w:rFonts w:cs="Times New Roman"/>
        </w:rPr>
        <w:t>,</w:t>
      </w:r>
      <w:r w:rsidRPr="009F354A">
        <w:rPr>
          <w:rFonts w:cs="Times New Roman"/>
        </w:rPr>
        <w:t xml:space="preserve"> previsto no artigo 235º da CRP. No mesmo artigo no seu número 1 refere que a </w:t>
      </w:r>
      <w:r w:rsidR="00926FD5">
        <w:rPr>
          <w:rFonts w:cs="Times New Roman"/>
        </w:rPr>
        <w:t>«</w:t>
      </w:r>
      <w:r w:rsidRPr="009F354A">
        <w:rPr>
          <w:rFonts w:cs="Times New Roman"/>
        </w:rPr>
        <w:t>organização democrática do Estado compreende a existência de autarquias locais</w:t>
      </w:r>
      <w:r w:rsidR="00926FD5">
        <w:rPr>
          <w:rFonts w:cs="Times New Roman"/>
        </w:rPr>
        <w:t>»</w:t>
      </w:r>
      <w:r w:rsidRPr="009F354A">
        <w:rPr>
          <w:rFonts w:cs="Times New Roman"/>
        </w:rPr>
        <w:t xml:space="preserve"> acrescentando no número 2 que </w:t>
      </w:r>
      <w:r w:rsidR="00926FD5">
        <w:rPr>
          <w:rFonts w:cs="Times New Roman"/>
        </w:rPr>
        <w:t>«</w:t>
      </w:r>
      <w:r w:rsidRPr="009F354A">
        <w:rPr>
          <w:rFonts w:cs="Times New Roman"/>
        </w:rPr>
        <w:t>as autarquias locais são pessoas coletivas territoriais dotadas de órgãos representativos, que visam a prossecução de interesses próprios das populações respetivas</w:t>
      </w:r>
      <w:r w:rsidR="00926FD5">
        <w:rPr>
          <w:rFonts w:cs="Times New Roman"/>
        </w:rPr>
        <w:t>»</w:t>
      </w:r>
      <w:r w:rsidRPr="009F354A">
        <w:rPr>
          <w:rFonts w:cs="Times New Roman"/>
        </w:rPr>
        <w:t>. Sendo essas pessoas coletivas as freguesias, os municípios e as regiões administrativas (artigo 236º nº1 CRP). De salientar que Portugal comparando com o</w:t>
      </w:r>
      <w:r w:rsidR="00942783">
        <w:rPr>
          <w:rFonts w:cs="Times New Roman"/>
        </w:rPr>
        <w:t>utros países com</w:t>
      </w:r>
      <w:r w:rsidRPr="009F354A">
        <w:rPr>
          <w:rFonts w:cs="Times New Roman"/>
        </w:rPr>
        <w:t xml:space="preserve"> direito e experi</w:t>
      </w:r>
      <w:r>
        <w:rPr>
          <w:rFonts w:cs="Times New Roman"/>
        </w:rPr>
        <w:t>ê</w:t>
      </w:r>
      <w:r w:rsidRPr="009F354A">
        <w:rPr>
          <w:rFonts w:cs="Times New Roman"/>
        </w:rPr>
        <w:t>ncias jurídico-administrativas semelhantes, é o único que acolhe este tip</w:t>
      </w:r>
      <w:r>
        <w:rPr>
          <w:rFonts w:cs="Times New Roman"/>
        </w:rPr>
        <w:t>o de autarquia local com a denominação de freguesia.</w:t>
      </w:r>
      <w:r w:rsidRPr="009F354A">
        <w:rPr>
          <w:rFonts w:cs="Times New Roman"/>
        </w:rPr>
        <w:t xml:space="preserve"> </w:t>
      </w:r>
    </w:p>
    <w:p w14:paraId="62445FDB" w14:textId="05261114" w:rsidR="00A618B3" w:rsidRPr="009F354A" w:rsidRDefault="00A618B3" w:rsidP="00A618B3">
      <w:pPr>
        <w:spacing w:line="360" w:lineRule="auto"/>
        <w:jc w:val="both"/>
        <w:rPr>
          <w:rFonts w:cs="Times New Roman"/>
        </w:rPr>
      </w:pPr>
      <w:r w:rsidRPr="009F354A">
        <w:rPr>
          <w:rFonts w:cs="Times New Roman"/>
        </w:rPr>
        <w:t xml:space="preserve">Tudo o que foi enunciado anteriormente leva-nos à conclusão </w:t>
      </w:r>
      <w:r w:rsidR="00B903CF" w:rsidRPr="009F354A">
        <w:rPr>
          <w:rFonts w:cs="Times New Roman"/>
        </w:rPr>
        <w:t>de que</w:t>
      </w:r>
      <w:r w:rsidRPr="009F354A">
        <w:rPr>
          <w:rFonts w:cs="Times New Roman"/>
        </w:rPr>
        <w:t xml:space="preserve"> apenas esta figura de autarquia local (freguesia) sofreu uma alteração com a implementação do acordo já referido. Isto é, o número de freguesias reduziu-se </w:t>
      </w:r>
      <w:r w:rsidR="000D7569">
        <w:rPr>
          <w:rFonts w:cs="Times New Roman"/>
        </w:rPr>
        <w:t xml:space="preserve">de 4259 para </w:t>
      </w:r>
      <w:r w:rsidR="000D7569" w:rsidRPr="009F354A">
        <w:rPr>
          <w:rFonts w:cs="Times New Roman"/>
        </w:rPr>
        <w:t>3092</w:t>
      </w:r>
      <w:r w:rsidRPr="009F354A">
        <w:rPr>
          <w:rFonts w:cs="Times New Roman"/>
        </w:rPr>
        <w:t xml:space="preserve"> freguesias</w:t>
      </w:r>
      <w:r w:rsidR="000D7569">
        <w:rPr>
          <w:rFonts w:cs="Times New Roman"/>
        </w:rPr>
        <w:t xml:space="preserve">. </w:t>
      </w:r>
      <w:r w:rsidRPr="009F354A">
        <w:rPr>
          <w:rFonts w:cs="Times New Roman"/>
        </w:rPr>
        <w:t xml:space="preserve">Contudo, relativamente aos municípios, o nosso foco central, este não sofreu nenhuma alteração, mantendo-se o número de 308 municípios. </w:t>
      </w:r>
    </w:p>
    <w:p w14:paraId="741E3FC8" w14:textId="10D340B6" w:rsidR="00A618B3" w:rsidRPr="009F354A" w:rsidRDefault="00A618B3" w:rsidP="00A618B3">
      <w:pPr>
        <w:spacing w:line="360" w:lineRule="auto"/>
        <w:jc w:val="both"/>
        <w:rPr>
          <w:rFonts w:cs="Times New Roman"/>
        </w:rPr>
      </w:pPr>
      <w:r w:rsidRPr="009F354A">
        <w:rPr>
          <w:rFonts w:cs="Times New Roman"/>
        </w:rPr>
        <w:t>Deste modo, focando</w:t>
      </w:r>
      <w:r w:rsidR="006F6DD7">
        <w:rPr>
          <w:rFonts w:cs="Times New Roman"/>
        </w:rPr>
        <w:t>-se</w:t>
      </w:r>
      <w:r w:rsidRPr="009F354A">
        <w:rPr>
          <w:rFonts w:cs="Times New Roman"/>
        </w:rPr>
        <w:t xml:space="preserve"> nos municípios, estes estão previstos no </w:t>
      </w:r>
      <w:r w:rsidR="000A3876" w:rsidRPr="009F354A">
        <w:rPr>
          <w:rFonts w:cs="Times New Roman"/>
        </w:rPr>
        <w:t>Capítulo</w:t>
      </w:r>
      <w:r w:rsidRPr="009F354A">
        <w:rPr>
          <w:rFonts w:cs="Times New Roman"/>
        </w:rPr>
        <w:t xml:space="preserve"> III da CRP. O artigo 250º enuncia que os </w:t>
      </w:r>
      <w:r w:rsidR="00926FD5">
        <w:rPr>
          <w:rFonts w:cs="Times New Roman"/>
        </w:rPr>
        <w:t>«</w:t>
      </w:r>
      <w:r w:rsidRPr="009F354A">
        <w:rPr>
          <w:rFonts w:cs="Times New Roman"/>
        </w:rPr>
        <w:t>órgãos representativos do município são a assembleia municipal e a câmara municipal</w:t>
      </w:r>
      <w:r w:rsidR="00926FD5">
        <w:rPr>
          <w:rFonts w:cs="Times New Roman"/>
        </w:rPr>
        <w:t>»</w:t>
      </w:r>
      <w:r w:rsidRPr="009F354A">
        <w:rPr>
          <w:rFonts w:cs="Times New Roman"/>
        </w:rPr>
        <w:t xml:space="preserve">, estabelecendo que a assembleia municipal toma o papel de órgão deliberativo sendo constituído por membros eleitos de forma direta num número superior ao dos presidentes de junta de freguesia que a integram (artigo 251º CRP). Por outro lado, </w:t>
      </w:r>
      <w:r w:rsidR="00EF6F9D">
        <w:rPr>
          <w:rFonts w:cs="Times New Roman"/>
        </w:rPr>
        <w:t xml:space="preserve">a </w:t>
      </w:r>
      <w:r w:rsidR="00926FD5">
        <w:rPr>
          <w:rFonts w:cs="Times New Roman"/>
        </w:rPr>
        <w:t>«</w:t>
      </w:r>
      <w:r w:rsidRPr="009F354A">
        <w:rPr>
          <w:rFonts w:cs="Times New Roman"/>
        </w:rPr>
        <w:t>câmara municipal é o órgão executivo colegial do município</w:t>
      </w:r>
      <w:r w:rsidR="00926FD5">
        <w:rPr>
          <w:rFonts w:cs="Times New Roman"/>
        </w:rPr>
        <w:t>»</w:t>
      </w:r>
      <w:r w:rsidRPr="009F354A">
        <w:rPr>
          <w:rFonts w:cs="Times New Roman"/>
        </w:rPr>
        <w:t xml:space="preserve">.  </w:t>
      </w:r>
    </w:p>
    <w:p w14:paraId="56700A87" w14:textId="59D079AB" w:rsidR="001732F0" w:rsidRPr="001732F0" w:rsidRDefault="00A618B3" w:rsidP="001732F0">
      <w:pPr>
        <w:spacing w:line="360" w:lineRule="auto"/>
        <w:jc w:val="both"/>
        <w:rPr>
          <w:rFonts w:cs="Times New Roman"/>
        </w:rPr>
      </w:pPr>
      <w:r w:rsidRPr="009F354A">
        <w:rPr>
          <w:rFonts w:cs="Times New Roman"/>
        </w:rPr>
        <w:t xml:space="preserve">Em modo conclusivo, o território português é constituído por 18 distritos que se subdividem em 308 municípios e </w:t>
      </w:r>
      <w:r w:rsidR="004D1F2C">
        <w:rPr>
          <w:rFonts w:cs="Times New Roman"/>
        </w:rPr>
        <w:t>309</w:t>
      </w:r>
      <w:r w:rsidR="000D7569">
        <w:rPr>
          <w:rFonts w:cs="Times New Roman"/>
        </w:rPr>
        <w:t xml:space="preserve">2 </w:t>
      </w:r>
      <w:r w:rsidRPr="009F354A">
        <w:rPr>
          <w:rFonts w:cs="Times New Roman"/>
        </w:rPr>
        <w:t>freguesias. Dos 308 municípios, 278 estão situados no continente, 11 na região da Madeira e 19 na região dos Açores.</w:t>
      </w:r>
    </w:p>
    <w:p w14:paraId="5287CA20" w14:textId="549E268D" w:rsidR="00CC011A" w:rsidRDefault="00CC011A" w:rsidP="00193467">
      <w:pPr>
        <w:pStyle w:val="Ttulo2"/>
        <w:numPr>
          <w:ilvl w:val="1"/>
          <w:numId w:val="2"/>
        </w:numPr>
        <w:spacing w:before="360" w:after="240" w:line="360" w:lineRule="auto"/>
        <w:ind w:left="1077"/>
      </w:pPr>
      <w:bookmarkStart w:id="47" w:name="_Toc37792562"/>
      <w:bookmarkStart w:id="48" w:name="_Toc66624202"/>
      <w:r w:rsidRPr="00FE6B94">
        <w:lastRenderedPageBreak/>
        <w:t xml:space="preserve">Índice de </w:t>
      </w:r>
      <w:r w:rsidR="00AA641F">
        <w:t>t</w:t>
      </w:r>
      <w:r w:rsidRPr="00FE6B94">
        <w:t xml:space="preserve">ransparência </w:t>
      </w:r>
      <w:r w:rsidR="00AA641F">
        <w:t>m</w:t>
      </w:r>
      <w:r w:rsidRPr="00FE6B94">
        <w:t>unicipal</w:t>
      </w:r>
      <w:bookmarkEnd w:id="47"/>
      <w:bookmarkEnd w:id="48"/>
    </w:p>
    <w:p w14:paraId="38E4EA4F" w14:textId="0616C498" w:rsidR="00114A3F" w:rsidRPr="0054104E" w:rsidRDefault="00CC011A" w:rsidP="00193467">
      <w:pPr>
        <w:pStyle w:val="Ttulo2"/>
        <w:numPr>
          <w:ilvl w:val="2"/>
          <w:numId w:val="2"/>
        </w:numPr>
        <w:spacing w:before="240" w:after="240" w:line="360" w:lineRule="auto"/>
        <w:rPr>
          <w:sz w:val="24"/>
        </w:rPr>
      </w:pPr>
      <w:bookmarkStart w:id="49" w:name="_Toc37792563"/>
      <w:bookmarkStart w:id="50" w:name="_Toc66624203"/>
      <w:r w:rsidRPr="0054104E">
        <w:rPr>
          <w:sz w:val="24"/>
        </w:rPr>
        <w:t xml:space="preserve">Fórmula de cálculo do índice de </w:t>
      </w:r>
      <w:r w:rsidR="00AA641F">
        <w:rPr>
          <w:sz w:val="24"/>
        </w:rPr>
        <w:t>t</w:t>
      </w:r>
      <w:r w:rsidRPr="0054104E">
        <w:rPr>
          <w:sz w:val="24"/>
        </w:rPr>
        <w:t xml:space="preserve">ransparência </w:t>
      </w:r>
      <w:r w:rsidR="00AA641F">
        <w:rPr>
          <w:sz w:val="24"/>
        </w:rPr>
        <w:t>m</w:t>
      </w:r>
      <w:r w:rsidRPr="0054104E">
        <w:rPr>
          <w:sz w:val="24"/>
        </w:rPr>
        <w:t>unicipal</w:t>
      </w:r>
      <w:bookmarkEnd w:id="49"/>
      <w:bookmarkEnd w:id="50"/>
    </w:p>
    <w:p w14:paraId="39836B3C" w14:textId="77777777" w:rsidR="00E054BB" w:rsidRDefault="00CC011A" w:rsidP="00CC011A">
      <w:pPr>
        <w:spacing w:line="360" w:lineRule="auto"/>
        <w:jc w:val="both"/>
        <w:rPr>
          <w:rFonts w:cs="Times New Roman"/>
          <w:szCs w:val="24"/>
        </w:rPr>
      </w:pPr>
      <w:bookmarkStart w:id="51" w:name="_Hlk56247458"/>
      <w:r w:rsidRPr="00114A3F">
        <w:rPr>
          <w:rFonts w:cs="Times New Roman"/>
          <w:szCs w:val="24"/>
        </w:rPr>
        <w:t>O ITM foi desenvolvido</w:t>
      </w:r>
      <w:r w:rsidR="00281615" w:rsidRPr="00114A3F">
        <w:rPr>
          <w:rFonts w:cs="Times New Roman"/>
          <w:szCs w:val="24"/>
        </w:rPr>
        <w:t>, em Portugal,</w:t>
      </w:r>
      <w:r w:rsidRPr="00114A3F">
        <w:rPr>
          <w:rFonts w:cs="Times New Roman"/>
          <w:szCs w:val="24"/>
        </w:rPr>
        <w:t xml:space="preserve"> pela TIAC com o intuito de providenciar</w:t>
      </w:r>
      <w:r w:rsidR="00D67FB6">
        <w:rPr>
          <w:rFonts w:cs="Times New Roman"/>
          <w:szCs w:val="24"/>
        </w:rPr>
        <w:t>,</w:t>
      </w:r>
      <w:r w:rsidRPr="00114A3F">
        <w:rPr>
          <w:rFonts w:cs="Times New Roman"/>
          <w:szCs w:val="24"/>
        </w:rPr>
        <w:t xml:space="preserve"> aos cidadãos e decisores</w:t>
      </w:r>
      <w:r w:rsidR="00D67FB6">
        <w:rPr>
          <w:rFonts w:cs="Times New Roman"/>
          <w:szCs w:val="24"/>
        </w:rPr>
        <w:t>,</w:t>
      </w:r>
      <w:r w:rsidRPr="00114A3F">
        <w:rPr>
          <w:rFonts w:cs="Times New Roman"/>
          <w:szCs w:val="24"/>
        </w:rPr>
        <w:t xml:space="preserve"> graus de transparência do seu município usando uma análise de informações disponibilizadas pelas Câmaras Municipais através dos seus </w:t>
      </w:r>
      <w:r w:rsidRPr="00114A3F">
        <w:rPr>
          <w:rFonts w:cs="Times New Roman"/>
          <w:i/>
          <w:szCs w:val="24"/>
        </w:rPr>
        <w:t>websites</w:t>
      </w:r>
      <w:r w:rsidRPr="00114A3F">
        <w:rPr>
          <w:rFonts w:cs="Times New Roman"/>
          <w:szCs w:val="24"/>
        </w:rPr>
        <w:t>.</w:t>
      </w:r>
      <w:bookmarkEnd w:id="51"/>
      <w:r w:rsidR="00E054BB">
        <w:rPr>
          <w:rFonts w:cs="Times New Roman"/>
          <w:szCs w:val="24"/>
        </w:rPr>
        <w:t xml:space="preserve"> </w:t>
      </w:r>
    </w:p>
    <w:p w14:paraId="524C62D4" w14:textId="4C6428F0" w:rsidR="00CC011A" w:rsidRPr="005A564D" w:rsidRDefault="00CC011A" w:rsidP="00CC011A">
      <w:pPr>
        <w:spacing w:line="360" w:lineRule="auto"/>
        <w:jc w:val="both"/>
        <w:rPr>
          <w:rFonts w:cs="Times New Roman"/>
          <w:szCs w:val="24"/>
        </w:rPr>
      </w:pPr>
      <w:r w:rsidRPr="005A564D">
        <w:rPr>
          <w:rFonts w:cs="Times New Roman"/>
          <w:szCs w:val="24"/>
        </w:rPr>
        <w:t>E</w:t>
      </w:r>
      <w:r w:rsidR="00281615">
        <w:rPr>
          <w:rFonts w:cs="Times New Roman"/>
          <w:szCs w:val="24"/>
        </w:rPr>
        <w:t xml:space="preserve">ste ITM é divulgado pela TIAC </w:t>
      </w:r>
      <w:r w:rsidRPr="005A564D">
        <w:rPr>
          <w:rFonts w:cs="Times New Roman"/>
          <w:szCs w:val="24"/>
        </w:rPr>
        <w:t>e tem como objetivo criar rankings municipais incentivando e pressionando os municípios a melhorarem as suas ferramentas de comunicação e interação com os cidadãos.</w:t>
      </w:r>
    </w:p>
    <w:p w14:paraId="57782D77" w14:textId="62C37792" w:rsidR="00CC011A" w:rsidRPr="005A564D" w:rsidRDefault="00114A3F" w:rsidP="00CC011A">
      <w:pPr>
        <w:spacing w:line="360" w:lineRule="auto"/>
        <w:jc w:val="both"/>
        <w:rPr>
          <w:rFonts w:cs="Times New Roman"/>
          <w:szCs w:val="24"/>
        </w:rPr>
      </w:pPr>
      <w:r>
        <w:rPr>
          <w:rFonts w:cs="Times New Roman"/>
          <w:szCs w:val="24"/>
        </w:rPr>
        <w:t>O</w:t>
      </w:r>
      <w:r w:rsidR="00CC011A" w:rsidRPr="005A564D">
        <w:rPr>
          <w:rFonts w:cs="Times New Roman"/>
          <w:szCs w:val="24"/>
        </w:rPr>
        <w:t xml:space="preserve"> cálculo do índice é feito através da análise de indicadores, mais propriamente, 76 indicadores que se encontram agrupados em 7 dimensões. </w:t>
      </w:r>
    </w:p>
    <w:p w14:paraId="38750EE4" w14:textId="77777777" w:rsidR="00CC011A" w:rsidRPr="005A564D" w:rsidRDefault="00CC011A" w:rsidP="00CC011A">
      <w:pPr>
        <w:spacing w:line="360" w:lineRule="auto"/>
        <w:jc w:val="both"/>
        <w:rPr>
          <w:rFonts w:cs="Times New Roman"/>
          <w:szCs w:val="24"/>
        </w:rPr>
      </w:pPr>
      <w:r w:rsidRPr="005A564D">
        <w:rPr>
          <w:rFonts w:cs="Times New Roman"/>
          <w:szCs w:val="24"/>
        </w:rPr>
        <w:t xml:space="preserve">Segundo a TIAC (2017), as 7 dimensões são: </w:t>
      </w:r>
    </w:p>
    <w:p w14:paraId="7DC90070" w14:textId="77777777" w:rsidR="00CC011A" w:rsidRPr="005A564D" w:rsidRDefault="00CC011A" w:rsidP="00CC011A">
      <w:pPr>
        <w:pStyle w:val="PargrafodaLista"/>
        <w:numPr>
          <w:ilvl w:val="0"/>
          <w:numId w:val="1"/>
        </w:numPr>
        <w:spacing w:line="360" w:lineRule="auto"/>
        <w:jc w:val="both"/>
        <w:rPr>
          <w:rFonts w:cs="Times New Roman"/>
          <w:szCs w:val="24"/>
        </w:rPr>
      </w:pPr>
      <w:r w:rsidRPr="005A564D">
        <w:rPr>
          <w:rFonts w:cs="Times New Roman"/>
          <w:szCs w:val="24"/>
        </w:rPr>
        <w:t>Informação sobre organização, composição social e funcionamento do município;</w:t>
      </w:r>
    </w:p>
    <w:p w14:paraId="2322D10F" w14:textId="77777777" w:rsidR="00CC011A" w:rsidRPr="005A564D" w:rsidRDefault="00CC011A" w:rsidP="00CC011A">
      <w:pPr>
        <w:pStyle w:val="PargrafodaLista"/>
        <w:numPr>
          <w:ilvl w:val="0"/>
          <w:numId w:val="1"/>
        </w:numPr>
        <w:spacing w:line="360" w:lineRule="auto"/>
        <w:jc w:val="both"/>
        <w:rPr>
          <w:rFonts w:cs="Times New Roman"/>
          <w:szCs w:val="24"/>
        </w:rPr>
      </w:pPr>
      <w:r w:rsidRPr="005A564D">
        <w:rPr>
          <w:rFonts w:cs="Times New Roman"/>
          <w:szCs w:val="24"/>
        </w:rPr>
        <w:t>Planos e Relatórios;</w:t>
      </w:r>
    </w:p>
    <w:p w14:paraId="09BAF668" w14:textId="77777777" w:rsidR="00CC011A" w:rsidRPr="005A564D" w:rsidRDefault="00CC011A" w:rsidP="00CC011A">
      <w:pPr>
        <w:pStyle w:val="PargrafodaLista"/>
        <w:numPr>
          <w:ilvl w:val="0"/>
          <w:numId w:val="1"/>
        </w:numPr>
        <w:spacing w:line="360" w:lineRule="auto"/>
        <w:jc w:val="both"/>
        <w:rPr>
          <w:rFonts w:cs="Times New Roman"/>
          <w:szCs w:val="24"/>
        </w:rPr>
      </w:pPr>
      <w:r w:rsidRPr="005A564D">
        <w:rPr>
          <w:rFonts w:cs="Times New Roman"/>
          <w:szCs w:val="24"/>
        </w:rPr>
        <w:t>Impostos, taxas, tarifas, preços e regulamentos;</w:t>
      </w:r>
    </w:p>
    <w:p w14:paraId="648BB1F8" w14:textId="77777777" w:rsidR="00CC011A" w:rsidRPr="005A564D" w:rsidRDefault="00CC011A" w:rsidP="00CC011A">
      <w:pPr>
        <w:pStyle w:val="PargrafodaLista"/>
        <w:numPr>
          <w:ilvl w:val="0"/>
          <w:numId w:val="1"/>
        </w:numPr>
        <w:spacing w:line="360" w:lineRule="auto"/>
        <w:jc w:val="both"/>
        <w:rPr>
          <w:rFonts w:cs="Times New Roman"/>
          <w:szCs w:val="24"/>
        </w:rPr>
      </w:pPr>
      <w:r w:rsidRPr="005A564D">
        <w:rPr>
          <w:rFonts w:cs="Times New Roman"/>
          <w:szCs w:val="24"/>
        </w:rPr>
        <w:t>Relação com a sociedade;</w:t>
      </w:r>
    </w:p>
    <w:p w14:paraId="5E376E27" w14:textId="77777777" w:rsidR="00CC011A" w:rsidRDefault="00CC011A" w:rsidP="00CC011A">
      <w:pPr>
        <w:pStyle w:val="PargrafodaLista"/>
        <w:numPr>
          <w:ilvl w:val="0"/>
          <w:numId w:val="1"/>
        </w:numPr>
        <w:spacing w:line="360" w:lineRule="auto"/>
        <w:jc w:val="both"/>
        <w:rPr>
          <w:rFonts w:cs="Times New Roman"/>
          <w:szCs w:val="24"/>
        </w:rPr>
      </w:pPr>
      <w:r w:rsidRPr="005A564D">
        <w:rPr>
          <w:rFonts w:cs="Times New Roman"/>
          <w:szCs w:val="24"/>
        </w:rPr>
        <w:t>Contratação Pública;</w:t>
      </w:r>
    </w:p>
    <w:p w14:paraId="0F89C010" w14:textId="4FE460C3" w:rsidR="00CC011A" w:rsidRDefault="00CC011A" w:rsidP="00CC011A">
      <w:pPr>
        <w:pStyle w:val="PargrafodaLista"/>
        <w:numPr>
          <w:ilvl w:val="0"/>
          <w:numId w:val="1"/>
        </w:numPr>
        <w:spacing w:line="360" w:lineRule="auto"/>
        <w:jc w:val="both"/>
        <w:rPr>
          <w:rFonts w:cs="Times New Roman"/>
          <w:szCs w:val="24"/>
        </w:rPr>
      </w:pPr>
      <w:r w:rsidRPr="00F6646C">
        <w:rPr>
          <w:rFonts w:cs="Times New Roman"/>
          <w:szCs w:val="24"/>
        </w:rPr>
        <w:t>Transparência</w:t>
      </w:r>
      <w:r w:rsidRPr="00C21482">
        <w:rPr>
          <w:rFonts w:cs="Times New Roman"/>
          <w:szCs w:val="24"/>
        </w:rPr>
        <w:t xml:space="preserve"> </w:t>
      </w:r>
      <w:r w:rsidR="0072333D">
        <w:rPr>
          <w:rFonts w:cs="Times New Roman"/>
          <w:szCs w:val="24"/>
        </w:rPr>
        <w:t>e</w:t>
      </w:r>
      <w:r w:rsidRPr="00C21482">
        <w:rPr>
          <w:rFonts w:cs="Times New Roman"/>
          <w:szCs w:val="24"/>
        </w:rPr>
        <w:t>conómico-financeira;</w:t>
      </w:r>
    </w:p>
    <w:p w14:paraId="3299DCE3" w14:textId="77777777" w:rsidR="00CC011A" w:rsidRPr="00C21482" w:rsidRDefault="00CC011A" w:rsidP="00CC011A">
      <w:pPr>
        <w:pStyle w:val="PargrafodaLista"/>
        <w:numPr>
          <w:ilvl w:val="0"/>
          <w:numId w:val="1"/>
        </w:numPr>
        <w:spacing w:line="360" w:lineRule="auto"/>
        <w:jc w:val="both"/>
        <w:rPr>
          <w:rFonts w:cs="Times New Roman"/>
          <w:szCs w:val="24"/>
        </w:rPr>
      </w:pPr>
      <w:r w:rsidRPr="00F6646C">
        <w:rPr>
          <w:rFonts w:cs="Times New Roman"/>
          <w:szCs w:val="24"/>
        </w:rPr>
        <w:t>T</w:t>
      </w:r>
      <w:r w:rsidRPr="00C21482">
        <w:rPr>
          <w:rFonts w:cs="Times New Roman"/>
          <w:szCs w:val="24"/>
        </w:rPr>
        <w:t>ransparência na área de urbanismo.</w:t>
      </w:r>
    </w:p>
    <w:p w14:paraId="480C4F4D" w14:textId="01B5B3CB" w:rsidR="001732F0" w:rsidRDefault="00CC011A" w:rsidP="000934ED">
      <w:pPr>
        <w:spacing w:line="360" w:lineRule="auto"/>
        <w:jc w:val="both"/>
        <w:rPr>
          <w:rFonts w:cs="Times New Roman"/>
        </w:rPr>
      </w:pPr>
      <w:r w:rsidRPr="005A564D">
        <w:rPr>
          <w:rFonts w:cs="Times New Roman"/>
          <w:szCs w:val="24"/>
        </w:rPr>
        <w:t>Para além das dimensões, a TIAC explica, também, como foi feita a escolha dos 76 indicadores</w:t>
      </w:r>
      <w:r>
        <w:rPr>
          <w:rFonts w:cs="Times New Roman"/>
          <w:szCs w:val="24"/>
        </w:rPr>
        <w:t>.</w:t>
      </w:r>
      <w:r w:rsidR="004D1F2C">
        <w:rPr>
          <w:rFonts w:cs="Times New Roman"/>
          <w:szCs w:val="24"/>
        </w:rPr>
        <w:t xml:space="preserve"> </w:t>
      </w:r>
      <w:r w:rsidR="000934ED">
        <w:rPr>
          <w:rFonts w:cs="Times New Roman"/>
        </w:rPr>
        <w:t>Depois de obtida a lista dos indicadores analisados e de os terem agrupado em dimensões de transparência municipal,</w:t>
      </w:r>
      <w:r w:rsidR="003C4D3E">
        <w:rPr>
          <w:rFonts w:cs="Times New Roman"/>
        </w:rPr>
        <w:t xml:space="preserve"> como observado na Tabela 3.1,</w:t>
      </w:r>
      <w:r w:rsidR="000934ED">
        <w:rPr>
          <w:rFonts w:cs="Times New Roman"/>
        </w:rPr>
        <w:t xml:space="preserve"> os peritos que criaram o ITM identificaram, dentro de todos os indicadores importantes, os indicadores que consideram mais importantes ou determinantes, criando, deste modo, diferentes ponderações para cada dimensão. </w:t>
      </w:r>
    </w:p>
    <w:p w14:paraId="32BF21CD" w14:textId="69809202" w:rsidR="00E054BB" w:rsidRDefault="00E054BB" w:rsidP="000934ED">
      <w:pPr>
        <w:spacing w:line="360" w:lineRule="auto"/>
        <w:jc w:val="both"/>
        <w:rPr>
          <w:rFonts w:cs="Times New Roman"/>
        </w:rPr>
      </w:pPr>
    </w:p>
    <w:p w14:paraId="046E5416" w14:textId="77777777" w:rsidR="00E054BB" w:rsidRDefault="00E054BB" w:rsidP="000934ED">
      <w:pPr>
        <w:spacing w:line="360" w:lineRule="auto"/>
        <w:jc w:val="both"/>
        <w:rPr>
          <w:rFonts w:cs="Times New Roman"/>
        </w:rPr>
      </w:pPr>
    </w:p>
    <w:p w14:paraId="21A48B3C" w14:textId="11576EB9" w:rsidR="00127915" w:rsidRPr="00127915" w:rsidRDefault="00127915" w:rsidP="00127915">
      <w:pPr>
        <w:pStyle w:val="Legenda"/>
        <w:keepNext/>
        <w:jc w:val="center"/>
        <w:rPr>
          <w:b w:val="0"/>
          <w:color w:val="auto"/>
          <w:sz w:val="24"/>
        </w:rPr>
      </w:pPr>
      <w:bookmarkStart w:id="52" w:name="_Toc38553145"/>
      <w:bookmarkStart w:id="53" w:name="_Toc58853159"/>
      <w:bookmarkStart w:id="54" w:name="_Toc66624248"/>
      <w:r w:rsidRPr="00127915">
        <w:rPr>
          <w:color w:val="auto"/>
          <w:sz w:val="24"/>
        </w:rPr>
        <w:lastRenderedPageBreak/>
        <w:t xml:space="preserve">Tabela </w:t>
      </w:r>
      <w:r w:rsidR="00843BFC">
        <w:rPr>
          <w:color w:val="auto"/>
          <w:sz w:val="24"/>
        </w:rPr>
        <w:fldChar w:fldCharType="begin"/>
      </w:r>
      <w:r w:rsidR="00843BFC">
        <w:rPr>
          <w:color w:val="auto"/>
          <w:sz w:val="24"/>
        </w:rPr>
        <w:instrText xml:space="preserve"> STYLEREF 1 \s </w:instrText>
      </w:r>
      <w:r w:rsidR="00843BFC">
        <w:rPr>
          <w:color w:val="auto"/>
          <w:sz w:val="24"/>
        </w:rPr>
        <w:fldChar w:fldCharType="separate"/>
      </w:r>
      <w:r w:rsidR="00380A6F">
        <w:rPr>
          <w:noProof/>
          <w:color w:val="auto"/>
          <w:sz w:val="24"/>
        </w:rPr>
        <w:t>3</w:t>
      </w:r>
      <w:r w:rsidR="00843BFC">
        <w:rPr>
          <w:color w:val="auto"/>
          <w:sz w:val="24"/>
        </w:rPr>
        <w:fldChar w:fldCharType="end"/>
      </w:r>
      <w:r w:rsidR="00843BFC">
        <w:rPr>
          <w:color w:val="auto"/>
          <w:sz w:val="24"/>
        </w:rPr>
        <w:t>.</w:t>
      </w:r>
      <w:r w:rsidR="00843BFC">
        <w:rPr>
          <w:color w:val="auto"/>
          <w:sz w:val="24"/>
        </w:rPr>
        <w:fldChar w:fldCharType="begin"/>
      </w:r>
      <w:r w:rsidR="00843BFC">
        <w:rPr>
          <w:color w:val="auto"/>
          <w:sz w:val="24"/>
        </w:rPr>
        <w:instrText xml:space="preserve"> SEQ Tabela \* ARABIC \s 1 </w:instrText>
      </w:r>
      <w:r w:rsidR="00843BFC">
        <w:rPr>
          <w:color w:val="auto"/>
          <w:sz w:val="24"/>
        </w:rPr>
        <w:fldChar w:fldCharType="separate"/>
      </w:r>
      <w:r w:rsidR="00380A6F">
        <w:rPr>
          <w:noProof/>
          <w:color w:val="auto"/>
          <w:sz w:val="24"/>
        </w:rPr>
        <w:t>1</w:t>
      </w:r>
      <w:r w:rsidR="00843BFC">
        <w:rPr>
          <w:color w:val="auto"/>
          <w:sz w:val="24"/>
        </w:rPr>
        <w:fldChar w:fldCharType="end"/>
      </w:r>
      <w:r w:rsidRPr="00127915">
        <w:rPr>
          <w:b w:val="0"/>
          <w:color w:val="auto"/>
          <w:sz w:val="24"/>
        </w:rPr>
        <w:t xml:space="preserve"> – Indicadores das Dimensões do ITM</w:t>
      </w:r>
      <w:bookmarkEnd w:id="52"/>
      <w:bookmarkEnd w:id="53"/>
      <w:bookmarkEnd w:id="54"/>
    </w:p>
    <w:tbl>
      <w:tblPr>
        <w:tblStyle w:val="TabeladeLista6Colorida1"/>
        <w:tblW w:w="8926" w:type="dxa"/>
        <w:tblLayout w:type="fixed"/>
        <w:tblLook w:val="0420" w:firstRow="1" w:lastRow="0" w:firstColumn="0" w:lastColumn="0" w:noHBand="0" w:noVBand="1"/>
      </w:tblPr>
      <w:tblGrid>
        <w:gridCol w:w="1242"/>
        <w:gridCol w:w="1276"/>
        <w:gridCol w:w="1276"/>
        <w:gridCol w:w="1304"/>
        <w:gridCol w:w="1276"/>
        <w:gridCol w:w="1276"/>
        <w:gridCol w:w="1276"/>
      </w:tblGrid>
      <w:tr w:rsidR="000934ED" w:rsidRPr="00BF08F0" w14:paraId="6CC1E24B" w14:textId="77777777" w:rsidTr="000C490F">
        <w:trPr>
          <w:cnfStyle w:val="100000000000" w:firstRow="1" w:lastRow="0" w:firstColumn="0" w:lastColumn="0" w:oddVBand="0" w:evenVBand="0" w:oddHBand="0" w:evenHBand="0" w:firstRowFirstColumn="0" w:firstRowLastColumn="0" w:lastRowFirstColumn="0" w:lastRowLastColumn="0"/>
        </w:trPr>
        <w:tc>
          <w:tcPr>
            <w:tcW w:w="1242" w:type="dxa"/>
            <w:tcBorders>
              <w:top w:val="double" w:sz="4" w:space="0" w:color="auto"/>
              <w:right w:val="nil"/>
            </w:tcBorders>
          </w:tcPr>
          <w:p w14:paraId="30301F34" w14:textId="77777777" w:rsidR="000934ED" w:rsidRPr="00BF08F0" w:rsidRDefault="000934ED" w:rsidP="00E054BB">
            <w:pPr>
              <w:spacing w:line="276" w:lineRule="auto"/>
              <w:jc w:val="center"/>
              <w:rPr>
                <w:rFonts w:cs="Times New Roman"/>
                <w:sz w:val="22"/>
              </w:rPr>
            </w:pPr>
            <w:r w:rsidRPr="00BF08F0">
              <w:rPr>
                <w:rFonts w:cs="Times New Roman"/>
                <w:sz w:val="22"/>
              </w:rPr>
              <w:t>Dimensão A</w:t>
            </w:r>
          </w:p>
        </w:tc>
        <w:tc>
          <w:tcPr>
            <w:tcW w:w="1276" w:type="dxa"/>
            <w:tcBorders>
              <w:top w:val="double" w:sz="4" w:space="0" w:color="auto"/>
              <w:left w:val="nil"/>
              <w:right w:val="nil"/>
            </w:tcBorders>
          </w:tcPr>
          <w:p w14:paraId="4129E422" w14:textId="77777777" w:rsidR="000934ED" w:rsidRPr="00BF08F0" w:rsidRDefault="000934ED" w:rsidP="00E054BB">
            <w:pPr>
              <w:spacing w:line="276" w:lineRule="auto"/>
              <w:jc w:val="center"/>
              <w:rPr>
                <w:rFonts w:cs="Times New Roman"/>
                <w:sz w:val="22"/>
              </w:rPr>
            </w:pPr>
            <w:r w:rsidRPr="00BF08F0">
              <w:rPr>
                <w:rFonts w:cs="Times New Roman"/>
                <w:sz w:val="22"/>
              </w:rPr>
              <w:t>Dimensão B</w:t>
            </w:r>
          </w:p>
        </w:tc>
        <w:tc>
          <w:tcPr>
            <w:tcW w:w="1276" w:type="dxa"/>
            <w:tcBorders>
              <w:top w:val="double" w:sz="4" w:space="0" w:color="auto"/>
              <w:left w:val="nil"/>
              <w:right w:val="nil"/>
            </w:tcBorders>
          </w:tcPr>
          <w:p w14:paraId="7F21C8CF" w14:textId="77777777" w:rsidR="000934ED" w:rsidRPr="00BF08F0" w:rsidRDefault="000934ED" w:rsidP="00E054BB">
            <w:pPr>
              <w:spacing w:line="276" w:lineRule="auto"/>
              <w:jc w:val="center"/>
              <w:rPr>
                <w:rFonts w:cs="Times New Roman"/>
                <w:sz w:val="22"/>
              </w:rPr>
            </w:pPr>
            <w:r w:rsidRPr="00BF08F0">
              <w:rPr>
                <w:rFonts w:cs="Times New Roman"/>
                <w:sz w:val="22"/>
              </w:rPr>
              <w:t>Dimensão C</w:t>
            </w:r>
          </w:p>
        </w:tc>
        <w:tc>
          <w:tcPr>
            <w:tcW w:w="1304" w:type="dxa"/>
            <w:tcBorders>
              <w:top w:val="double" w:sz="4" w:space="0" w:color="auto"/>
              <w:left w:val="nil"/>
              <w:right w:val="nil"/>
            </w:tcBorders>
          </w:tcPr>
          <w:p w14:paraId="4E21B2F2" w14:textId="77777777" w:rsidR="000934ED" w:rsidRPr="00BF08F0" w:rsidRDefault="000934ED" w:rsidP="00E054BB">
            <w:pPr>
              <w:spacing w:line="276" w:lineRule="auto"/>
              <w:jc w:val="center"/>
              <w:rPr>
                <w:rFonts w:cs="Times New Roman"/>
                <w:sz w:val="22"/>
              </w:rPr>
            </w:pPr>
            <w:r w:rsidRPr="00BF08F0">
              <w:rPr>
                <w:rFonts w:cs="Times New Roman"/>
                <w:sz w:val="22"/>
              </w:rPr>
              <w:t>Dimensão D</w:t>
            </w:r>
          </w:p>
        </w:tc>
        <w:tc>
          <w:tcPr>
            <w:tcW w:w="1276" w:type="dxa"/>
            <w:tcBorders>
              <w:top w:val="double" w:sz="4" w:space="0" w:color="auto"/>
              <w:left w:val="nil"/>
              <w:right w:val="nil"/>
            </w:tcBorders>
          </w:tcPr>
          <w:p w14:paraId="7DDAD097" w14:textId="77777777" w:rsidR="000934ED" w:rsidRPr="00BF08F0" w:rsidRDefault="000934ED" w:rsidP="00E054BB">
            <w:pPr>
              <w:spacing w:line="276" w:lineRule="auto"/>
              <w:jc w:val="center"/>
              <w:rPr>
                <w:rFonts w:cs="Times New Roman"/>
                <w:sz w:val="22"/>
              </w:rPr>
            </w:pPr>
            <w:r w:rsidRPr="00BF08F0">
              <w:rPr>
                <w:rFonts w:cs="Times New Roman"/>
                <w:sz w:val="22"/>
              </w:rPr>
              <w:t>Dimensão E</w:t>
            </w:r>
          </w:p>
        </w:tc>
        <w:tc>
          <w:tcPr>
            <w:tcW w:w="1276" w:type="dxa"/>
            <w:tcBorders>
              <w:top w:val="double" w:sz="4" w:space="0" w:color="auto"/>
              <w:left w:val="nil"/>
              <w:right w:val="nil"/>
            </w:tcBorders>
          </w:tcPr>
          <w:p w14:paraId="4E813986" w14:textId="77777777" w:rsidR="000934ED" w:rsidRPr="00BF08F0" w:rsidRDefault="000934ED" w:rsidP="00E054BB">
            <w:pPr>
              <w:spacing w:line="276" w:lineRule="auto"/>
              <w:jc w:val="center"/>
              <w:rPr>
                <w:rFonts w:cs="Times New Roman"/>
                <w:sz w:val="22"/>
              </w:rPr>
            </w:pPr>
            <w:r w:rsidRPr="00BF08F0">
              <w:rPr>
                <w:rFonts w:cs="Times New Roman"/>
                <w:sz w:val="22"/>
              </w:rPr>
              <w:t>Dimensão F</w:t>
            </w:r>
          </w:p>
        </w:tc>
        <w:tc>
          <w:tcPr>
            <w:tcW w:w="1276" w:type="dxa"/>
            <w:tcBorders>
              <w:top w:val="double" w:sz="4" w:space="0" w:color="auto"/>
              <w:left w:val="nil"/>
            </w:tcBorders>
          </w:tcPr>
          <w:p w14:paraId="4E88AF82" w14:textId="77777777" w:rsidR="000934ED" w:rsidRPr="00BF08F0" w:rsidRDefault="000934ED" w:rsidP="00E054BB">
            <w:pPr>
              <w:spacing w:line="276" w:lineRule="auto"/>
              <w:jc w:val="center"/>
              <w:rPr>
                <w:rFonts w:cs="Times New Roman"/>
                <w:sz w:val="22"/>
              </w:rPr>
            </w:pPr>
            <w:r w:rsidRPr="00BF08F0">
              <w:rPr>
                <w:rFonts w:cs="Times New Roman"/>
                <w:sz w:val="22"/>
              </w:rPr>
              <w:t>Dimensão G</w:t>
            </w:r>
          </w:p>
        </w:tc>
      </w:tr>
      <w:tr w:rsidR="000934ED" w:rsidRPr="00BF08F0" w14:paraId="55907D20" w14:textId="77777777" w:rsidTr="00957AD3">
        <w:trPr>
          <w:cnfStyle w:val="000000100000" w:firstRow="0" w:lastRow="0" w:firstColumn="0" w:lastColumn="0" w:oddVBand="0" w:evenVBand="0" w:oddHBand="1" w:evenHBand="0" w:firstRowFirstColumn="0" w:firstRowLastColumn="0" w:lastRowFirstColumn="0" w:lastRowLastColumn="0"/>
        </w:trPr>
        <w:tc>
          <w:tcPr>
            <w:tcW w:w="1242" w:type="dxa"/>
            <w:tcBorders>
              <w:right w:val="nil"/>
            </w:tcBorders>
            <w:shd w:val="clear" w:color="auto" w:fill="E7E6E6" w:themeFill="background2"/>
          </w:tcPr>
          <w:p w14:paraId="65134FCE" w14:textId="77777777" w:rsidR="000934ED" w:rsidRPr="00BF08F0" w:rsidRDefault="000934ED" w:rsidP="00E054BB">
            <w:pPr>
              <w:spacing w:line="276" w:lineRule="auto"/>
              <w:jc w:val="both"/>
              <w:rPr>
                <w:rFonts w:cs="Times New Roman"/>
                <w:sz w:val="22"/>
              </w:rPr>
            </w:pPr>
            <w:r w:rsidRPr="00BF08F0">
              <w:rPr>
                <w:rFonts w:cs="Times New Roman"/>
                <w:sz w:val="22"/>
              </w:rPr>
              <w:t>A.1.5</w:t>
            </w:r>
          </w:p>
        </w:tc>
        <w:tc>
          <w:tcPr>
            <w:tcW w:w="1276" w:type="dxa"/>
            <w:tcBorders>
              <w:left w:val="nil"/>
              <w:right w:val="nil"/>
            </w:tcBorders>
            <w:shd w:val="clear" w:color="auto" w:fill="E7E6E6" w:themeFill="background2"/>
          </w:tcPr>
          <w:p w14:paraId="30E975B7" w14:textId="77777777" w:rsidR="000934ED" w:rsidRPr="00BF08F0" w:rsidRDefault="000934ED" w:rsidP="00E054BB">
            <w:pPr>
              <w:spacing w:line="276" w:lineRule="auto"/>
              <w:jc w:val="both"/>
              <w:rPr>
                <w:rFonts w:cs="Times New Roman"/>
                <w:sz w:val="22"/>
              </w:rPr>
            </w:pPr>
            <w:r w:rsidRPr="00BF08F0">
              <w:rPr>
                <w:rFonts w:cs="Times New Roman"/>
                <w:sz w:val="22"/>
              </w:rPr>
              <w:t>B.4</w:t>
            </w:r>
          </w:p>
        </w:tc>
        <w:tc>
          <w:tcPr>
            <w:tcW w:w="1276" w:type="dxa"/>
            <w:tcBorders>
              <w:left w:val="nil"/>
              <w:bottom w:val="nil"/>
              <w:right w:val="nil"/>
            </w:tcBorders>
            <w:shd w:val="clear" w:color="auto" w:fill="E7E6E6" w:themeFill="background2"/>
          </w:tcPr>
          <w:p w14:paraId="0755CC32" w14:textId="77777777" w:rsidR="000934ED" w:rsidRPr="00BF08F0" w:rsidRDefault="000934ED" w:rsidP="00E054BB">
            <w:pPr>
              <w:spacing w:line="276" w:lineRule="auto"/>
              <w:jc w:val="both"/>
              <w:rPr>
                <w:rFonts w:cs="Times New Roman"/>
                <w:sz w:val="22"/>
              </w:rPr>
            </w:pPr>
            <w:r w:rsidRPr="00BF08F0">
              <w:rPr>
                <w:rFonts w:cs="Times New Roman"/>
                <w:sz w:val="22"/>
              </w:rPr>
              <w:t>C.3</w:t>
            </w:r>
          </w:p>
        </w:tc>
        <w:tc>
          <w:tcPr>
            <w:tcW w:w="1304" w:type="dxa"/>
            <w:tcBorders>
              <w:left w:val="nil"/>
              <w:right w:val="nil"/>
            </w:tcBorders>
            <w:shd w:val="clear" w:color="auto" w:fill="E7E6E6" w:themeFill="background2"/>
          </w:tcPr>
          <w:p w14:paraId="01873E0F" w14:textId="77777777" w:rsidR="000934ED" w:rsidRPr="00BF08F0" w:rsidRDefault="000934ED" w:rsidP="00E054BB">
            <w:pPr>
              <w:spacing w:line="276" w:lineRule="auto"/>
              <w:jc w:val="both"/>
              <w:rPr>
                <w:rFonts w:cs="Times New Roman"/>
                <w:sz w:val="22"/>
              </w:rPr>
            </w:pPr>
            <w:r w:rsidRPr="00BF08F0">
              <w:rPr>
                <w:rFonts w:cs="Times New Roman"/>
                <w:sz w:val="22"/>
              </w:rPr>
              <w:t>D.4</w:t>
            </w:r>
          </w:p>
        </w:tc>
        <w:tc>
          <w:tcPr>
            <w:tcW w:w="1276" w:type="dxa"/>
            <w:tcBorders>
              <w:left w:val="nil"/>
              <w:right w:val="nil"/>
            </w:tcBorders>
            <w:shd w:val="clear" w:color="auto" w:fill="E7E6E6" w:themeFill="background2"/>
          </w:tcPr>
          <w:p w14:paraId="3C647926" w14:textId="77777777" w:rsidR="000934ED" w:rsidRPr="00BF08F0" w:rsidRDefault="000934ED" w:rsidP="00E054BB">
            <w:pPr>
              <w:spacing w:line="276" w:lineRule="auto"/>
              <w:jc w:val="both"/>
              <w:rPr>
                <w:rFonts w:cs="Times New Roman"/>
                <w:sz w:val="22"/>
              </w:rPr>
            </w:pPr>
            <w:r w:rsidRPr="00BF08F0">
              <w:rPr>
                <w:rFonts w:cs="Times New Roman"/>
                <w:sz w:val="22"/>
              </w:rPr>
              <w:t>E.1.1</w:t>
            </w:r>
          </w:p>
        </w:tc>
        <w:tc>
          <w:tcPr>
            <w:tcW w:w="1276" w:type="dxa"/>
            <w:tcBorders>
              <w:left w:val="nil"/>
              <w:right w:val="nil"/>
            </w:tcBorders>
            <w:shd w:val="clear" w:color="auto" w:fill="E7E6E6" w:themeFill="background2"/>
          </w:tcPr>
          <w:p w14:paraId="75888D61" w14:textId="77777777" w:rsidR="000934ED" w:rsidRPr="00BF08F0" w:rsidRDefault="000934ED" w:rsidP="00E054BB">
            <w:pPr>
              <w:spacing w:line="276" w:lineRule="auto"/>
              <w:jc w:val="both"/>
              <w:rPr>
                <w:rFonts w:cs="Times New Roman"/>
                <w:sz w:val="22"/>
              </w:rPr>
            </w:pPr>
            <w:r w:rsidRPr="00BF08F0">
              <w:rPr>
                <w:rFonts w:cs="Times New Roman"/>
                <w:sz w:val="22"/>
              </w:rPr>
              <w:t>F.1.1</w:t>
            </w:r>
          </w:p>
        </w:tc>
        <w:tc>
          <w:tcPr>
            <w:tcW w:w="1276" w:type="dxa"/>
            <w:tcBorders>
              <w:left w:val="nil"/>
            </w:tcBorders>
            <w:shd w:val="clear" w:color="auto" w:fill="E7E6E6" w:themeFill="background2"/>
          </w:tcPr>
          <w:p w14:paraId="12A4C118" w14:textId="77777777" w:rsidR="000934ED" w:rsidRPr="00BF08F0" w:rsidRDefault="000934ED" w:rsidP="00E054BB">
            <w:pPr>
              <w:spacing w:line="276" w:lineRule="auto"/>
              <w:jc w:val="both"/>
              <w:rPr>
                <w:rFonts w:cs="Times New Roman"/>
                <w:sz w:val="22"/>
              </w:rPr>
            </w:pPr>
            <w:r w:rsidRPr="00BF08F0">
              <w:rPr>
                <w:rFonts w:cs="Times New Roman"/>
                <w:sz w:val="22"/>
              </w:rPr>
              <w:t>G.2.1</w:t>
            </w:r>
          </w:p>
        </w:tc>
      </w:tr>
      <w:tr w:rsidR="000934ED" w:rsidRPr="00BF08F0" w14:paraId="0787E319" w14:textId="77777777" w:rsidTr="000C490F">
        <w:tc>
          <w:tcPr>
            <w:tcW w:w="1242" w:type="dxa"/>
            <w:tcBorders>
              <w:right w:val="nil"/>
            </w:tcBorders>
          </w:tcPr>
          <w:p w14:paraId="231D1270" w14:textId="77777777" w:rsidR="000934ED" w:rsidRPr="00BF08F0" w:rsidRDefault="000934ED" w:rsidP="00E054BB">
            <w:pPr>
              <w:spacing w:line="276" w:lineRule="auto"/>
              <w:jc w:val="both"/>
              <w:rPr>
                <w:rFonts w:cs="Times New Roman"/>
                <w:sz w:val="22"/>
              </w:rPr>
            </w:pPr>
            <w:r w:rsidRPr="00BF08F0">
              <w:rPr>
                <w:rFonts w:cs="Times New Roman"/>
                <w:sz w:val="22"/>
              </w:rPr>
              <w:t>A.1.7</w:t>
            </w:r>
          </w:p>
        </w:tc>
        <w:tc>
          <w:tcPr>
            <w:tcW w:w="1276" w:type="dxa"/>
            <w:tcBorders>
              <w:left w:val="nil"/>
              <w:right w:val="nil"/>
            </w:tcBorders>
          </w:tcPr>
          <w:p w14:paraId="2D59160D" w14:textId="77777777" w:rsidR="000934ED" w:rsidRPr="00BF08F0" w:rsidRDefault="000934ED" w:rsidP="00E054BB">
            <w:pPr>
              <w:spacing w:line="276" w:lineRule="auto"/>
              <w:jc w:val="both"/>
              <w:rPr>
                <w:rFonts w:cs="Times New Roman"/>
                <w:sz w:val="22"/>
              </w:rPr>
            </w:pPr>
            <w:r w:rsidRPr="00BF08F0">
              <w:rPr>
                <w:rFonts w:cs="Times New Roman"/>
                <w:sz w:val="22"/>
              </w:rPr>
              <w:t>B.7</w:t>
            </w:r>
          </w:p>
        </w:tc>
        <w:tc>
          <w:tcPr>
            <w:tcW w:w="1276" w:type="dxa"/>
            <w:tcBorders>
              <w:top w:val="nil"/>
              <w:left w:val="nil"/>
              <w:bottom w:val="nil"/>
              <w:right w:val="nil"/>
            </w:tcBorders>
          </w:tcPr>
          <w:p w14:paraId="4DAFAF83" w14:textId="77777777" w:rsidR="000934ED" w:rsidRPr="00BF08F0" w:rsidRDefault="000934ED" w:rsidP="00E054BB">
            <w:pPr>
              <w:spacing w:line="276" w:lineRule="auto"/>
              <w:jc w:val="both"/>
              <w:rPr>
                <w:rFonts w:cs="Times New Roman"/>
                <w:sz w:val="22"/>
              </w:rPr>
            </w:pPr>
            <w:r w:rsidRPr="00BF08F0">
              <w:rPr>
                <w:rFonts w:cs="Times New Roman"/>
                <w:sz w:val="22"/>
              </w:rPr>
              <w:t>C.5</w:t>
            </w:r>
          </w:p>
        </w:tc>
        <w:tc>
          <w:tcPr>
            <w:tcW w:w="1304" w:type="dxa"/>
            <w:tcBorders>
              <w:left w:val="nil"/>
              <w:right w:val="nil"/>
            </w:tcBorders>
          </w:tcPr>
          <w:p w14:paraId="67ED16AB" w14:textId="77777777" w:rsidR="000934ED" w:rsidRPr="00BF08F0" w:rsidRDefault="000934ED" w:rsidP="00E054BB">
            <w:pPr>
              <w:spacing w:line="276" w:lineRule="auto"/>
              <w:jc w:val="both"/>
              <w:rPr>
                <w:rFonts w:cs="Times New Roman"/>
                <w:sz w:val="22"/>
              </w:rPr>
            </w:pPr>
            <w:r w:rsidRPr="00BF08F0">
              <w:rPr>
                <w:rFonts w:cs="Times New Roman"/>
                <w:sz w:val="22"/>
              </w:rPr>
              <w:t>D.7</w:t>
            </w:r>
          </w:p>
        </w:tc>
        <w:tc>
          <w:tcPr>
            <w:tcW w:w="1276" w:type="dxa"/>
            <w:tcBorders>
              <w:left w:val="nil"/>
              <w:right w:val="nil"/>
            </w:tcBorders>
          </w:tcPr>
          <w:p w14:paraId="0D8B9569" w14:textId="77777777" w:rsidR="000934ED" w:rsidRPr="00BF08F0" w:rsidRDefault="000934ED" w:rsidP="00E054BB">
            <w:pPr>
              <w:spacing w:line="276" w:lineRule="auto"/>
              <w:jc w:val="both"/>
              <w:rPr>
                <w:rFonts w:cs="Times New Roman"/>
                <w:sz w:val="22"/>
              </w:rPr>
            </w:pPr>
            <w:r w:rsidRPr="00BF08F0">
              <w:rPr>
                <w:rFonts w:cs="Times New Roman"/>
                <w:sz w:val="22"/>
              </w:rPr>
              <w:t>E.2.2</w:t>
            </w:r>
          </w:p>
        </w:tc>
        <w:tc>
          <w:tcPr>
            <w:tcW w:w="1276" w:type="dxa"/>
            <w:tcBorders>
              <w:left w:val="nil"/>
              <w:right w:val="nil"/>
            </w:tcBorders>
          </w:tcPr>
          <w:p w14:paraId="3EEF9737" w14:textId="77777777" w:rsidR="000934ED" w:rsidRPr="00BF08F0" w:rsidRDefault="000934ED" w:rsidP="00E054BB">
            <w:pPr>
              <w:spacing w:line="276" w:lineRule="auto"/>
              <w:jc w:val="both"/>
              <w:rPr>
                <w:rFonts w:cs="Times New Roman"/>
                <w:sz w:val="22"/>
              </w:rPr>
            </w:pPr>
            <w:r w:rsidRPr="00BF08F0">
              <w:rPr>
                <w:rFonts w:cs="Times New Roman"/>
                <w:sz w:val="22"/>
              </w:rPr>
              <w:t>F.3.1</w:t>
            </w:r>
          </w:p>
        </w:tc>
        <w:tc>
          <w:tcPr>
            <w:tcW w:w="1276" w:type="dxa"/>
            <w:tcBorders>
              <w:left w:val="nil"/>
            </w:tcBorders>
          </w:tcPr>
          <w:p w14:paraId="0888EA0E" w14:textId="77777777" w:rsidR="000934ED" w:rsidRPr="00BF08F0" w:rsidRDefault="000934ED" w:rsidP="00E054BB">
            <w:pPr>
              <w:spacing w:line="276" w:lineRule="auto"/>
              <w:jc w:val="both"/>
              <w:rPr>
                <w:rFonts w:cs="Times New Roman"/>
                <w:sz w:val="22"/>
              </w:rPr>
            </w:pPr>
            <w:r w:rsidRPr="00BF08F0">
              <w:rPr>
                <w:rFonts w:cs="Times New Roman"/>
                <w:sz w:val="22"/>
              </w:rPr>
              <w:t>G.3.1</w:t>
            </w:r>
          </w:p>
        </w:tc>
      </w:tr>
      <w:tr w:rsidR="000934ED" w:rsidRPr="00BF08F0" w14:paraId="0DBE3F3F" w14:textId="77777777" w:rsidTr="00957AD3">
        <w:trPr>
          <w:cnfStyle w:val="000000100000" w:firstRow="0" w:lastRow="0" w:firstColumn="0" w:lastColumn="0" w:oddVBand="0" w:evenVBand="0" w:oddHBand="1" w:evenHBand="0" w:firstRowFirstColumn="0" w:firstRowLastColumn="0" w:lastRowFirstColumn="0" w:lastRowLastColumn="0"/>
        </w:trPr>
        <w:tc>
          <w:tcPr>
            <w:tcW w:w="1242" w:type="dxa"/>
            <w:tcBorders>
              <w:right w:val="nil"/>
            </w:tcBorders>
            <w:shd w:val="clear" w:color="auto" w:fill="E7E6E6" w:themeFill="background2"/>
          </w:tcPr>
          <w:p w14:paraId="031FD88E" w14:textId="77777777" w:rsidR="000934ED" w:rsidRPr="00BF08F0" w:rsidRDefault="000934ED" w:rsidP="00E054BB">
            <w:pPr>
              <w:spacing w:line="276" w:lineRule="auto"/>
              <w:jc w:val="both"/>
              <w:rPr>
                <w:rFonts w:cs="Times New Roman"/>
                <w:sz w:val="22"/>
              </w:rPr>
            </w:pPr>
            <w:r w:rsidRPr="00BF08F0">
              <w:rPr>
                <w:rFonts w:cs="Times New Roman"/>
                <w:sz w:val="22"/>
              </w:rPr>
              <w:t>A.2.2</w:t>
            </w:r>
          </w:p>
        </w:tc>
        <w:tc>
          <w:tcPr>
            <w:tcW w:w="1276" w:type="dxa"/>
            <w:tcBorders>
              <w:left w:val="nil"/>
              <w:right w:val="nil"/>
            </w:tcBorders>
            <w:shd w:val="clear" w:color="auto" w:fill="E7E6E6" w:themeFill="background2"/>
          </w:tcPr>
          <w:p w14:paraId="77C361FA" w14:textId="77777777" w:rsidR="000934ED" w:rsidRPr="00BF08F0" w:rsidRDefault="000934ED" w:rsidP="00E054BB">
            <w:pPr>
              <w:spacing w:line="276" w:lineRule="auto"/>
              <w:jc w:val="both"/>
              <w:rPr>
                <w:rFonts w:cs="Times New Roman"/>
                <w:sz w:val="22"/>
              </w:rPr>
            </w:pPr>
            <w:r w:rsidRPr="00BF08F0">
              <w:rPr>
                <w:rFonts w:cs="Times New Roman"/>
                <w:sz w:val="22"/>
              </w:rPr>
              <w:t>B.13</w:t>
            </w:r>
          </w:p>
        </w:tc>
        <w:tc>
          <w:tcPr>
            <w:tcW w:w="1276" w:type="dxa"/>
            <w:tcBorders>
              <w:top w:val="nil"/>
              <w:left w:val="nil"/>
              <w:right w:val="nil"/>
            </w:tcBorders>
            <w:shd w:val="clear" w:color="auto" w:fill="E7E6E6" w:themeFill="background2"/>
          </w:tcPr>
          <w:p w14:paraId="1D929BFA" w14:textId="77777777" w:rsidR="000934ED" w:rsidRPr="00BF08F0" w:rsidRDefault="000934ED" w:rsidP="00E054BB">
            <w:pPr>
              <w:spacing w:line="276" w:lineRule="auto"/>
              <w:jc w:val="both"/>
              <w:rPr>
                <w:rFonts w:cs="Times New Roman"/>
                <w:sz w:val="22"/>
              </w:rPr>
            </w:pPr>
          </w:p>
        </w:tc>
        <w:tc>
          <w:tcPr>
            <w:tcW w:w="1304" w:type="dxa"/>
            <w:tcBorders>
              <w:left w:val="nil"/>
              <w:right w:val="nil"/>
            </w:tcBorders>
            <w:shd w:val="clear" w:color="auto" w:fill="E7E6E6" w:themeFill="background2"/>
          </w:tcPr>
          <w:p w14:paraId="1C767C72" w14:textId="77777777" w:rsidR="000934ED" w:rsidRPr="00BF08F0" w:rsidRDefault="000934ED" w:rsidP="00E054BB">
            <w:pPr>
              <w:spacing w:line="276" w:lineRule="auto"/>
              <w:jc w:val="both"/>
              <w:rPr>
                <w:rFonts w:cs="Times New Roman"/>
                <w:sz w:val="22"/>
              </w:rPr>
            </w:pPr>
          </w:p>
        </w:tc>
        <w:tc>
          <w:tcPr>
            <w:tcW w:w="1276" w:type="dxa"/>
            <w:tcBorders>
              <w:left w:val="nil"/>
              <w:right w:val="nil"/>
            </w:tcBorders>
            <w:shd w:val="clear" w:color="auto" w:fill="E7E6E6" w:themeFill="background2"/>
          </w:tcPr>
          <w:p w14:paraId="0890E4DA" w14:textId="77777777" w:rsidR="000934ED" w:rsidRPr="00BF08F0" w:rsidRDefault="000934ED" w:rsidP="00E054BB">
            <w:pPr>
              <w:spacing w:line="276" w:lineRule="auto"/>
              <w:jc w:val="both"/>
              <w:rPr>
                <w:rFonts w:cs="Times New Roman"/>
                <w:sz w:val="22"/>
              </w:rPr>
            </w:pPr>
            <w:r w:rsidRPr="00BF08F0">
              <w:rPr>
                <w:rFonts w:cs="Times New Roman"/>
                <w:sz w:val="22"/>
              </w:rPr>
              <w:t>E.3.3</w:t>
            </w:r>
          </w:p>
        </w:tc>
        <w:tc>
          <w:tcPr>
            <w:tcW w:w="1276" w:type="dxa"/>
            <w:tcBorders>
              <w:left w:val="nil"/>
              <w:right w:val="nil"/>
            </w:tcBorders>
            <w:shd w:val="clear" w:color="auto" w:fill="E7E6E6" w:themeFill="background2"/>
          </w:tcPr>
          <w:p w14:paraId="39A844F4" w14:textId="77777777" w:rsidR="000934ED" w:rsidRPr="00BF08F0" w:rsidRDefault="000934ED" w:rsidP="00E054BB">
            <w:pPr>
              <w:spacing w:line="276" w:lineRule="auto"/>
              <w:jc w:val="both"/>
              <w:rPr>
                <w:rFonts w:cs="Times New Roman"/>
                <w:sz w:val="22"/>
              </w:rPr>
            </w:pPr>
            <w:r w:rsidRPr="00BF08F0">
              <w:rPr>
                <w:rFonts w:cs="Times New Roman"/>
                <w:sz w:val="22"/>
              </w:rPr>
              <w:t>F.4.1</w:t>
            </w:r>
          </w:p>
        </w:tc>
        <w:tc>
          <w:tcPr>
            <w:tcW w:w="1276" w:type="dxa"/>
            <w:tcBorders>
              <w:left w:val="nil"/>
            </w:tcBorders>
            <w:shd w:val="clear" w:color="auto" w:fill="E7E6E6" w:themeFill="background2"/>
          </w:tcPr>
          <w:p w14:paraId="076A229B" w14:textId="77777777" w:rsidR="000934ED" w:rsidRPr="00BF08F0" w:rsidRDefault="000934ED" w:rsidP="00E054BB">
            <w:pPr>
              <w:spacing w:line="276" w:lineRule="auto"/>
              <w:jc w:val="both"/>
              <w:rPr>
                <w:rFonts w:cs="Times New Roman"/>
                <w:sz w:val="22"/>
              </w:rPr>
            </w:pPr>
            <w:r w:rsidRPr="00BF08F0">
              <w:rPr>
                <w:rFonts w:cs="Times New Roman"/>
                <w:sz w:val="22"/>
              </w:rPr>
              <w:t>G.3.3</w:t>
            </w:r>
          </w:p>
        </w:tc>
      </w:tr>
      <w:tr w:rsidR="000934ED" w:rsidRPr="00BF08F0" w14:paraId="1F0BDB9F" w14:textId="77777777" w:rsidTr="000C490F">
        <w:tc>
          <w:tcPr>
            <w:tcW w:w="1242" w:type="dxa"/>
            <w:tcBorders>
              <w:right w:val="nil"/>
            </w:tcBorders>
          </w:tcPr>
          <w:p w14:paraId="568D0A6F" w14:textId="77777777" w:rsidR="000934ED" w:rsidRPr="00BF08F0" w:rsidRDefault="000934ED" w:rsidP="00E054BB">
            <w:pPr>
              <w:spacing w:line="276" w:lineRule="auto"/>
              <w:jc w:val="both"/>
              <w:rPr>
                <w:rFonts w:cs="Times New Roman"/>
                <w:sz w:val="22"/>
              </w:rPr>
            </w:pPr>
            <w:r w:rsidRPr="00BF08F0">
              <w:rPr>
                <w:rFonts w:cs="Times New Roman"/>
                <w:sz w:val="22"/>
              </w:rPr>
              <w:t>A.2.5</w:t>
            </w:r>
          </w:p>
        </w:tc>
        <w:tc>
          <w:tcPr>
            <w:tcW w:w="1276" w:type="dxa"/>
            <w:tcBorders>
              <w:left w:val="nil"/>
              <w:right w:val="nil"/>
            </w:tcBorders>
          </w:tcPr>
          <w:p w14:paraId="7BD62727" w14:textId="77777777" w:rsidR="000934ED" w:rsidRPr="00BF08F0" w:rsidRDefault="000934ED" w:rsidP="00E054BB">
            <w:pPr>
              <w:spacing w:line="276" w:lineRule="auto"/>
              <w:jc w:val="both"/>
              <w:rPr>
                <w:rFonts w:cs="Times New Roman"/>
                <w:sz w:val="22"/>
              </w:rPr>
            </w:pPr>
          </w:p>
        </w:tc>
        <w:tc>
          <w:tcPr>
            <w:tcW w:w="1276" w:type="dxa"/>
            <w:tcBorders>
              <w:left w:val="nil"/>
              <w:right w:val="nil"/>
            </w:tcBorders>
          </w:tcPr>
          <w:p w14:paraId="61A8F369" w14:textId="77777777" w:rsidR="000934ED" w:rsidRPr="00BF08F0" w:rsidRDefault="000934ED" w:rsidP="00E054BB">
            <w:pPr>
              <w:spacing w:line="276" w:lineRule="auto"/>
              <w:jc w:val="both"/>
              <w:rPr>
                <w:rFonts w:cs="Times New Roman"/>
                <w:sz w:val="22"/>
              </w:rPr>
            </w:pPr>
          </w:p>
        </w:tc>
        <w:tc>
          <w:tcPr>
            <w:tcW w:w="1304" w:type="dxa"/>
            <w:tcBorders>
              <w:left w:val="nil"/>
              <w:right w:val="nil"/>
            </w:tcBorders>
          </w:tcPr>
          <w:p w14:paraId="298EE0E2" w14:textId="77777777" w:rsidR="000934ED" w:rsidRPr="00BF08F0" w:rsidRDefault="000934ED" w:rsidP="00E054BB">
            <w:pPr>
              <w:spacing w:line="276" w:lineRule="auto"/>
              <w:jc w:val="both"/>
              <w:rPr>
                <w:rFonts w:cs="Times New Roman"/>
                <w:sz w:val="22"/>
              </w:rPr>
            </w:pPr>
          </w:p>
        </w:tc>
        <w:tc>
          <w:tcPr>
            <w:tcW w:w="1276" w:type="dxa"/>
            <w:tcBorders>
              <w:left w:val="nil"/>
              <w:right w:val="nil"/>
            </w:tcBorders>
          </w:tcPr>
          <w:p w14:paraId="6955FA7E" w14:textId="77777777" w:rsidR="000934ED" w:rsidRPr="00BF08F0" w:rsidRDefault="000934ED" w:rsidP="00E054BB">
            <w:pPr>
              <w:spacing w:line="276" w:lineRule="auto"/>
              <w:jc w:val="both"/>
              <w:rPr>
                <w:rFonts w:cs="Times New Roman"/>
                <w:sz w:val="22"/>
              </w:rPr>
            </w:pPr>
          </w:p>
        </w:tc>
        <w:tc>
          <w:tcPr>
            <w:tcW w:w="1276" w:type="dxa"/>
            <w:tcBorders>
              <w:left w:val="nil"/>
              <w:right w:val="nil"/>
            </w:tcBorders>
          </w:tcPr>
          <w:p w14:paraId="22779D0D" w14:textId="77777777" w:rsidR="000934ED" w:rsidRPr="00BF08F0" w:rsidRDefault="000934ED" w:rsidP="00E054BB">
            <w:pPr>
              <w:spacing w:line="276" w:lineRule="auto"/>
              <w:jc w:val="both"/>
              <w:rPr>
                <w:rFonts w:cs="Times New Roman"/>
                <w:sz w:val="22"/>
              </w:rPr>
            </w:pPr>
          </w:p>
        </w:tc>
        <w:tc>
          <w:tcPr>
            <w:tcW w:w="1276" w:type="dxa"/>
            <w:tcBorders>
              <w:left w:val="nil"/>
            </w:tcBorders>
          </w:tcPr>
          <w:p w14:paraId="61D0B710" w14:textId="77777777" w:rsidR="000934ED" w:rsidRPr="00BF08F0" w:rsidRDefault="000934ED" w:rsidP="00E054BB">
            <w:pPr>
              <w:spacing w:line="276" w:lineRule="auto"/>
              <w:jc w:val="both"/>
              <w:rPr>
                <w:rFonts w:cs="Times New Roman"/>
                <w:sz w:val="22"/>
              </w:rPr>
            </w:pPr>
          </w:p>
        </w:tc>
      </w:tr>
      <w:tr w:rsidR="000934ED" w:rsidRPr="00BF08F0" w14:paraId="59F41670" w14:textId="77777777" w:rsidTr="00C12E58">
        <w:trPr>
          <w:cnfStyle w:val="000000100000" w:firstRow="0" w:lastRow="0" w:firstColumn="0" w:lastColumn="0" w:oddVBand="0" w:evenVBand="0" w:oddHBand="1" w:evenHBand="0" w:firstRowFirstColumn="0" w:firstRowLastColumn="0" w:lastRowFirstColumn="0" w:lastRowLastColumn="0"/>
          <w:trHeight w:val="217"/>
        </w:trPr>
        <w:tc>
          <w:tcPr>
            <w:tcW w:w="1242" w:type="dxa"/>
            <w:tcBorders>
              <w:bottom w:val="double" w:sz="4" w:space="0" w:color="auto"/>
              <w:right w:val="nil"/>
            </w:tcBorders>
            <w:shd w:val="clear" w:color="auto" w:fill="E7E6E6" w:themeFill="background2"/>
          </w:tcPr>
          <w:p w14:paraId="24F53170" w14:textId="77777777" w:rsidR="000934ED" w:rsidRPr="00BF08F0" w:rsidRDefault="000934ED" w:rsidP="00E054BB">
            <w:pPr>
              <w:spacing w:line="276" w:lineRule="auto"/>
              <w:jc w:val="both"/>
              <w:rPr>
                <w:rFonts w:cs="Times New Roman"/>
                <w:sz w:val="22"/>
              </w:rPr>
            </w:pPr>
            <w:r w:rsidRPr="00BF08F0">
              <w:rPr>
                <w:rFonts w:cs="Times New Roman"/>
                <w:sz w:val="22"/>
              </w:rPr>
              <w:t>A.3.4</w:t>
            </w:r>
          </w:p>
        </w:tc>
        <w:tc>
          <w:tcPr>
            <w:tcW w:w="1276" w:type="dxa"/>
            <w:tcBorders>
              <w:left w:val="nil"/>
              <w:bottom w:val="double" w:sz="4" w:space="0" w:color="auto"/>
              <w:right w:val="nil"/>
            </w:tcBorders>
            <w:shd w:val="clear" w:color="auto" w:fill="E7E6E6" w:themeFill="background2"/>
          </w:tcPr>
          <w:p w14:paraId="6D7664E2" w14:textId="77777777" w:rsidR="000934ED" w:rsidRPr="00BF08F0" w:rsidRDefault="000934ED" w:rsidP="00E054BB">
            <w:pPr>
              <w:spacing w:line="276" w:lineRule="auto"/>
              <w:jc w:val="both"/>
              <w:rPr>
                <w:rFonts w:cs="Times New Roman"/>
                <w:sz w:val="22"/>
              </w:rPr>
            </w:pPr>
          </w:p>
        </w:tc>
        <w:tc>
          <w:tcPr>
            <w:tcW w:w="1276" w:type="dxa"/>
            <w:tcBorders>
              <w:left w:val="nil"/>
              <w:bottom w:val="double" w:sz="4" w:space="0" w:color="auto"/>
              <w:right w:val="nil"/>
            </w:tcBorders>
            <w:shd w:val="clear" w:color="auto" w:fill="E7E6E6" w:themeFill="background2"/>
          </w:tcPr>
          <w:p w14:paraId="72093214" w14:textId="77777777" w:rsidR="000934ED" w:rsidRPr="00BF08F0" w:rsidRDefault="000934ED" w:rsidP="00E054BB">
            <w:pPr>
              <w:spacing w:line="276" w:lineRule="auto"/>
              <w:jc w:val="both"/>
              <w:rPr>
                <w:rFonts w:cs="Times New Roman"/>
                <w:sz w:val="22"/>
              </w:rPr>
            </w:pPr>
          </w:p>
        </w:tc>
        <w:tc>
          <w:tcPr>
            <w:tcW w:w="1304" w:type="dxa"/>
            <w:tcBorders>
              <w:left w:val="nil"/>
              <w:bottom w:val="double" w:sz="4" w:space="0" w:color="auto"/>
              <w:right w:val="nil"/>
            </w:tcBorders>
            <w:shd w:val="clear" w:color="auto" w:fill="E7E6E6" w:themeFill="background2"/>
          </w:tcPr>
          <w:p w14:paraId="65D30C65" w14:textId="77777777" w:rsidR="000934ED" w:rsidRPr="00BF08F0" w:rsidRDefault="000934ED" w:rsidP="00E054BB">
            <w:pPr>
              <w:spacing w:line="276" w:lineRule="auto"/>
              <w:jc w:val="both"/>
              <w:rPr>
                <w:rFonts w:cs="Times New Roman"/>
                <w:sz w:val="22"/>
              </w:rPr>
            </w:pPr>
          </w:p>
        </w:tc>
        <w:tc>
          <w:tcPr>
            <w:tcW w:w="1276" w:type="dxa"/>
            <w:tcBorders>
              <w:left w:val="nil"/>
              <w:bottom w:val="double" w:sz="4" w:space="0" w:color="auto"/>
              <w:right w:val="nil"/>
            </w:tcBorders>
            <w:shd w:val="clear" w:color="auto" w:fill="E7E6E6" w:themeFill="background2"/>
          </w:tcPr>
          <w:p w14:paraId="6C8F6484" w14:textId="77777777" w:rsidR="000934ED" w:rsidRPr="00BF08F0" w:rsidRDefault="000934ED" w:rsidP="00E054BB">
            <w:pPr>
              <w:spacing w:line="276" w:lineRule="auto"/>
              <w:jc w:val="both"/>
              <w:rPr>
                <w:rFonts w:cs="Times New Roman"/>
                <w:sz w:val="22"/>
              </w:rPr>
            </w:pPr>
          </w:p>
        </w:tc>
        <w:tc>
          <w:tcPr>
            <w:tcW w:w="1276" w:type="dxa"/>
            <w:tcBorders>
              <w:left w:val="nil"/>
              <w:bottom w:val="double" w:sz="4" w:space="0" w:color="auto"/>
              <w:right w:val="nil"/>
            </w:tcBorders>
            <w:shd w:val="clear" w:color="auto" w:fill="E7E6E6" w:themeFill="background2"/>
          </w:tcPr>
          <w:p w14:paraId="54101663" w14:textId="77777777" w:rsidR="000934ED" w:rsidRPr="00BF08F0" w:rsidRDefault="000934ED" w:rsidP="00E054BB">
            <w:pPr>
              <w:spacing w:line="276" w:lineRule="auto"/>
              <w:jc w:val="both"/>
              <w:rPr>
                <w:rFonts w:cs="Times New Roman"/>
                <w:sz w:val="22"/>
              </w:rPr>
            </w:pPr>
          </w:p>
        </w:tc>
        <w:tc>
          <w:tcPr>
            <w:tcW w:w="1276" w:type="dxa"/>
            <w:tcBorders>
              <w:left w:val="nil"/>
              <w:bottom w:val="double" w:sz="4" w:space="0" w:color="auto"/>
            </w:tcBorders>
            <w:shd w:val="clear" w:color="auto" w:fill="E7E6E6" w:themeFill="background2"/>
          </w:tcPr>
          <w:p w14:paraId="0837A651" w14:textId="77777777" w:rsidR="000934ED" w:rsidRPr="00BF08F0" w:rsidRDefault="000934ED" w:rsidP="00E054BB">
            <w:pPr>
              <w:spacing w:line="276" w:lineRule="auto"/>
              <w:jc w:val="both"/>
              <w:rPr>
                <w:rFonts w:cs="Times New Roman"/>
                <w:sz w:val="22"/>
              </w:rPr>
            </w:pPr>
          </w:p>
        </w:tc>
      </w:tr>
    </w:tbl>
    <w:p w14:paraId="42CA9F0D" w14:textId="77777777" w:rsidR="00C12E58" w:rsidRDefault="000934ED" w:rsidP="00E054BB">
      <w:pPr>
        <w:spacing w:before="120" w:line="360" w:lineRule="auto"/>
        <w:jc w:val="center"/>
        <w:rPr>
          <w:rFonts w:cs="Times New Roman"/>
          <w:sz w:val="20"/>
        </w:rPr>
      </w:pPr>
      <w:r w:rsidRPr="000E7405">
        <w:rPr>
          <w:rFonts w:cs="Times New Roman"/>
          <w:sz w:val="20"/>
        </w:rPr>
        <w:t>Fonte: TIAC (2017)</w:t>
      </w:r>
    </w:p>
    <w:p w14:paraId="4AC55B11" w14:textId="5F58AA2B" w:rsidR="003C4D3E" w:rsidRPr="001732F0" w:rsidRDefault="000934ED" w:rsidP="001732F0">
      <w:pPr>
        <w:spacing w:line="360" w:lineRule="auto"/>
        <w:jc w:val="both"/>
        <w:rPr>
          <w:rFonts w:cs="Times New Roman"/>
          <w:sz w:val="20"/>
        </w:rPr>
      </w:pPr>
      <w:r>
        <w:rPr>
          <w:rFonts w:cs="Times New Roman"/>
        </w:rPr>
        <w:t xml:space="preserve">Relativamente às ponderações dadas em cada dimensão, é apresentado o </w:t>
      </w:r>
      <w:r w:rsidR="003C4D3E">
        <w:rPr>
          <w:rFonts w:cs="Times New Roman"/>
        </w:rPr>
        <w:t>G</w:t>
      </w:r>
      <w:r>
        <w:rPr>
          <w:rFonts w:cs="Times New Roman"/>
        </w:rPr>
        <w:t>ráfico</w:t>
      </w:r>
      <w:r w:rsidR="003C4D3E">
        <w:rPr>
          <w:rFonts w:cs="Times New Roman"/>
        </w:rPr>
        <w:t xml:space="preserve"> 3.1</w:t>
      </w:r>
      <w:r>
        <w:rPr>
          <w:rFonts w:cs="Times New Roman"/>
        </w:rPr>
        <w:t xml:space="preserve"> onde </w:t>
      </w:r>
      <w:r w:rsidR="00B4646C">
        <w:rPr>
          <w:rFonts w:cs="Times New Roman"/>
        </w:rPr>
        <w:t>pode-se</w:t>
      </w:r>
      <w:r>
        <w:rPr>
          <w:rFonts w:cs="Times New Roman"/>
        </w:rPr>
        <w:t xml:space="preserve"> observar que as dimensões com maior peso são as Dimensões E </w:t>
      </w:r>
      <w:proofErr w:type="spellStart"/>
      <w:r>
        <w:rPr>
          <w:rFonts w:cs="Times New Roman"/>
        </w:rPr>
        <w:t>e</w:t>
      </w:r>
      <w:proofErr w:type="spellEnd"/>
      <w:r>
        <w:rPr>
          <w:rFonts w:cs="Times New Roman"/>
        </w:rPr>
        <w:t xml:space="preserve"> G.</w:t>
      </w:r>
    </w:p>
    <w:p w14:paraId="1A09A9C5" w14:textId="6339C780" w:rsidR="000C490F" w:rsidRPr="003C4D3E" w:rsidRDefault="002079A9" w:rsidP="003C4D3E">
      <w:pPr>
        <w:pStyle w:val="Legenda"/>
        <w:spacing w:after="0"/>
        <w:jc w:val="center"/>
        <w:rPr>
          <w:b w:val="0"/>
          <w:noProof/>
          <w:color w:val="auto"/>
          <w:sz w:val="36"/>
        </w:rPr>
      </w:pPr>
      <w:bookmarkStart w:id="55" w:name="_Toc66624272"/>
      <w:r>
        <w:rPr>
          <w:rFonts w:cs="Times New Roman"/>
          <w:noProof/>
          <w:lang w:eastAsia="pt-PT"/>
        </w:rPr>
        <w:drawing>
          <wp:anchor distT="0" distB="0" distL="114300" distR="114300" simplePos="0" relativeHeight="251658246" behindDoc="1" locked="0" layoutInCell="1" allowOverlap="1" wp14:anchorId="2D4AB690" wp14:editId="2C4294F4">
            <wp:simplePos x="0" y="0"/>
            <wp:positionH relativeFrom="margin">
              <wp:posOffset>567690</wp:posOffset>
            </wp:positionH>
            <wp:positionV relativeFrom="paragraph">
              <wp:posOffset>175895</wp:posOffset>
            </wp:positionV>
            <wp:extent cx="4572000" cy="2077200"/>
            <wp:effectExtent l="0" t="0" r="0" b="0"/>
            <wp:wrapSquare wrapText="bothSides"/>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r w:rsidR="000C490F" w:rsidRPr="000C490F">
        <w:rPr>
          <w:bCs w:val="0"/>
          <w:color w:val="auto"/>
          <w:sz w:val="24"/>
        </w:rPr>
        <w:t xml:space="preserve">Gráfico </w:t>
      </w:r>
      <w:r w:rsidR="00360329">
        <w:rPr>
          <w:bCs w:val="0"/>
          <w:color w:val="auto"/>
          <w:sz w:val="24"/>
        </w:rPr>
        <w:fldChar w:fldCharType="begin"/>
      </w:r>
      <w:r w:rsidR="00360329">
        <w:rPr>
          <w:bCs w:val="0"/>
          <w:color w:val="auto"/>
          <w:sz w:val="24"/>
        </w:rPr>
        <w:instrText xml:space="preserve"> STYLEREF 1 \s </w:instrText>
      </w:r>
      <w:r w:rsidR="00360329">
        <w:rPr>
          <w:bCs w:val="0"/>
          <w:color w:val="auto"/>
          <w:sz w:val="24"/>
        </w:rPr>
        <w:fldChar w:fldCharType="separate"/>
      </w:r>
      <w:r w:rsidR="00380A6F">
        <w:rPr>
          <w:bCs w:val="0"/>
          <w:noProof/>
          <w:color w:val="auto"/>
          <w:sz w:val="24"/>
        </w:rPr>
        <w:t>3</w:t>
      </w:r>
      <w:r w:rsidR="00360329">
        <w:rPr>
          <w:bCs w:val="0"/>
          <w:color w:val="auto"/>
          <w:sz w:val="24"/>
        </w:rPr>
        <w:fldChar w:fldCharType="end"/>
      </w:r>
      <w:r w:rsidR="00360329">
        <w:rPr>
          <w:bCs w:val="0"/>
          <w:color w:val="auto"/>
          <w:sz w:val="24"/>
        </w:rPr>
        <w:t>.</w:t>
      </w:r>
      <w:r w:rsidR="00360329">
        <w:rPr>
          <w:bCs w:val="0"/>
          <w:color w:val="auto"/>
          <w:sz w:val="24"/>
        </w:rPr>
        <w:fldChar w:fldCharType="begin"/>
      </w:r>
      <w:r w:rsidR="00360329">
        <w:rPr>
          <w:bCs w:val="0"/>
          <w:color w:val="auto"/>
          <w:sz w:val="24"/>
        </w:rPr>
        <w:instrText xml:space="preserve"> SEQ Gráfico \* ARABIC \s 1 </w:instrText>
      </w:r>
      <w:r w:rsidR="00360329">
        <w:rPr>
          <w:bCs w:val="0"/>
          <w:color w:val="auto"/>
          <w:sz w:val="24"/>
        </w:rPr>
        <w:fldChar w:fldCharType="separate"/>
      </w:r>
      <w:r w:rsidR="00380A6F">
        <w:rPr>
          <w:bCs w:val="0"/>
          <w:noProof/>
          <w:color w:val="auto"/>
          <w:sz w:val="24"/>
        </w:rPr>
        <w:t>1</w:t>
      </w:r>
      <w:r w:rsidR="00360329">
        <w:rPr>
          <w:bCs w:val="0"/>
          <w:color w:val="auto"/>
          <w:sz w:val="24"/>
        </w:rPr>
        <w:fldChar w:fldCharType="end"/>
      </w:r>
      <w:r w:rsidR="000C490F" w:rsidRPr="000C490F">
        <w:rPr>
          <w:bCs w:val="0"/>
          <w:color w:val="auto"/>
          <w:sz w:val="24"/>
        </w:rPr>
        <w:t xml:space="preserve"> -</w:t>
      </w:r>
      <w:r w:rsidR="000C490F">
        <w:t xml:space="preserve"> </w:t>
      </w:r>
      <w:r w:rsidR="000C490F" w:rsidRPr="00127915">
        <w:rPr>
          <w:b w:val="0"/>
          <w:color w:val="auto"/>
          <w:sz w:val="24"/>
        </w:rPr>
        <w:t>Peso das Dime</w:t>
      </w:r>
      <w:r w:rsidR="000C490F">
        <w:rPr>
          <w:b w:val="0"/>
          <w:color w:val="auto"/>
          <w:sz w:val="24"/>
        </w:rPr>
        <w:t>n</w:t>
      </w:r>
      <w:r w:rsidR="000C490F" w:rsidRPr="00127915">
        <w:rPr>
          <w:b w:val="0"/>
          <w:color w:val="auto"/>
          <w:sz w:val="24"/>
        </w:rPr>
        <w:t>sões no ITM</w:t>
      </w:r>
      <w:bookmarkEnd w:id="55"/>
    </w:p>
    <w:p w14:paraId="47A3DAA0" w14:textId="3013330A" w:rsidR="003C4D3E" w:rsidRDefault="003C4D3E" w:rsidP="003C4D3E">
      <w:pPr>
        <w:spacing w:after="0" w:line="240" w:lineRule="auto"/>
        <w:jc w:val="center"/>
        <w:rPr>
          <w:rFonts w:cs="Times New Roman"/>
          <w:sz w:val="20"/>
        </w:rPr>
      </w:pPr>
    </w:p>
    <w:p w14:paraId="4EB5CCCC" w14:textId="22CFDCF4" w:rsidR="003C4D3E" w:rsidRDefault="003C4D3E" w:rsidP="003C4D3E">
      <w:pPr>
        <w:spacing w:after="0" w:line="240" w:lineRule="auto"/>
        <w:jc w:val="center"/>
        <w:rPr>
          <w:rFonts w:cs="Times New Roman"/>
          <w:sz w:val="20"/>
        </w:rPr>
      </w:pPr>
    </w:p>
    <w:p w14:paraId="64B3C07A" w14:textId="77777777" w:rsidR="003C4D3E" w:rsidRDefault="003C4D3E" w:rsidP="003C4D3E">
      <w:pPr>
        <w:spacing w:after="0" w:line="240" w:lineRule="auto"/>
        <w:jc w:val="center"/>
        <w:rPr>
          <w:rFonts w:cs="Times New Roman"/>
          <w:sz w:val="20"/>
        </w:rPr>
      </w:pPr>
    </w:p>
    <w:p w14:paraId="1FDEF08D" w14:textId="77777777" w:rsidR="003C4D3E" w:rsidRDefault="003C4D3E" w:rsidP="003C4D3E">
      <w:pPr>
        <w:spacing w:after="0" w:line="240" w:lineRule="auto"/>
        <w:jc w:val="center"/>
        <w:rPr>
          <w:rFonts w:cs="Times New Roman"/>
          <w:sz w:val="20"/>
        </w:rPr>
      </w:pPr>
    </w:p>
    <w:p w14:paraId="2DD2C2C6" w14:textId="77777777" w:rsidR="003C4D3E" w:rsidRDefault="003C4D3E" w:rsidP="003C4D3E">
      <w:pPr>
        <w:spacing w:after="0" w:line="240" w:lineRule="auto"/>
        <w:jc w:val="center"/>
        <w:rPr>
          <w:rFonts w:cs="Times New Roman"/>
          <w:sz w:val="20"/>
        </w:rPr>
      </w:pPr>
    </w:p>
    <w:p w14:paraId="166BCFA7" w14:textId="77777777" w:rsidR="003C4D3E" w:rsidRDefault="003C4D3E" w:rsidP="003C4D3E">
      <w:pPr>
        <w:spacing w:after="0" w:line="240" w:lineRule="auto"/>
        <w:jc w:val="center"/>
        <w:rPr>
          <w:rFonts w:cs="Times New Roman"/>
          <w:sz w:val="20"/>
        </w:rPr>
      </w:pPr>
    </w:p>
    <w:p w14:paraId="5F3D8300" w14:textId="77777777" w:rsidR="003C4D3E" w:rsidRDefault="003C4D3E" w:rsidP="003C4D3E">
      <w:pPr>
        <w:spacing w:after="0" w:line="240" w:lineRule="auto"/>
        <w:rPr>
          <w:rFonts w:cs="Times New Roman"/>
          <w:sz w:val="20"/>
        </w:rPr>
      </w:pPr>
    </w:p>
    <w:p w14:paraId="18D09132" w14:textId="77777777" w:rsidR="003C4D3E" w:rsidRDefault="003C4D3E" w:rsidP="003C4D3E">
      <w:pPr>
        <w:spacing w:line="240" w:lineRule="auto"/>
        <w:jc w:val="center"/>
        <w:rPr>
          <w:rFonts w:cs="Times New Roman"/>
          <w:sz w:val="20"/>
        </w:rPr>
      </w:pPr>
    </w:p>
    <w:p w14:paraId="1A16A2A5" w14:textId="77777777" w:rsidR="003C4D3E" w:rsidRDefault="003C4D3E" w:rsidP="00C12E58">
      <w:pPr>
        <w:spacing w:after="0" w:line="240" w:lineRule="auto"/>
        <w:jc w:val="center"/>
        <w:rPr>
          <w:rFonts w:cs="Times New Roman"/>
          <w:sz w:val="20"/>
        </w:rPr>
      </w:pPr>
    </w:p>
    <w:p w14:paraId="4D1DC8DD" w14:textId="77777777" w:rsidR="002079A9" w:rsidRDefault="002079A9" w:rsidP="00E054BB">
      <w:pPr>
        <w:spacing w:after="0" w:line="240" w:lineRule="auto"/>
        <w:rPr>
          <w:rFonts w:cs="Times New Roman"/>
          <w:sz w:val="20"/>
        </w:rPr>
      </w:pPr>
    </w:p>
    <w:p w14:paraId="67F55D5C" w14:textId="77777777" w:rsidR="00E054BB" w:rsidRDefault="00E054BB" w:rsidP="00330E80">
      <w:pPr>
        <w:spacing w:after="0" w:line="240" w:lineRule="auto"/>
        <w:jc w:val="center"/>
        <w:rPr>
          <w:rFonts w:cs="Times New Roman"/>
          <w:sz w:val="20"/>
        </w:rPr>
      </w:pPr>
    </w:p>
    <w:p w14:paraId="161EB4A3" w14:textId="77777777" w:rsidR="00E054BB" w:rsidRDefault="00E054BB" w:rsidP="00330E80">
      <w:pPr>
        <w:spacing w:after="0" w:line="240" w:lineRule="auto"/>
        <w:jc w:val="center"/>
        <w:rPr>
          <w:rFonts w:cs="Times New Roman"/>
          <w:sz w:val="20"/>
        </w:rPr>
      </w:pPr>
    </w:p>
    <w:p w14:paraId="4F82EA8D" w14:textId="77777777" w:rsidR="00E054BB" w:rsidRDefault="00E054BB" w:rsidP="00330E80">
      <w:pPr>
        <w:spacing w:after="0" w:line="240" w:lineRule="auto"/>
        <w:jc w:val="center"/>
        <w:rPr>
          <w:rFonts w:cs="Times New Roman"/>
          <w:sz w:val="20"/>
        </w:rPr>
      </w:pPr>
    </w:p>
    <w:p w14:paraId="2B188D4A" w14:textId="77777777" w:rsidR="00E054BB" w:rsidRDefault="00E054BB" w:rsidP="00330E80">
      <w:pPr>
        <w:spacing w:after="0" w:line="240" w:lineRule="auto"/>
        <w:jc w:val="center"/>
        <w:rPr>
          <w:rFonts w:cs="Times New Roman"/>
          <w:sz w:val="20"/>
        </w:rPr>
      </w:pPr>
    </w:p>
    <w:p w14:paraId="4A2991C4" w14:textId="6C6CF5A4" w:rsidR="00CA6D47" w:rsidRDefault="00CA6D47" w:rsidP="00330E80">
      <w:pPr>
        <w:spacing w:after="0" w:line="240" w:lineRule="auto"/>
        <w:jc w:val="center"/>
        <w:rPr>
          <w:rFonts w:cs="Times New Roman"/>
          <w:sz w:val="20"/>
        </w:rPr>
      </w:pPr>
      <w:r w:rsidRPr="000E7405">
        <w:rPr>
          <w:rFonts w:cs="Times New Roman"/>
          <w:sz w:val="20"/>
        </w:rPr>
        <w:t>Fonte: TIAC (2017)</w:t>
      </w:r>
    </w:p>
    <w:p w14:paraId="3A9002E4" w14:textId="76FF46E2" w:rsidR="002079A9" w:rsidRDefault="000934ED" w:rsidP="00C12E58">
      <w:pPr>
        <w:spacing w:before="240" w:line="360" w:lineRule="auto"/>
        <w:jc w:val="both"/>
        <w:rPr>
          <w:rFonts w:cs="Times New Roman"/>
        </w:rPr>
      </w:pPr>
      <w:r>
        <w:rPr>
          <w:rFonts w:cs="Times New Roman"/>
        </w:rPr>
        <w:t xml:space="preserve">Para o cálculo do valor do </w:t>
      </w:r>
      <w:proofErr w:type="spellStart"/>
      <w:r>
        <w:rPr>
          <w:rFonts w:cs="Times New Roman"/>
        </w:rPr>
        <w:t>sub-índice</w:t>
      </w:r>
      <w:proofErr w:type="spellEnd"/>
      <w:r>
        <w:rPr>
          <w:rFonts w:cs="Times New Roman"/>
        </w:rPr>
        <w:t xml:space="preserve"> é calculad</w:t>
      </w:r>
      <w:r w:rsidR="0072333D">
        <w:rPr>
          <w:rFonts w:cs="Times New Roman"/>
        </w:rPr>
        <w:t>a</w:t>
      </w:r>
      <w:r>
        <w:rPr>
          <w:rFonts w:cs="Times New Roman"/>
        </w:rPr>
        <w:t xml:space="preserve"> uma média aritmética simples dos indicadores “determinantes” e dos “importantes” e, sobre esta, </w:t>
      </w:r>
      <w:r w:rsidR="00F47108">
        <w:rPr>
          <w:rFonts w:cs="Times New Roman"/>
        </w:rPr>
        <w:t>são</w:t>
      </w:r>
      <w:r>
        <w:rPr>
          <w:rFonts w:cs="Times New Roman"/>
        </w:rPr>
        <w:t xml:space="preserve"> aplicada</w:t>
      </w:r>
      <w:r w:rsidR="00F47108">
        <w:rPr>
          <w:rFonts w:cs="Times New Roman"/>
        </w:rPr>
        <w:t>s</w:t>
      </w:r>
      <w:r>
        <w:rPr>
          <w:rFonts w:cs="Times New Roman"/>
        </w:rPr>
        <w:t xml:space="preserve"> as regras apresentadas na </w:t>
      </w:r>
      <w:r w:rsidR="003C4D3E">
        <w:rPr>
          <w:rFonts w:cs="Times New Roman"/>
        </w:rPr>
        <w:t>Tabela 3.2</w:t>
      </w:r>
      <w:r>
        <w:rPr>
          <w:rFonts w:cs="Times New Roman"/>
        </w:rPr>
        <w:t>.</w:t>
      </w:r>
    </w:p>
    <w:p w14:paraId="3A4F433D" w14:textId="0DD34DCF" w:rsidR="00E054BB" w:rsidRDefault="00E054BB" w:rsidP="00C12E58">
      <w:pPr>
        <w:spacing w:before="240" w:line="360" w:lineRule="auto"/>
        <w:jc w:val="both"/>
        <w:rPr>
          <w:rFonts w:cs="Times New Roman"/>
        </w:rPr>
      </w:pPr>
    </w:p>
    <w:p w14:paraId="7E5CBF15" w14:textId="14C1D026" w:rsidR="00E054BB" w:rsidRDefault="00E054BB" w:rsidP="00C12E58">
      <w:pPr>
        <w:spacing w:before="240" w:line="360" w:lineRule="auto"/>
        <w:jc w:val="both"/>
        <w:rPr>
          <w:rFonts w:cs="Times New Roman"/>
        </w:rPr>
      </w:pPr>
    </w:p>
    <w:p w14:paraId="6A5AF8E0" w14:textId="223B4FBE" w:rsidR="00E054BB" w:rsidRDefault="00E054BB" w:rsidP="00C12E58">
      <w:pPr>
        <w:spacing w:before="240" w:line="360" w:lineRule="auto"/>
        <w:jc w:val="both"/>
        <w:rPr>
          <w:rFonts w:cs="Times New Roman"/>
        </w:rPr>
      </w:pPr>
    </w:p>
    <w:p w14:paraId="586EE831" w14:textId="6407F09F" w:rsidR="00E054BB" w:rsidRDefault="00E054BB" w:rsidP="00C12E58">
      <w:pPr>
        <w:spacing w:before="240" w:line="360" w:lineRule="auto"/>
        <w:jc w:val="both"/>
        <w:rPr>
          <w:rFonts w:cs="Times New Roman"/>
        </w:rPr>
      </w:pPr>
    </w:p>
    <w:p w14:paraId="1FA6DD01" w14:textId="77777777" w:rsidR="00E054BB" w:rsidRDefault="00E054BB" w:rsidP="00C12E58">
      <w:pPr>
        <w:spacing w:before="240" w:line="360" w:lineRule="auto"/>
        <w:jc w:val="both"/>
        <w:rPr>
          <w:rFonts w:cs="Times New Roman"/>
        </w:rPr>
      </w:pPr>
    </w:p>
    <w:p w14:paraId="3CED6587" w14:textId="769C0089" w:rsidR="003C4D3E" w:rsidRDefault="003C4D3E" w:rsidP="003C4D3E">
      <w:pPr>
        <w:pStyle w:val="Legenda"/>
        <w:keepNext/>
        <w:spacing w:before="60" w:after="60"/>
        <w:jc w:val="center"/>
      </w:pPr>
      <w:bookmarkStart w:id="56" w:name="_Toc58853160"/>
      <w:bookmarkStart w:id="57" w:name="_Toc66624249"/>
      <w:r w:rsidRPr="003C4D3E">
        <w:rPr>
          <w:bCs w:val="0"/>
          <w:color w:val="auto"/>
          <w:sz w:val="24"/>
        </w:rPr>
        <w:lastRenderedPageBreak/>
        <w:t xml:space="preserve">Tabela </w:t>
      </w:r>
      <w:r w:rsidR="00843BFC">
        <w:rPr>
          <w:bCs w:val="0"/>
          <w:color w:val="auto"/>
          <w:sz w:val="24"/>
        </w:rPr>
        <w:fldChar w:fldCharType="begin"/>
      </w:r>
      <w:r w:rsidR="00843BFC">
        <w:rPr>
          <w:bCs w:val="0"/>
          <w:color w:val="auto"/>
          <w:sz w:val="24"/>
        </w:rPr>
        <w:instrText xml:space="preserve"> STYLEREF 1 \s </w:instrText>
      </w:r>
      <w:r w:rsidR="00843BFC">
        <w:rPr>
          <w:bCs w:val="0"/>
          <w:color w:val="auto"/>
          <w:sz w:val="24"/>
        </w:rPr>
        <w:fldChar w:fldCharType="separate"/>
      </w:r>
      <w:r w:rsidR="00380A6F">
        <w:rPr>
          <w:bCs w:val="0"/>
          <w:noProof/>
          <w:color w:val="auto"/>
          <w:sz w:val="24"/>
        </w:rPr>
        <w:t>3</w:t>
      </w:r>
      <w:r w:rsidR="00843BFC">
        <w:rPr>
          <w:bCs w:val="0"/>
          <w:color w:val="auto"/>
          <w:sz w:val="24"/>
        </w:rPr>
        <w:fldChar w:fldCharType="end"/>
      </w:r>
      <w:r w:rsidR="00843BFC">
        <w:rPr>
          <w:bCs w:val="0"/>
          <w:color w:val="auto"/>
          <w:sz w:val="24"/>
        </w:rPr>
        <w:t>.</w:t>
      </w:r>
      <w:r w:rsidR="00843BFC">
        <w:rPr>
          <w:bCs w:val="0"/>
          <w:color w:val="auto"/>
          <w:sz w:val="24"/>
        </w:rPr>
        <w:fldChar w:fldCharType="begin"/>
      </w:r>
      <w:r w:rsidR="00843BFC">
        <w:rPr>
          <w:bCs w:val="0"/>
          <w:color w:val="auto"/>
          <w:sz w:val="24"/>
        </w:rPr>
        <w:instrText xml:space="preserve"> SEQ Tabela \* ARABIC \s 1 </w:instrText>
      </w:r>
      <w:r w:rsidR="00843BFC">
        <w:rPr>
          <w:bCs w:val="0"/>
          <w:color w:val="auto"/>
          <w:sz w:val="24"/>
        </w:rPr>
        <w:fldChar w:fldCharType="separate"/>
      </w:r>
      <w:r w:rsidR="00380A6F">
        <w:rPr>
          <w:bCs w:val="0"/>
          <w:noProof/>
          <w:color w:val="auto"/>
          <w:sz w:val="24"/>
        </w:rPr>
        <w:t>2</w:t>
      </w:r>
      <w:r w:rsidR="00843BFC">
        <w:rPr>
          <w:bCs w:val="0"/>
          <w:color w:val="auto"/>
          <w:sz w:val="24"/>
        </w:rPr>
        <w:fldChar w:fldCharType="end"/>
      </w:r>
      <w:r w:rsidRPr="003C4D3E">
        <w:rPr>
          <w:bCs w:val="0"/>
          <w:color w:val="auto"/>
          <w:sz w:val="24"/>
        </w:rPr>
        <w:t xml:space="preserve"> -</w:t>
      </w:r>
      <w:r>
        <w:t xml:space="preserve"> </w:t>
      </w:r>
      <w:r w:rsidRPr="00BF08F0">
        <w:rPr>
          <w:b w:val="0"/>
          <w:color w:val="auto"/>
          <w:sz w:val="24"/>
        </w:rPr>
        <w:t>Regras de Pontuação por Dimensão</w:t>
      </w:r>
      <w:bookmarkEnd w:id="56"/>
      <w:bookmarkEnd w:id="57"/>
    </w:p>
    <w:tbl>
      <w:tblPr>
        <w:tblStyle w:val="TabeladeLista6Colorida1"/>
        <w:tblW w:w="8647" w:type="dxa"/>
        <w:jc w:val="center"/>
        <w:tblLook w:val="04A0" w:firstRow="1" w:lastRow="0" w:firstColumn="1" w:lastColumn="0" w:noHBand="0" w:noVBand="1"/>
      </w:tblPr>
      <w:tblGrid>
        <w:gridCol w:w="791"/>
        <w:gridCol w:w="6650"/>
        <w:gridCol w:w="1206"/>
      </w:tblGrid>
      <w:tr w:rsidR="000934ED" w:rsidRPr="00B14AAE" w14:paraId="664CDAF9" w14:textId="77777777" w:rsidTr="003C4D3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91" w:type="dxa"/>
            <w:tcBorders>
              <w:top w:val="double" w:sz="4" w:space="0" w:color="auto"/>
            </w:tcBorders>
          </w:tcPr>
          <w:p w14:paraId="7D455836" w14:textId="77777777" w:rsidR="000934ED" w:rsidRPr="00B14AAE" w:rsidRDefault="000934ED" w:rsidP="00BF08F0">
            <w:pPr>
              <w:spacing w:line="360" w:lineRule="auto"/>
              <w:rPr>
                <w:rFonts w:cs="Times New Roman"/>
                <w:sz w:val="22"/>
              </w:rPr>
            </w:pPr>
            <w:r w:rsidRPr="00B14AAE">
              <w:rPr>
                <w:rFonts w:cs="Times New Roman"/>
                <w:sz w:val="22"/>
              </w:rPr>
              <w:t>Níveis</w:t>
            </w:r>
          </w:p>
        </w:tc>
        <w:tc>
          <w:tcPr>
            <w:tcW w:w="6650" w:type="dxa"/>
            <w:tcBorders>
              <w:top w:val="double" w:sz="4" w:space="0" w:color="auto"/>
            </w:tcBorders>
          </w:tcPr>
          <w:p w14:paraId="68560328" w14:textId="77777777" w:rsidR="000934ED" w:rsidRPr="00B14AAE" w:rsidRDefault="000934ED" w:rsidP="00BF08F0">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sz w:val="22"/>
              </w:rPr>
            </w:pPr>
            <w:r w:rsidRPr="00B14AAE">
              <w:rPr>
                <w:rFonts w:cs="Times New Roman"/>
                <w:sz w:val="22"/>
              </w:rPr>
              <w:t>Desempenho</w:t>
            </w:r>
          </w:p>
        </w:tc>
        <w:tc>
          <w:tcPr>
            <w:tcW w:w="1206" w:type="dxa"/>
            <w:tcBorders>
              <w:top w:val="double" w:sz="4" w:space="0" w:color="auto"/>
            </w:tcBorders>
          </w:tcPr>
          <w:p w14:paraId="46C3F2F7" w14:textId="77777777" w:rsidR="000934ED" w:rsidRPr="00B14AAE" w:rsidRDefault="000934ED" w:rsidP="00BF08F0">
            <w:pPr>
              <w:spacing w:line="360" w:lineRule="auto"/>
              <w:jc w:val="right"/>
              <w:cnfStyle w:val="100000000000" w:firstRow="1" w:lastRow="0" w:firstColumn="0" w:lastColumn="0" w:oddVBand="0" w:evenVBand="0" w:oddHBand="0" w:evenHBand="0" w:firstRowFirstColumn="0" w:firstRowLastColumn="0" w:lastRowFirstColumn="0" w:lastRowLastColumn="0"/>
              <w:rPr>
                <w:rFonts w:cs="Times New Roman"/>
                <w:sz w:val="22"/>
              </w:rPr>
            </w:pPr>
            <w:r w:rsidRPr="00B14AAE">
              <w:rPr>
                <w:rFonts w:cs="Times New Roman"/>
                <w:sz w:val="22"/>
              </w:rPr>
              <w:t>Pontuação</w:t>
            </w:r>
          </w:p>
        </w:tc>
      </w:tr>
      <w:tr w:rsidR="000934ED" w:rsidRPr="00B14AAE" w14:paraId="2948DF77" w14:textId="77777777" w:rsidTr="00957AD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91" w:type="dxa"/>
            <w:shd w:val="clear" w:color="auto" w:fill="E7E6E6" w:themeFill="background2"/>
          </w:tcPr>
          <w:p w14:paraId="2D797C38" w14:textId="77777777" w:rsidR="000934ED" w:rsidRPr="00B14AAE" w:rsidRDefault="000934ED" w:rsidP="00BF08F0">
            <w:pPr>
              <w:spacing w:line="360" w:lineRule="auto"/>
              <w:rPr>
                <w:rFonts w:cs="Times New Roman"/>
                <w:sz w:val="22"/>
              </w:rPr>
            </w:pPr>
            <w:r w:rsidRPr="00B14AAE">
              <w:rPr>
                <w:rFonts w:cs="Times New Roman"/>
                <w:sz w:val="22"/>
              </w:rPr>
              <w:t>I.</w:t>
            </w:r>
          </w:p>
        </w:tc>
        <w:tc>
          <w:tcPr>
            <w:tcW w:w="6650" w:type="dxa"/>
            <w:shd w:val="clear" w:color="auto" w:fill="E7E6E6" w:themeFill="background2"/>
          </w:tcPr>
          <w:p w14:paraId="289F2A31" w14:textId="77777777" w:rsidR="000934ED" w:rsidRPr="00B14AAE" w:rsidRDefault="000934ED" w:rsidP="002D4DA2">
            <w:pPr>
              <w:spacing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B14AAE">
              <w:rPr>
                <w:rFonts w:cs="Times New Roman"/>
                <w:sz w:val="22"/>
              </w:rPr>
              <w:t>Toda a informação é disponibilizada</w:t>
            </w:r>
          </w:p>
        </w:tc>
        <w:tc>
          <w:tcPr>
            <w:tcW w:w="1206" w:type="dxa"/>
            <w:shd w:val="clear" w:color="auto" w:fill="E7E6E6" w:themeFill="background2"/>
          </w:tcPr>
          <w:p w14:paraId="7D2255F7" w14:textId="77777777" w:rsidR="000934ED" w:rsidRPr="00B14AAE" w:rsidRDefault="000934ED" w:rsidP="00BF08F0">
            <w:pPr>
              <w:spacing w:line="360" w:lineRule="auto"/>
              <w:jc w:val="right"/>
              <w:cnfStyle w:val="000000100000" w:firstRow="0" w:lastRow="0" w:firstColumn="0" w:lastColumn="0" w:oddVBand="0" w:evenVBand="0" w:oddHBand="1" w:evenHBand="0" w:firstRowFirstColumn="0" w:firstRowLastColumn="0" w:lastRowFirstColumn="0" w:lastRowLastColumn="0"/>
              <w:rPr>
                <w:rFonts w:cs="Times New Roman"/>
                <w:sz w:val="22"/>
              </w:rPr>
            </w:pPr>
            <w:r w:rsidRPr="00B14AAE">
              <w:rPr>
                <w:rFonts w:cs="Times New Roman"/>
                <w:sz w:val="22"/>
              </w:rPr>
              <w:t>100</w:t>
            </w:r>
          </w:p>
        </w:tc>
      </w:tr>
      <w:tr w:rsidR="000934ED" w:rsidRPr="00B14AAE" w14:paraId="49145507" w14:textId="77777777" w:rsidTr="003C4D3E">
        <w:trPr>
          <w:jc w:val="center"/>
        </w:trPr>
        <w:tc>
          <w:tcPr>
            <w:cnfStyle w:val="001000000000" w:firstRow="0" w:lastRow="0" w:firstColumn="1" w:lastColumn="0" w:oddVBand="0" w:evenVBand="0" w:oddHBand="0" w:evenHBand="0" w:firstRowFirstColumn="0" w:firstRowLastColumn="0" w:lastRowFirstColumn="0" w:lastRowLastColumn="0"/>
            <w:tcW w:w="791" w:type="dxa"/>
          </w:tcPr>
          <w:p w14:paraId="6BB1A016" w14:textId="77777777" w:rsidR="000934ED" w:rsidRPr="00B14AAE" w:rsidRDefault="000934ED" w:rsidP="0074341D">
            <w:pPr>
              <w:spacing w:line="360" w:lineRule="auto"/>
              <w:rPr>
                <w:rFonts w:cs="Times New Roman"/>
                <w:sz w:val="22"/>
              </w:rPr>
            </w:pPr>
            <w:r w:rsidRPr="00B14AAE">
              <w:rPr>
                <w:rFonts w:cs="Times New Roman"/>
                <w:sz w:val="22"/>
              </w:rPr>
              <w:t>II.</w:t>
            </w:r>
          </w:p>
        </w:tc>
        <w:tc>
          <w:tcPr>
            <w:tcW w:w="6650" w:type="dxa"/>
          </w:tcPr>
          <w:p w14:paraId="18574D40" w14:textId="77777777" w:rsidR="000934ED" w:rsidRPr="00B14AAE" w:rsidRDefault="000934ED" w:rsidP="002D4DA2">
            <w:pPr>
              <w:cnfStyle w:val="000000000000" w:firstRow="0" w:lastRow="0" w:firstColumn="0" w:lastColumn="0" w:oddVBand="0" w:evenVBand="0" w:oddHBand="0" w:evenHBand="0" w:firstRowFirstColumn="0" w:firstRowLastColumn="0" w:lastRowFirstColumn="0" w:lastRowLastColumn="0"/>
              <w:rPr>
                <w:rFonts w:cs="Times New Roman"/>
                <w:sz w:val="22"/>
              </w:rPr>
            </w:pPr>
            <w:r w:rsidRPr="00B14AAE">
              <w:rPr>
                <w:rFonts w:cs="Times New Roman"/>
                <w:sz w:val="22"/>
              </w:rPr>
              <w:t>Toda a informação “determinante” e mais de 50% da “importante”</w:t>
            </w:r>
          </w:p>
        </w:tc>
        <w:tc>
          <w:tcPr>
            <w:tcW w:w="1206" w:type="dxa"/>
          </w:tcPr>
          <w:p w14:paraId="683B6165" w14:textId="77777777" w:rsidR="000934ED" w:rsidRPr="00B14AAE" w:rsidRDefault="000934ED" w:rsidP="0074341D">
            <w:pPr>
              <w:spacing w:line="360" w:lineRule="auto"/>
              <w:jc w:val="right"/>
              <w:cnfStyle w:val="000000000000" w:firstRow="0" w:lastRow="0" w:firstColumn="0" w:lastColumn="0" w:oddVBand="0" w:evenVBand="0" w:oddHBand="0" w:evenHBand="0" w:firstRowFirstColumn="0" w:firstRowLastColumn="0" w:lastRowFirstColumn="0" w:lastRowLastColumn="0"/>
              <w:rPr>
                <w:rFonts w:cs="Times New Roman"/>
                <w:sz w:val="22"/>
              </w:rPr>
            </w:pPr>
            <w:r w:rsidRPr="00B14AAE">
              <w:rPr>
                <w:rFonts w:cs="Times New Roman"/>
                <w:sz w:val="22"/>
              </w:rPr>
              <w:t>93</w:t>
            </w:r>
          </w:p>
        </w:tc>
      </w:tr>
      <w:tr w:rsidR="000934ED" w:rsidRPr="00B14AAE" w14:paraId="2291BF27" w14:textId="77777777" w:rsidTr="00957AD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91" w:type="dxa"/>
            <w:shd w:val="clear" w:color="auto" w:fill="E7E6E6" w:themeFill="background2"/>
          </w:tcPr>
          <w:p w14:paraId="2C0ED89E" w14:textId="77777777" w:rsidR="000934ED" w:rsidRPr="00B14AAE" w:rsidRDefault="000934ED" w:rsidP="0074341D">
            <w:pPr>
              <w:spacing w:line="360" w:lineRule="auto"/>
              <w:rPr>
                <w:rFonts w:cs="Times New Roman"/>
                <w:sz w:val="22"/>
              </w:rPr>
            </w:pPr>
            <w:r w:rsidRPr="00B14AAE">
              <w:rPr>
                <w:rFonts w:cs="Times New Roman"/>
                <w:sz w:val="22"/>
              </w:rPr>
              <w:t>III.</w:t>
            </w:r>
          </w:p>
        </w:tc>
        <w:tc>
          <w:tcPr>
            <w:tcW w:w="6650" w:type="dxa"/>
            <w:shd w:val="clear" w:color="auto" w:fill="E7E6E6" w:themeFill="background2"/>
          </w:tcPr>
          <w:p w14:paraId="5098EE87" w14:textId="77777777" w:rsidR="000934ED" w:rsidRPr="00B14AAE" w:rsidRDefault="000934ED" w:rsidP="002D4DA2">
            <w:pPr>
              <w:cnfStyle w:val="000000100000" w:firstRow="0" w:lastRow="0" w:firstColumn="0" w:lastColumn="0" w:oddVBand="0" w:evenVBand="0" w:oddHBand="1" w:evenHBand="0" w:firstRowFirstColumn="0" w:firstRowLastColumn="0" w:lastRowFirstColumn="0" w:lastRowLastColumn="0"/>
              <w:rPr>
                <w:rFonts w:cs="Times New Roman"/>
                <w:sz w:val="22"/>
              </w:rPr>
            </w:pPr>
            <w:r w:rsidRPr="00B14AAE">
              <w:rPr>
                <w:rFonts w:cs="Times New Roman"/>
                <w:sz w:val="22"/>
              </w:rPr>
              <w:t>Toda a informação “determinante” e entre 25% a 50% da informação “importante”</w:t>
            </w:r>
          </w:p>
        </w:tc>
        <w:tc>
          <w:tcPr>
            <w:tcW w:w="1206" w:type="dxa"/>
            <w:shd w:val="clear" w:color="auto" w:fill="E7E6E6" w:themeFill="background2"/>
          </w:tcPr>
          <w:p w14:paraId="160395AD" w14:textId="77777777" w:rsidR="000934ED" w:rsidRPr="00B14AAE" w:rsidRDefault="000934ED" w:rsidP="0074341D">
            <w:pPr>
              <w:spacing w:line="360" w:lineRule="auto"/>
              <w:jc w:val="right"/>
              <w:cnfStyle w:val="000000100000" w:firstRow="0" w:lastRow="0" w:firstColumn="0" w:lastColumn="0" w:oddVBand="0" w:evenVBand="0" w:oddHBand="1" w:evenHBand="0" w:firstRowFirstColumn="0" w:firstRowLastColumn="0" w:lastRowFirstColumn="0" w:lastRowLastColumn="0"/>
              <w:rPr>
                <w:rFonts w:cs="Times New Roman"/>
                <w:sz w:val="22"/>
              </w:rPr>
            </w:pPr>
            <w:r w:rsidRPr="00B14AAE">
              <w:rPr>
                <w:rFonts w:cs="Times New Roman"/>
                <w:sz w:val="22"/>
              </w:rPr>
              <w:t>86</w:t>
            </w:r>
          </w:p>
        </w:tc>
      </w:tr>
      <w:tr w:rsidR="000934ED" w:rsidRPr="00B14AAE" w14:paraId="59C322D5" w14:textId="77777777" w:rsidTr="003C4D3E">
        <w:trPr>
          <w:jc w:val="center"/>
        </w:trPr>
        <w:tc>
          <w:tcPr>
            <w:cnfStyle w:val="001000000000" w:firstRow="0" w:lastRow="0" w:firstColumn="1" w:lastColumn="0" w:oddVBand="0" w:evenVBand="0" w:oddHBand="0" w:evenHBand="0" w:firstRowFirstColumn="0" w:firstRowLastColumn="0" w:lastRowFirstColumn="0" w:lastRowLastColumn="0"/>
            <w:tcW w:w="791" w:type="dxa"/>
          </w:tcPr>
          <w:p w14:paraId="4C5F0293" w14:textId="77777777" w:rsidR="000934ED" w:rsidRPr="00B14AAE" w:rsidRDefault="000934ED" w:rsidP="0074341D">
            <w:pPr>
              <w:spacing w:line="360" w:lineRule="auto"/>
              <w:rPr>
                <w:rFonts w:cs="Times New Roman"/>
                <w:sz w:val="22"/>
              </w:rPr>
            </w:pPr>
            <w:r w:rsidRPr="00B14AAE">
              <w:rPr>
                <w:rFonts w:cs="Times New Roman"/>
                <w:sz w:val="22"/>
              </w:rPr>
              <w:t>IV.</w:t>
            </w:r>
          </w:p>
        </w:tc>
        <w:tc>
          <w:tcPr>
            <w:tcW w:w="6650" w:type="dxa"/>
          </w:tcPr>
          <w:p w14:paraId="73F29F36" w14:textId="77777777" w:rsidR="000934ED" w:rsidRPr="00B14AAE" w:rsidRDefault="000934ED" w:rsidP="002D4DA2">
            <w:pPr>
              <w:cnfStyle w:val="000000000000" w:firstRow="0" w:lastRow="0" w:firstColumn="0" w:lastColumn="0" w:oddVBand="0" w:evenVBand="0" w:oddHBand="0" w:evenHBand="0" w:firstRowFirstColumn="0" w:firstRowLastColumn="0" w:lastRowFirstColumn="0" w:lastRowLastColumn="0"/>
              <w:rPr>
                <w:rFonts w:cs="Times New Roman"/>
                <w:sz w:val="22"/>
              </w:rPr>
            </w:pPr>
            <w:r w:rsidRPr="00B14AAE">
              <w:rPr>
                <w:rFonts w:cs="Times New Roman"/>
                <w:sz w:val="22"/>
              </w:rPr>
              <w:t>Toda a informação “determinante” e menos de 25% da informação “importante”</w:t>
            </w:r>
          </w:p>
        </w:tc>
        <w:tc>
          <w:tcPr>
            <w:tcW w:w="1206" w:type="dxa"/>
          </w:tcPr>
          <w:p w14:paraId="3DD2C457" w14:textId="77777777" w:rsidR="000934ED" w:rsidRPr="00B14AAE" w:rsidRDefault="000934ED" w:rsidP="0074341D">
            <w:pPr>
              <w:spacing w:line="360" w:lineRule="auto"/>
              <w:jc w:val="right"/>
              <w:cnfStyle w:val="000000000000" w:firstRow="0" w:lastRow="0" w:firstColumn="0" w:lastColumn="0" w:oddVBand="0" w:evenVBand="0" w:oddHBand="0" w:evenHBand="0" w:firstRowFirstColumn="0" w:firstRowLastColumn="0" w:lastRowFirstColumn="0" w:lastRowLastColumn="0"/>
              <w:rPr>
                <w:rFonts w:cs="Times New Roman"/>
                <w:sz w:val="22"/>
              </w:rPr>
            </w:pPr>
            <w:r w:rsidRPr="00B14AAE">
              <w:rPr>
                <w:rFonts w:cs="Times New Roman"/>
                <w:sz w:val="22"/>
              </w:rPr>
              <w:t>79</w:t>
            </w:r>
          </w:p>
        </w:tc>
      </w:tr>
      <w:tr w:rsidR="000934ED" w:rsidRPr="00B14AAE" w14:paraId="2DC930DB" w14:textId="77777777" w:rsidTr="00957AD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91" w:type="dxa"/>
            <w:shd w:val="clear" w:color="auto" w:fill="E7E6E6" w:themeFill="background2"/>
          </w:tcPr>
          <w:p w14:paraId="2E1C2E6E" w14:textId="77777777" w:rsidR="000934ED" w:rsidRPr="00B14AAE" w:rsidRDefault="000934ED" w:rsidP="0074341D">
            <w:pPr>
              <w:spacing w:line="360" w:lineRule="auto"/>
              <w:rPr>
                <w:rFonts w:cs="Times New Roman"/>
                <w:sz w:val="22"/>
              </w:rPr>
            </w:pPr>
            <w:r w:rsidRPr="00B14AAE">
              <w:rPr>
                <w:rFonts w:cs="Times New Roman"/>
                <w:sz w:val="22"/>
              </w:rPr>
              <w:t>V.</w:t>
            </w:r>
          </w:p>
        </w:tc>
        <w:tc>
          <w:tcPr>
            <w:tcW w:w="6650" w:type="dxa"/>
            <w:shd w:val="clear" w:color="auto" w:fill="E7E6E6" w:themeFill="background2"/>
          </w:tcPr>
          <w:p w14:paraId="0A2DFEC4" w14:textId="77777777" w:rsidR="000934ED" w:rsidRPr="00B14AAE" w:rsidRDefault="000934ED" w:rsidP="002D4DA2">
            <w:pPr>
              <w:cnfStyle w:val="000000100000" w:firstRow="0" w:lastRow="0" w:firstColumn="0" w:lastColumn="0" w:oddVBand="0" w:evenVBand="0" w:oddHBand="1" w:evenHBand="0" w:firstRowFirstColumn="0" w:firstRowLastColumn="0" w:lastRowFirstColumn="0" w:lastRowLastColumn="0"/>
              <w:rPr>
                <w:rFonts w:cs="Times New Roman"/>
                <w:sz w:val="22"/>
              </w:rPr>
            </w:pPr>
            <w:r w:rsidRPr="00B14AAE">
              <w:rPr>
                <w:rFonts w:cs="Times New Roman"/>
                <w:sz w:val="22"/>
              </w:rPr>
              <w:t>Mais de 50% da informação “determinante” e mais de 50% da informação “importante”</w:t>
            </w:r>
          </w:p>
        </w:tc>
        <w:tc>
          <w:tcPr>
            <w:tcW w:w="1206" w:type="dxa"/>
            <w:shd w:val="clear" w:color="auto" w:fill="E7E6E6" w:themeFill="background2"/>
          </w:tcPr>
          <w:p w14:paraId="21935FA6" w14:textId="77777777" w:rsidR="000934ED" w:rsidRPr="00B14AAE" w:rsidRDefault="000934ED" w:rsidP="0074341D">
            <w:pPr>
              <w:spacing w:line="360" w:lineRule="auto"/>
              <w:jc w:val="right"/>
              <w:cnfStyle w:val="000000100000" w:firstRow="0" w:lastRow="0" w:firstColumn="0" w:lastColumn="0" w:oddVBand="0" w:evenVBand="0" w:oddHBand="1" w:evenHBand="0" w:firstRowFirstColumn="0" w:firstRowLastColumn="0" w:lastRowFirstColumn="0" w:lastRowLastColumn="0"/>
              <w:rPr>
                <w:rFonts w:cs="Times New Roman"/>
                <w:sz w:val="22"/>
              </w:rPr>
            </w:pPr>
            <w:r w:rsidRPr="00B14AAE">
              <w:rPr>
                <w:rFonts w:cs="Times New Roman"/>
                <w:sz w:val="22"/>
              </w:rPr>
              <w:t>71</w:t>
            </w:r>
          </w:p>
        </w:tc>
      </w:tr>
      <w:tr w:rsidR="000934ED" w:rsidRPr="00B14AAE" w14:paraId="694F2463" w14:textId="77777777" w:rsidTr="003C4D3E">
        <w:trPr>
          <w:jc w:val="center"/>
        </w:trPr>
        <w:tc>
          <w:tcPr>
            <w:cnfStyle w:val="001000000000" w:firstRow="0" w:lastRow="0" w:firstColumn="1" w:lastColumn="0" w:oddVBand="0" w:evenVBand="0" w:oddHBand="0" w:evenHBand="0" w:firstRowFirstColumn="0" w:firstRowLastColumn="0" w:lastRowFirstColumn="0" w:lastRowLastColumn="0"/>
            <w:tcW w:w="791" w:type="dxa"/>
          </w:tcPr>
          <w:p w14:paraId="1A641B53" w14:textId="77777777" w:rsidR="000934ED" w:rsidRPr="00B14AAE" w:rsidRDefault="000934ED" w:rsidP="0074341D">
            <w:pPr>
              <w:spacing w:line="360" w:lineRule="auto"/>
              <w:rPr>
                <w:rFonts w:cs="Times New Roman"/>
                <w:sz w:val="22"/>
              </w:rPr>
            </w:pPr>
            <w:r w:rsidRPr="00B14AAE">
              <w:rPr>
                <w:rFonts w:cs="Times New Roman"/>
                <w:sz w:val="22"/>
              </w:rPr>
              <w:t>VI.</w:t>
            </w:r>
          </w:p>
        </w:tc>
        <w:tc>
          <w:tcPr>
            <w:tcW w:w="6650" w:type="dxa"/>
          </w:tcPr>
          <w:p w14:paraId="0D7909DC" w14:textId="77777777" w:rsidR="000934ED" w:rsidRPr="00B14AAE" w:rsidRDefault="000934ED" w:rsidP="002D4DA2">
            <w:pPr>
              <w:cnfStyle w:val="000000000000" w:firstRow="0" w:lastRow="0" w:firstColumn="0" w:lastColumn="0" w:oddVBand="0" w:evenVBand="0" w:oddHBand="0" w:evenHBand="0" w:firstRowFirstColumn="0" w:firstRowLastColumn="0" w:lastRowFirstColumn="0" w:lastRowLastColumn="0"/>
              <w:rPr>
                <w:rFonts w:cs="Times New Roman"/>
                <w:sz w:val="22"/>
              </w:rPr>
            </w:pPr>
            <w:r w:rsidRPr="00B14AAE">
              <w:rPr>
                <w:rFonts w:cs="Times New Roman"/>
                <w:sz w:val="22"/>
              </w:rPr>
              <w:t>Mais de 50% da informação “determinante” e entre 25% a 50% da informação “importante”</w:t>
            </w:r>
          </w:p>
        </w:tc>
        <w:tc>
          <w:tcPr>
            <w:tcW w:w="1206" w:type="dxa"/>
          </w:tcPr>
          <w:p w14:paraId="777BF411" w14:textId="77777777" w:rsidR="000934ED" w:rsidRPr="00B14AAE" w:rsidRDefault="000934ED" w:rsidP="0074341D">
            <w:pPr>
              <w:spacing w:line="360" w:lineRule="auto"/>
              <w:jc w:val="right"/>
              <w:cnfStyle w:val="000000000000" w:firstRow="0" w:lastRow="0" w:firstColumn="0" w:lastColumn="0" w:oddVBand="0" w:evenVBand="0" w:oddHBand="0" w:evenHBand="0" w:firstRowFirstColumn="0" w:firstRowLastColumn="0" w:lastRowFirstColumn="0" w:lastRowLastColumn="0"/>
              <w:rPr>
                <w:rFonts w:cs="Times New Roman"/>
                <w:sz w:val="22"/>
              </w:rPr>
            </w:pPr>
            <w:r w:rsidRPr="00B14AAE">
              <w:rPr>
                <w:rFonts w:cs="Times New Roman"/>
                <w:sz w:val="22"/>
              </w:rPr>
              <w:t>64</w:t>
            </w:r>
          </w:p>
        </w:tc>
      </w:tr>
      <w:tr w:rsidR="000934ED" w:rsidRPr="00B14AAE" w14:paraId="29D78A0E" w14:textId="77777777" w:rsidTr="00957AD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91" w:type="dxa"/>
            <w:shd w:val="clear" w:color="auto" w:fill="E7E6E6" w:themeFill="background2"/>
          </w:tcPr>
          <w:p w14:paraId="1C33DFAE" w14:textId="77777777" w:rsidR="000934ED" w:rsidRPr="00B14AAE" w:rsidRDefault="000934ED" w:rsidP="0074341D">
            <w:pPr>
              <w:spacing w:line="360" w:lineRule="auto"/>
              <w:rPr>
                <w:rFonts w:cs="Times New Roman"/>
                <w:sz w:val="22"/>
              </w:rPr>
            </w:pPr>
            <w:r w:rsidRPr="00B14AAE">
              <w:rPr>
                <w:rFonts w:cs="Times New Roman"/>
                <w:sz w:val="22"/>
              </w:rPr>
              <w:t>VII.</w:t>
            </w:r>
          </w:p>
        </w:tc>
        <w:tc>
          <w:tcPr>
            <w:tcW w:w="6650" w:type="dxa"/>
            <w:shd w:val="clear" w:color="auto" w:fill="E7E6E6" w:themeFill="background2"/>
          </w:tcPr>
          <w:p w14:paraId="0D18D767" w14:textId="77777777" w:rsidR="000934ED" w:rsidRPr="00B14AAE" w:rsidRDefault="000934ED" w:rsidP="002D4DA2">
            <w:pPr>
              <w:cnfStyle w:val="000000100000" w:firstRow="0" w:lastRow="0" w:firstColumn="0" w:lastColumn="0" w:oddVBand="0" w:evenVBand="0" w:oddHBand="1" w:evenHBand="0" w:firstRowFirstColumn="0" w:firstRowLastColumn="0" w:lastRowFirstColumn="0" w:lastRowLastColumn="0"/>
              <w:rPr>
                <w:rFonts w:cs="Times New Roman"/>
                <w:sz w:val="22"/>
              </w:rPr>
            </w:pPr>
            <w:r w:rsidRPr="00B14AAE">
              <w:rPr>
                <w:rFonts w:cs="Times New Roman"/>
                <w:sz w:val="22"/>
              </w:rPr>
              <w:t>Mais de 50% da informação “determinante” e menos de 25% da informação “importante”</w:t>
            </w:r>
          </w:p>
        </w:tc>
        <w:tc>
          <w:tcPr>
            <w:tcW w:w="1206" w:type="dxa"/>
            <w:shd w:val="clear" w:color="auto" w:fill="E7E6E6" w:themeFill="background2"/>
          </w:tcPr>
          <w:p w14:paraId="0D0C3EF2" w14:textId="77777777" w:rsidR="000934ED" w:rsidRPr="00B14AAE" w:rsidRDefault="000934ED" w:rsidP="0074341D">
            <w:pPr>
              <w:spacing w:line="360" w:lineRule="auto"/>
              <w:jc w:val="right"/>
              <w:cnfStyle w:val="000000100000" w:firstRow="0" w:lastRow="0" w:firstColumn="0" w:lastColumn="0" w:oddVBand="0" w:evenVBand="0" w:oddHBand="1" w:evenHBand="0" w:firstRowFirstColumn="0" w:firstRowLastColumn="0" w:lastRowFirstColumn="0" w:lastRowLastColumn="0"/>
              <w:rPr>
                <w:rFonts w:cs="Times New Roman"/>
                <w:sz w:val="22"/>
              </w:rPr>
            </w:pPr>
            <w:r w:rsidRPr="00B14AAE">
              <w:rPr>
                <w:rFonts w:cs="Times New Roman"/>
                <w:sz w:val="22"/>
              </w:rPr>
              <w:t>57</w:t>
            </w:r>
          </w:p>
        </w:tc>
      </w:tr>
      <w:tr w:rsidR="000934ED" w:rsidRPr="00B14AAE" w14:paraId="1B6316B4" w14:textId="77777777" w:rsidTr="003C4D3E">
        <w:trPr>
          <w:jc w:val="center"/>
        </w:trPr>
        <w:tc>
          <w:tcPr>
            <w:cnfStyle w:val="001000000000" w:firstRow="0" w:lastRow="0" w:firstColumn="1" w:lastColumn="0" w:oddVBand="0" w:evenVBand="0" w:oddHBand="0" w:evenHBand="0" w:firstRowFirstColumn="0" w:firstRowLastColumn="0" w:lastRowFirstColumn="0" w:lastRowLastColumn="0"/>
            <w:tcW w:w="791" w:type="dxa"/>
          </w:tcPr>
          <w:p w14:paraId="4CD80125" w14:textId="77777777" w:rsidR="000934ED" w:rsidRPr="00B14AAE" w:rsidRDefault="000934ED" w:rsidP="0074341D">
            <w:pPr>
              <w:spacing w:line="360" w:lineRule="auto"/>
              <w:rPr>
                <w:rFonts w:cs="Times New Roman"/>
                <w:sz w:val="22"/>
              </w:rPr>
            </w:pPr>
            <w:r w:rsidRPr="00B14AAE">
              <w:rPr>
                <w:rFonts w:cs="Times New Roman"/>
                <w:sz w:val="22"/>
              </w:rPr>
              <w:t>VIII.</w:t>
            </w:r>
          </w:p>
        </w:tc>
        <w:tc>
          <w:tcPr>
            <w:tcW w:w="6650" w:type="dxa"/>
          </w:tcPr>
          <w:p w14:paraId="15B0BBEA" w14:textId="77777777" w:rsidR="000934ED" w:rsidRPr="00B14AAE" w:rsidRDefault="000934ED" w:rsidP="002D4DA2">
            <w:pPr>
              <w:cnfStyle w:val="000000000000" w:firstRow="0" w:lastRow="0" w:firstColumn="0" w:lastColumn="0" w:oddVBand="0" w:evenVBand="0" w:oddHBand="0" w:evenHBand="0" w:firstRowFirstColumn="0" w:firstRowLastColumn="0" w:lastRowFirstColumn="0" w:lastRowLastColumn="0"/>
              <w:rPr>
                <w:rFonts w:cs="Times New Roman"/>
                <w:sz w:val="22"/>
              </w:rPr>
            </w:pPr>
            <w:r w:rsidRPr="00B14AAE">
              <w:rPr>
                <w:rFonts w:cs="Times New Roman"/>
                <w:sz w:val="22"/>
              </w:rPr>
              <w:t>Entre 25% a 50% da informação “determinante” e mais de 50% da informação “importante”</w:t>
            </w:r>
          </w:p>
        </w:tc>
        <w:tc>
          <w:tcPr>
            <w:tcW w:w="1206" w:type="dxa"/>
          </w:tcPr>
          <w:p w14:paraId="3825C0D2" w14:textId="77777777" w:rsidR="000934ED" w:rsidRPr="00B14AAE" w:rsidRDefault="000934ED" w:rsidP="0074341D">
            <w:pPr>
              <w:spacing w:line="360" w:lineRule="auto"/>
              <w:jc w:val="right"/>
              <w:cnfStyle w:val="000000000000" w:firstRow="0" w:lastRow="0" w:firstColumn="0" w:lastColumn="0" w:oddVBand="0" w:evenVBand="0" w:oddHBand="0" w:evenHBand="0" w:firstRowFirstColumn="0" w:firstRowLastColumn="0" w:lastRowFirstColumn="0" w:lastRowLastColumn="0"/>
              <w:rPr>
                <w:rFonts w:cs="Times New Roman"/>
                <w:sz w:val="22"/>
              </w:rPr>
            </w:pPr>
            <w:r w:rsidRPr="00B14AAE">
              <w:rPr>
                <w:rFonts w:cs="Times New Roman"/>
                <w:sz w:val="22"/>
              </w:rPr>
              <w:t>50</w:t>
            </w:r>
          </w:p>
        </w:tc>
      </w:tr>
      <w:tr w:rsidR="000934ED" w:rsidRPr="00B14AAE" w14:paraId="5974B439" w14:textId="77777777" w:rsidTr="00957AD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91" w:type="dxa"/>
            <w:shd w:val="clear" w:color="auto" w:fill="E7E6E6" w:themeFill="background2"/>
          </w:tcPr>
          <w:p w14:paraId="436AA5C5" w14:textId="77777777" w:rsidR="000934ED" w:rsidRPr="00B14AAE" w:rsidRDefault="000934ED" w:rsidP="0074341D">
            <w:pPr>
              <w:spacing w:line="360" w:lineRule="auto"/>
              <w:rPr>
                <w:rFonts w:cs="Times New Roman"/>
                <w:sz w:val="22"/>
              </w:rPr>
            </w:pPr>
            <w:r w:rsidRPr="00B14AAE">
              <w:rPr>
                <w:rFonts w:cs="Times New Roman"/>
                <w:sz w:val="22"/>
              </w:rPr>
              <w:t>IX.</w:t>
            </w:r>
          </w:p>
        </w:tc>
        <w:tc>
          <w:tcPr>
            <w:tcW w:w="6650" w:type="dxa"/>
            <w:shd w:val="clear" w:color="auto" w:fill="E7E6E6" w:themeFill="background2"/>
          </w:tcPr>
          <w:p w14:paraId="6D66611D" w14:textId="77777777" w:rsidR="000934ED" w:rsidRPr="00B14AAE" w:rsidRDefault="000934ED" w:rsidP="002D4DA2">
            <w:pPr>
              <w:cnfStyle w:val="000000100000" w:firstRow="0" w:lastRow="0" w:firstColumn="0" w:lastColumn="0" w:oddVBand="0" w:evenVBand="0" w:oddHBand="1" w:evenHBand="0" w:firstRowFirstColumn="0" w:firstRowLastColumn="0" w:lastRowFirstColumn="0" w:lastRowLastColumn="0"/>
              <w:rPr>
                <w:rFonts w:cs="Times New Roman"/>
                <w:sz w:val="22"/>
              </w:rPr>
            </w:pPr>
            <w:r w:rsidRPr="00B14AAE">
              <w:rPr>
                <w:rFonts w:cs="Times New Roman"/>
                <w:sz w:val="22"/>
              </w:rPr>
              <w:t>Entre 25% a 50% da informação “determinante” e 25% a 50% da informação “importante”</w:t>
            </w:r>
          </w:p>
        </w:tc>
        <w:tc>
          <w:tcPr>
            <w:tcW w:w="1206" w:type="dxa"/>
            <w:shd w:val="clear" w:color="auto" w:fill="E7E6E6" w:themeFill="background2"/>
          </w:tcPr>
          <w:p w14:paraId="0BA87A9E" w14:textId="77777777" w:rsidR="000934ED" w:rsidRPr="00B14AAE" w:rsidRDefault="000934ED" w:rsidP="0074341D">
            <w:pPr>
              <w:spacing w:line="360" w:lineRule="auto"/>
              <w:jc w:val="right"/>
              <w:cnfStyle w:val="000000100000" w:firstRow="0" w:lastRow="0" w:firstColumn="0" w:lastColumn="0" w:oddVBand="0" w:evenVBand="0" w:oddHBand="1" w:evenHBand="0" w:firstRowFirstColumn="0" w:firstRowLastColumn="0" w:lastRowFirstColumn="0" w:lastRowLastColumn="0"/>
              <w:rPr>
                <w:rFonts w:cs="Times New Roman"/>
                <w:sz w:val="22"/>
              </w:rPr>
            </w:pPr>
            <w:r w:rsidRPr="00B14AAE">
              <w:rPr>
                <w:rFonts w:cs="Times New Roman"/>
                <w:sz w:val="22"/>
              </w:rPr>
              <w:t>43</w:t>
            </w:r>
          </w:p>
        </w:tc>
      </w:tr>
      <w:tr w:rsidR="000934ED" w:rsidRPr="00B14AAE" w14:paraId="5FE47C15" w14:textId="77777777" w:rsidTr="003C4D3E">
        <w:trPr>
          <w:jc w:val="center"/>
        </w:trPr>
        <w:tc>
          <w:tcPr>
            <w:cnfStyle w:val="001000000000" w:firstRow="0" w:lastRow="0" w:firstColumn="1" w:lastColumn="0" w:oddVBand="0" w:evenVBand="0" w:oddHBand="0" w:evenHBand="0" w:firstRowFirstColumn="0" w:firstRowLastColumn="0" w:lastRowFirstColumn="0" w:lastRowLastColumn="0"/>
            <w:tcW w:w="791" w:type="dxa"/>
          </w:tcPr>
          <w:p w14:paraId="6D32CAB7" w14:textId="77777777" w:rsidR="000934ED" w:rsidRPr="00B14AAE" w:rsidRDefault="000934ED" w:rsidP="0074341D">
            <w:pPr>
              <w:spacing w:line="360" w:lineRule="auto"/>
              <w:rPr>
                <w:rFonts w:cs="Times New Roman"/>
                <w:sz w:val="22"/>
              </w:rPr>
            </w:pPr>
            <w:r w:rsidRPr="00B14AAE">
              <w:rPr>
                <w:rFonts w:cs="Times New Roman"/>
                <w:sz w:val="22"/>
              </w:rPr>
              <w:t>X</w:t>
            </w:r>
          </w:p>
        </w:tc>
        <w:tc>
          <w:tcPr>
            <w:tcW w:w="6650" w:type="dxa"/>
          </w:tcPr>
          <w:p w14:paraId="5097D0C8" w14:textId="77777777" w:rsidR="000934ED" w:rsidRPr="00B14AAE" w:rsidRDefault="000934ED" w:rsidP="002D4DA2">
            <w:pPr>
              <w:cnfStyle w:val="000000000000" w:firstRow="0" w:lastRow="0" w:firstColumn="0" w:lastColumn="0" w:oddVBand="0" w:evenVBand="0" w:oddHBand="0" w:evenHBand="0" w:firstRowFirstColumn="0" w:firstRowLastColumn="0" w:lastRowFirstColumn="0" w:lastRowLastColumn="0"/>
              <w:rPr>
                <w:rFonts w:cs="Times New Roman"/>
                <w:sz w:val="22"/>
              </w:rPr>
            </w:pPr>
            <w:r w:rsidRPr="00B14AAE">
              <w:rPr>
                <w:rFonts w:cs="Times New Roman"/>
                <w:sz w:val="22"/>
              </w:rPr>
              <w:t>Entre 25% a 50% da informação “determinante” e menos de 25</w:t>
            </w:r>
            <w:proofErr w:type="gramStart"/>
            <w:r w:rsidRPr="00B14AAE">
              <w:rPr>
                <w:rFonts w:cs="Times New Roman"/>
                <w:sz w:val="22"/>
              </w:rPr>
              <w:t>%  da</w:t>
            </w:r>
            <w:proofErr w:type="gramEnd"/>
            <w:r w:rsidRPr="00B14AAE">
              <w:rPr>
                <w:rFonts w:cs="Times New Roman"/>
                <w:sz w:val="22"/>
              </w:rPr>
              <w:t xml:space="preserve"> informação “importante”</w:t>
            </w:r>
          </w:p>
        </w:tc>
        <w:tc>
          <w:tcPr>
            <w:tcW w:w="1206" w:type="dxa"/>
          </w:tcPr>
          <w:p w14:paraId="6B315DB3" w14:textId="77777777" w:rsidR="000934ED" w:rsidRPr="00B14AAE" w:rsidRDefault="000934ED" w:rsidP="0074341D">
            <w:pPr>
              <w:spacing w:line="360" w:lineRule="auto"/>
              <w:jc w:val="right"/>
              <w:cnfStyle w:val="000000000000" w:firstRow="0" w:lastRow="0" w:firstColumn="0" w:lastColumn="0" w:oddVBand="0" w:evenVBand="0" w:oddHBand="0" w:evenHBand="0" w:firstRowFirstColumn="0" w:firstRowLastColumn="0" w:lastRowFirstColumn="0" w:lastRowLastColumn="0"/>
              <w:rPr>
                <w:rFonts w:cs="Times New Roman"/>
                <w:sz w:val="22"/>
              </w:rPr>
            </w:pPr>
            <w:r w:rsidRPr="00B14AAE">
              <w:rPr>
                <w:rFonts w:cs="Times New Roman"/>
                <w:sz w:val="22"/>
              </w:rPr>
              <w:t>36</w:t>
            </w:r>
          </w:p>
        </w:tc>
      </w:tr>
      <w:tr w:rsidR="000934ED" w:rsidRPr="00B14AAE" w14:paraId="7CC34EF8" w14:textId="77777777" w:rsidTr="00957AD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91" w:type="dxa"/>
            <w:shd w:val="clear" w:color="auto" w:fill="E7E6E6" w:themeFill="background2"/>
          </w:tcPr>
          <w:p w14:paraId="5B792CBC" w14:textId="77777777" w:rsidR="000934ED" w:rsidRPr="00B14AAE" w:rsidRDefault="000934ED" w:rsidP="0074341D">
            <w:pPr>
              <w:spacing w:line="360" w:lineRule="auto"/>
              <w:rPr>
                <w:rFonts w:cs="Times New Roman"/>
                <w:sz w:val="22"/>
              </w:rPr>
            </w:pPr>
            <w:r w:rsidRPr="00B14AAE">
              <w:rPr>
                <w:rFonts w:cs="Times New Roman"/>
                <w:sz w:val="22"/>
              </w:rPr>
              <w:t>XI</w:t>
            </w:r>
          </w:p>
        </w:tc>
        <w:tc>
          <w:tcPr>
            <w:tcW w:w="6650" w:type="dxa"/>
            <w:shd w:val="clear" w:color="auto" w:fill="E7E6E6" w:themeFill="background2"/>
          </w:tcPr>
          <w:p w14:paraId="52B612D8" w14:textId="77777777" w:rsidR="000934ED" w:rsidRPr="00B14AAE" w:rsidRDefault="000934ED" w:rsidP="002D4DA2">
            <w:pPr>
              <w:cnfStyle w:val="000000100000" w:firstRow="0" w:lastRow="0" w:firstColumn="0" w:lastColumn="0" w:oddVBand="0" w:evenVBand="0" w:oddHBand="1" w:evenHBand="0" w:firstRowFirstColumn="0" w:firstRowLastColumn="0" w:lastRowFirstColumn="0" w:lastRowLastColumn="0"/>
              <w:rPr>
                <w:rFonts w:cs="Times New Roman"/>
                <w:sz w:val="22"/>
              </w:rPr>
            </w:pPr>
            <w:r w:rsidRPr="00B14AAE">
              <w:rPr>
                <w:rFonts w:cs="Times New Roman"/>
                <w:sz w:val="22"/>
              </w:rPr>
              <w:t>Menos de 25% da informação “determinante” e mais de 50% da informação “importante”</w:t>
            </w:r>
          </w:p>
        </w:tc>
        <w:tc>
          <w:tcPr>
            <w:tcW w:w="1206" w:type="dxa"/>
            <w:shd w:val="clear" w:color="auto" w:fill="E7E6E6" w:themeFill="background2"/>
          </w:tcPr>
          <w:p w14:paraId="2DFDCD8C" w14:textId="77777777" w:rsidR="000934ED" w:rsidRPr="00B14AAE" w:rsidRDefault="000934ED" w:rsidP="0074341D">
            <w:pPr>
              <w:spacing w:line="360" w:lineRule="auto"/>
              <w:jc w:val="right"/>
              <w:cnfStyle w:val="000000100000" w:firstRow="0" w:lastRow="0" w:firstColumn="0" w:lastColumn="0" w:oddVBand="0" w:evenVBand="0" w:oddHBand="1" w:evenHBand="0" w:firstRowFirstColumn="0" w:firstRowLastColumn="0" w:lastRowFirstColumn="0" w:lastRowLastColumn="0"/>
              <w:rPr>
                <w:rFonts w:cs="Times New Roman"/>
                <w:sz w:val="22"/>
              </w:rPr>
            </w:pPr>
            <w:r w:rsidRPr="00B14AAE">
              <w:rPr>
                <w:rFonts w:cs="Times New Roman"/>
                <w:sz w:val="22"/>
              </w:rPr>
              <w:t>29</w:t>
            </w:r>
          </w:p>
        </w:tc>
      </w:tr>
      <w:tr w:rsidR="000934ED" w:rsidRPr="00B14AAE" w14:paraId="46E159DE" w14:textId="77777777" w:rsidTr="003C4D3E">
        <w:trPr>
          <w:jc w:val="center"/>
        </w:trPr>
        <w:tc>
          <w:tcPr>
            <w:cnfStyle w:val="001000000000" w:firstRow="0" w:lastRow="0" w:firstColumn="1" w:lastColumn="0" w:oddVBand="0" w:evenVBand="0" w:oddHBand="0" w:evenHBand="0" w:firstRowFirstColumn="0" w:firstRowLastColumn="0" w:lastRowFirstColumn="0" w:lastRowLastColumn="0"/>
            <w:tcW w:w="791" w:type="dxa"/>
          </w:tcPr>
          <w:p w14:paraId="6BB97B80" w14:textId="77777777" w:rsidR="000934ED" w:rsidRPr="00B14AAE" w:rsidRDefault="000934ED" w:rsidP="0074341D">
            <w:pPr>
              <w:spacing w:line="360" w:lineRule="auto"/>
              <w:rPr>
                <w:rFonts w:cs="Times New Roman"/>
                <w:sz w:val="22"/>
              </w:rPr>
            </w:pPr>
            <w:r w:rsidRPr="00B14AAE">
              <w:rPr>
                <w:rFonts w:cs="Times New Roman"/>
                <w:sz w:val="22"/>
              </w:rPr>
              <w:t>XII</w:t>
            </w:r>
          </w:p>
        </w:tc>
        <w:tc>
          <w:tcPr>
            <w:tcW w:w="6650" w:type="dxa"/>
          </w:tcPr>
          <w:p w14:paraId="45C3BDA2" w14:textId="77777777" w:rsidR="000934ED" w:rsidRPr="00B14AAE" w:rsidRDefault="000934ED" w:rsidP="002D4DA2">
            <w:pPr>
              <w:cnfStyle w:val="000000000000" w:firstRow="0" w:lastRow="0" w:firstColumn="0" w:lastColumn="0" w:oddVBand="0" w:evenVBand="0" w:oddHBand="0" w:evenHBand="0" w:firstRowFirstColumn="0" w:firstRowLastColumn="0" w:lastRowFirstColumn="0" w:lastRowLastColumn="0"/>
              <w:rPr>
                <w:rFonts w:cs="Times New Roman"/>
                <w:sz w:val="22"/>
              </w:rPr>
            </w:pPr>
            <w:r w:rsidRPr="00B14AAE">
              <w:rPr>
                <w:rFonts w:cs="Times New Roman"/>
                <w:sz w:val="22"/>
              </w:rPr>
              <w:t>Menos de 25% da informação “determinante” e 25% a 50% da informação “importante”</w:t>
            </w:r>
          </w:p>
        </w:tc>
        <w:tc>
          <w:tcPr>
            <w:tcW w:w="1206" w:type="dxa"/>
          </w:tcPr>
          <w:p w14:paraId="014ECB7E" w14:textId="77777777" w:rsidR="000934ED" w:rsidRPr="00B14AAE" w:rsidRDefault="000934ED" w:rsidP="0074341D">
            <w:pPr>
              <w:spacing w:line="360" w:lineRule="auto"/>
              <w:jc w:val="right"/>
              <w:cnfStyle w:val="000000000000" w:firstRow="0" w:lastRow="0" w:firstColumn="0" w:lastColumn="0" w:oddVBand="0" w:evenVBand="0" w:oddHBand="0" w:evenHBand="0" w:firstRowFirstColumn="0" w:firstRowLastColumn="0" w:lastRowFirstColumn="0" w:lastRowLastColumn="0"/>
              <w:rPr>
                <w:rFonts w:cs="Times New Roman"/>
                <w:sz w:val="22"/>
              </w:rPr>
            </w:pPr>
            <w:r w:rsidRPr="00B14AAE">
              <w:rPr>
                <w:rFonts w:cs="Times New Roman"/>
                <w:sz w:val="22"/>
              </w:rPr>
              <w:t>21</w:t>
            </w:r>
          </w:p>
        </w:tc>
      </w:tr>
      <w:tr w:rsidR="000934ED" w:rsidRPr="00B14AAE" w14:paraId="286438E5" w14:textId="77777777" w:rsidTr="00957AD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91" w:type="dxa"/>
            <w:shd w:val="clear" w:color="auto" w:fill="E7E6E6" w:themeFill="background2"/>
          </w:tcPr>
          <w:p w14:paraId="4E418339" w14:textId="77777777" w:rsidR="000934ED" w:rsidRPr="00B14AAE" w:rsidRDefault="000934ED" w:rsidP="0074341D">
            <w:pPr>
              <w:spacing w:line="360" w:lineRule="auto"/>
              <w:rPr>
                <w:rFonts w:cs="Times New Roman"/>
                <w:sz w:val="22"/>
              </w:rPr>
            </w:pPr>
            <w:r w:rsidRPr="00B14AAE">
              <w:rPr>
                <w:rFonts w:cs="Times New Roman"/>
                <w:sz w:val="22"/>
              </w:rPr>
              <w:t>XIII</w:t>
            </w:r>
          </w:p>
        </w:tc>
        <w:tc>
          <w:tcPr>
            <w:tcW w:w="6650" w:type="dxa"/>
            <w:shd w:val="clear" w:color="auto" w:fill="E7E6E6" w:themeFill="background2"/>
          </w:tcPr>
          <w:p w14:paraId="42540463" w14:textId="77777777" w:rsidR="000934ED" w:rsidRPr="00B14AAE" w:rsidRDefault="000934ED" w:rsidP="002D4DA2">
            <w:pPr>
              <w:cnfStyle w:val="000000100000" w:firstRow="0" w:lastRow="0" w:firstColumn="0" w:lastColumn="0" w:oddVBand="0" w:evenVBand="0" w:oddHBand="1" w:evenHBand="0" w:firstRowFirstColumn="0" w:firstRowLastColumn="0" w:lastRowFirstColumn="0" w:lastRowLastColumn="0"/>
              <w:rPr>
                <w:rFonts w:cs="Times New Roman"/>
                <w:sz w:val="22"/>
              </w:rPr>
            </w:pPr>
            <w:r w:rsidRPr="00B14AAE">
              <w:rPr>
                <w:rFonts w:cs="Times New Roman"/>
                <w:sz w:val="22"/>
              </w:rPr>
              <w:t>Menos de 25% da informação “determinante” e 10% a 25% da informação “importante”</w:t>
            </w:r>
          </w:p>
        </w:tc>
        <w:tc>
          <w:tcPr>
            <w:tcW w:w="1206" w:type="dxa"/>
            <w:shd w:val="clear" w:color="auto" w:fill="E7E6E6" w:themeFill="background2"/>
          </w:tcPr>
          <w:p w14:paraId="2C392C46" w14:textId="77777777" w:rsidR="000934ED" w:rsidRPr="00B14AAE" w:rsidRDefault="000934ED" w:rsidP="0074341D">
            <w:pPr>
              <w:spacing w:line="360" w:lineRule="auto"/>
              <w:jc w:val="right"/>
              <w:cnfStyle w:val="000000100000" w:firstRow="0" w:lastRow="0" w:firstColumn="0" w:lastColumn="0" w:oddVBand="0" w:evenVBand="0" w:oddHBand="1" w:evenHBand="0" w:firstRowFirstColumn="0" w:firstRowLastColumn="0" w:lastRowFirstColumn="0" w:lastRowLastColumn="0"/>
              <w:rPr>
                <w:rFonts w:cs="Times New Roman"/>
                <w:sz w:val="22"/>
              </w:rPr>
            </w:pPr>
            <w:r w:rsidRPr="00B14AAE">
              <w:rPr>
                <w:rFonts w:cs="Times New Roman"/>
                <w:sz w:val="22"/>
              </w:rPr>
              <w:t>14</w:t>
            </w:r>
          </w:p>
        </w:tc>
      </w:tr>
      <w:tr w:rsidR="000934ED" w:rsidRPr="00B14AAE" w14:paraId="5DB4EB24" w14:textId="77777777" w:rsidTr="003C4D3E">
        <w:trPr>
          <w:jc w:val="center"/>
        </w:trPr>
        <w:tc>
          <w:tcPr>
            <w:cnfStyle w:val="001000000000" w:firstRow="0" w:lastRow="0" w:firstColumn="1" w:lastColumn="0" w:oddVBand="0" w:evenVBand="0" w:oddHBand="0" w:evenHBand="0" w:firstRowFirstColumn="0" w:firstRowLastColumn="0" w:lastRowFirstColumn="0" w:lastRowLastColumn="0"/>
            <w:tcW w:w="791" w:type="dxa"/>
          </w:tcPr>
          <w:p w14:paraId="27E77D43" w14:textId="77777777" w:rsidR="000934ED" w:rsidRPr="00B14AAE" w:rsidRDefault="000934ED" w:rsidP="0074341D">
            <w:pPr>
              <w:spacing w:line="360" w:lineRule="auto"/>
              <w:rPr>
                <w:rFonts w:cs="Times New Roman"/>
                <w:sz w:val="22"/>
              </w:rPr>
            </w:pPr>
            <w:r w:rsidRPr="00B14AAE">
              <w:rPr>
                <w:rFonts w:cs="Times New Roman"/>
                <w:sz w:val="22"/>
              </w:rPr>
              <w:t>XIV</w:t>
            </w:r>
          </w:p>
        </w:tc>
        <w:tc>
          <w:tcPr>
            <w:tcW w:w="6650" w:type="dxa"/>
          </w:tcPr>
          <w:p w14:paraId="76BD4588" w14:textId="77777777" w:rsidR="000934ED" w:rsidRPr="00B14AAE" w:rsidRDefault="000934ED" w:rsidP="002D4DA2">
            <w:pPr>
              <w:cnfStyle w:val="000000000000" w:firstRow="0" w:lastRow="0" w:firstColumn="0" w:lastColumn="0" w:oddVBand="0" w:evenVBand="0" w:oddHBand="0" w:evenHBand="0" w:firstRowFirstColumn="0" w:firstRowLastColumn="0" w:lastRowFirstColumn="0" w:lastRowLastColumn="0"/>
              <w:rPr>
                <w:rFonts w:cs="Times New Roman"/>
                <w:sz w:val="22"/>
              </w:rPr>
            </w:pPr>
            <w:r w:rsidRPr="00B14AAE">
              <w:rPr>
                <w:rFonts w:cs="Times New Roman"/>
                <w:sz w:val="22"/>
              </w:rPr>
              <w:t>Menos de 25% da informação “determinante” e menos de 10% da informação “importante”</w:t>
            </w:r>
          </w:p>
        </w:tc>
        <w:tc>
          <w:tcPr>
            <w:tcW w:w="1206" w:type="dxa"/>
          </w:tcPr>
          <w:p w14:paraId="56217C93" w14:textId="77777777" w:rsidR="000934ED" w:rsidRPr="00B14AAE" w:rsidRDefault="000934ED" w:rsidP="0074341D">
            <w:pPr>
              <w:spacing w:line="360" w:lineRule="auto"/>
              <w:jc w:val="right"/>
              <w:cnfStyle w:val="000000000000" w:firstRow="0" w:lastRow="0" w:firstColumn="0" w:lastColumn="0" w:oddVBand="0" w:evenVBand="0" w:oddHBand="0" w:evenHBand="0" w:firstRowFirstColumn="0" w:firstRowLastColumn="0" w:lastRowFirstColumn="0" w:lastRowLastColumn="0"/>
              <w:rPr>
                <w:rFonts w:cs="Times New Roman"/>
                <w:sz w:val="22"/>
              </w:rPr>
            </w:pPr>
            <w:r w:rsidRPr="00B14AAE">
              <w:rPr>
                <w:rFonts w:cs="Times New Roman"/>
                <w:sz w:val="22"/>
              </w:rPr>
              <w:t>7</w:t>
            </w:r>
          </w:p>
        </w:tc>
      </w:tr>
      <w:tr w:rsidR="000934ED" w:rsidRPr="00B14AAE" w14:paraId="49A66D7C" w14:textId="77777777" w:rsidTr="00957AD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91" w:type="dxa"/>
            <w:tcBorders>
              <w:bottom w:val="double" w:sz="4" w:space="0" w:color="auto"/>
            </w:tcBorders>
            <w:shd w:val="clear" w:color="auto" w:fill="E7E6E6" w:themeFill="background2"/>
          </w:tcPr>
          <w:p w14:paraId="00ADB8D2" w14:textId="77777777" w:rsidR="000934ED" w:rsidRPr="00B14AAE" w:rsidRDefault="000934ED" w:rsidP="0074341D">
            <w:pPr>
              <w:spacing w:line="360" w:lineRule="auto"/>
              <w:rPr>
                <w:rFonts w:cs="Times New Roman"/>
                <w:sz w:val="22"/>
              </w:rPr>
            </w:pPr>
            <w:r w:rsidRPr="00B14AAE">
              <w:rPr>
                <w:rFonts w:cs="Times New Roman"/>
                <w:sz w:val="22"/>
              </w:rPr>
              <w:t>XV</w:t>
            </w:r>
          </w:p>
        </w:tc>
        <w:tc>
          <w:tcPr>
            <w:tcW w:w="6650" w:type="dxa"/>
            <w:tcBorders>
              <w:bottom w:val="double" w:sz="4" w:space="0" w:color="auto"/>
            </w:tcBorders>
            <w:shd w:val="clear" w:color="auto" w:fill="E7E6E6" w:themeFill="background2"/>
          </w:tcPr>
          <w:p w14:paraId="2398039E" w14:textId="77777777" w:rsidR="000934ED" w:rsidRPr="00B14AAE" w:rsidRDefault="000934ED" w:rsidP="002D4DA2">
            <w:pPr>
              <w:cnfStyle w:val="000000100000" w:firstRow="0" w:lastRow="0" w:firstColumn="0" w:lastColumn="0" w:oddVBand="0" w:evenVBand="0" w:oddHBand="1" w:evenHBand="0" w:firstRowFirstColumn="0" w:firstRowLastColumn="0" w:lastRowFirstColumn="0" w:lastRowLastColumn="0"/>
              <w:rPr>
                <w:rFonts w:cs="Times New Roman"/>
                <w:sz w:val="22"/>
              </w:rPr>
            </w:pPr>
            <w:r w:rsidRPr="00B14AAE">
              <w:rPr>
                <w:rFonts w:cs="Times New Roman"/>
                <w:sz w:val="22"/>
              </w:rPr>
              <w:t>Nenhuma informação é disponibilizada</w:t>
            </w:r>
          </w:p>
        </w:tc>
        <w:tc>
          <w:tcPr>
            <w:tcW w:w="1206" w:type="dxa"/>
            <w:tcBorders>
              <w:bottom w:val="double" w:sz="4" w:space="0" w:color="auto"/>
            </w:tcBorders>
            <w:shd w:val="clear" w:color="auto" w:fill="E7E6E6" w:themeFill="background2"/>
          </w:tcPr>
          <w:p w14:paraId="19CF8823" w14:textId="77777777" w:rsidR="000934ED" w:rsidRPr="00B14AAE" w:rsidRDefault="000934ED" w:rsidP="0074341D">
            <w:pPr>
              <w:spacing w:line="360" w:lineRule="auto"/>
              <w:jc w:val="right"/>
              <w:cnfStyle w:val="000000100000" w:firstRow="0" w:lastRow="0" w:firstColumn="0" w:lastColumn="0" w:oddVBand="0" w:evenVBand="0" w:oddHBand="1" w:evenHBand="0" w:firstRowFirstColumn="0" w:firstRowLastColumn="0" w:lastRowFirstColumn="0" w:lastRowLastColumn="0"/>
              <w:rPr>
                <w:rFonts w:cs="Times New Roman"/>
                <w:sz w:val="22"/>
              </w:rPr>
            </w:pPr>
            <w:r w:rsidRPr="00B14AAE">
              <w:rPr>
                <w:rFonts w:cs="Times New Roman"/>
                <w:sz w:val="22"/>
              </w:rPr>
              <w:t>0</w:t>
            </w:r>
          </w:p>
        </w:tc>
      </w:tr>
    </w:tbl>
    <w:p w14:paraId="10C30A2D" w14:textId="77777777" w:rsidR="000934ED" w:rsidRDefault="000934ED" w:rsidP="003C4D3E">
      <w:pPr>
        <w:spacing w:after="240" w:line="240" w:lineRule="auto"/>
        <w:jc w:val="center"/>
        <w:rPr>
          <w:rFonts w:cs="Times New Roman"/>
          <w:sz w:val="20"/>
        </w:rPr>
      </w:pPr>
      <w:r w:rsidRPr="000E7405">
        <w:rPr>
          <w:rFonts w:cs="Times New Roman"/>
          <w:sz w:val="20"/>
        </w:rPr>
        <w:t>Fonte: TIAC (2017)</w:t>
      </w:r>
    </w:p>
    <w:p w14:paraId="412C3CFB" w14:textId="3C96FA89" w:rsidR="000934ED" w:rsidRDefault="000934ED" w:rsidP="00CC011A">
      <w:pPr>
        <w:spacing w:line="360" w:lineRule="auto"/>
        <w:jc w:val="both"/>
        <w:rPr>
          <w:rFonts w:cs="Times New Roman"/>
          <w:szCs w:val="24"/>
        </w:rPr>
      </w:pPr>
      <w:r w:rsidRPr="00CB628B">
        <w:rPr>
          <w:rFonts w:cs="Times New Roman"/>
        </w:rPr>
        <w:t>Por fim, o valor do ITM é obtido</w:t>
      </w:r>
      <w:r>
        <w:rPr>
          <w:rFonts w:cs="Times New Roman"/>
        </w:rPr>
        <w:t xml:space="preserve"> pela soma dos valores dos </w:t>
      </w:r>
      <w:proofErr w:type="spellStart"/>
      <w:r>
        <w:rPr>
          <w:rFonts w:cs="Times New Roman"/>
        </w:rPr>
        <w:t>sub</w:t>
      </w:r>
      <w:r w:rsidR="0072333D">
        <w:rPr>
          <w:rFonts w:cs="Times New Roman"/>
        </w:rPr>
        <w:t>-</w:t>
      </w:r>
      <w:r>
        <w:rPr>
          <w:rFonts w:cs="Times New Roman"/>
        </w:rPr>
        <w:t>índices</w:t>
      </w:r>
      <w:proofErr w:type="spellEnd"/>
      <w:r>
        <w:rPr>
          <w:rFonts w:cs="Times New Roman"/>
        </w:rPr>
        <w:t>, após aplicada</w:t>
      </w:r>
      <w:r w:rsidR="0072333D">
        <w:rPr>
          <w:rFonts w:cs="Times New Roman"/>
        </w:rPr>
        <w:t>s</w:t>
      </w:r>
      <w:r>
        <w:rPr>
          <w:rFonts w:cs="Times New Roman"/>
        </w:rPr>
        <w:t xml:space="preserve"> as regras de pontuação, respeitando os pesos atribuídos a cada dimensão. </w:t>
      </w:r>
    </w:p>
    <w:p w14:paraId="6375A4BA" w14:textId="11D20591" w:rsidR="00CC011A" w:rsidRPr="005A564D" w:rsidRDefault="00281615" w:rsidP="00CC011A">
      <w:pPr>
        <w:spacing w:line="360" w:lineRule="auto"/>
        <w:jc w:val="both"/>
        <w:rPr>
          <w:rFonts w:cs="Times New Roman"/>
          <w:szCs w:val="24"/>
        </w:rPr>
      </w:pPr>
      <w:r>
        <w:rPr>
          <w:rFonts w:cs="Times New Roman"/>
          <w:szCs w:val="24"/>
        </w:rPr>
        <w:t>S</w:t>
      </w:r>
      <w:r w:rsidR="00CC011A" w:rsidRPr="005A564D">
        <w:rPr>
          <w:rFonts w:cs="Times New Roman"/>
          <w:szCs w:val="24"/>
        </w:rPr>
        <w:t xml:space="preserve">egundo </w:t>
      </w:r>
      <w:r>
        <w:rPr>
          <w:rFonts w:cs="Times New Roman"/>
          <w:szCs w:val="24"/>
        </w:rPr>
        <w:t xml:space="preserve">a </w:t>
      </w:r>
      <w:r w:rsidR="00CC011A" w:rsidRPr="005A564D">
        <w:rPr>
          <w:rFonts w:cs="Times New Roman"/>
          <w:szCs w:val="24"/>
        </w:rPr>
        <w:t xml:space="preserve">TIAC (2017), </w:t>
      </w:r>
      <w:r>
        <w:rPr>
          <w:rFonts w:cs="Times New Roman"/>
          <w:szCs w:val="24"/>
        </w:rPr>
        <w:t xml:space="preserve">esta </w:t>
      </w:r>
      <w:r w:rsidR="00CC011A" w:rsidRPr="005A564D">
        <w:rPr>
          <w:rFonts w:cs="Times New Roman"/>
          <w:szCs w:val="24"/>
        </w:rPr>
        <w:t xml:space="preserve">foi baseada em </w:t>
      </w:r>
      <w:r>
        <w:rPr>
          <w:rFonts w:cs="Times New Roman"/>
          <w:szCs w:val="24"/>
        </w:rPr>
        <w:t xml:space="preserve">determinados </w:t>
      </w:r>
      <w:r w:rsidR="00CC011A" w:rsidRPr="005A564D">
        <w:rPr>
          <w:rFonts w:cs="Times New Roman"/>
          <w:szCs w:val="24"/>
        </w:rPr>
        <w:t xml:space="preserve">critérios, mais propriamente, a relevância, a universalidade e o </w:t>
      </w:r>
      <w:proofErr w:type="spellStart"/>
      <w:r w:rsidR="00CC011A" w:rsidRPr="005A564D">
        <w:rPr>
          <w:rFonts w:cs="Times New Roman"/>
          <w:i/>
          <w:szCs w:val="24"/>
        </w:rPr>
        <w:t>ownership</w:t>
      </w:r>
      <w:proofErr w:type="spellEnd"/>
      <w:r w:rsidR="00CC011A" w:rsidRPr="005A564D">
        <w:rPr>
          <w:rFonts w:cs="Times New Roman"/>
          <w:szCs w:val="24"/>
        </w:rPr>
        <w:t xml:space="preserve">. Estes critérios foram tidos em conta por uma ordem específica, a indicada anteriormente. </w:t>
      </w:r>
    </w:p>
    <w:p w14:paraId="333D53C8" w14:textId="7C4416E2" w:rsidR="00CC011A" w:rsidRPr="005A564D" w:rsidRDefault="00CC011A" w:rsidP="00CC011A">
      <w:pPr>
        <w:spacing w:line="360" w:lineRule="auto"/>
        <w:jc w:val="both"/>
        <w:rPr>
          <w:rFonts w:cs="Times New Roman"/>
          <w:szCs w:val="24"/>
        </w:rPr>
      </w:pPr>
      <w:r w:rsidRPr="005A564D">
        <w:rPr>
          <w:rFonts w:cs="Times New Roman"/>
          <w:szCs w:val="24"/>
        </w:rPr>
        <w:t>Inicialmente, os indicadores foram escolhidos pela relevância para a transparência da governação local. Neste critério de relevância fo</w:t>
      </w:r>
      <w:r w:rsidR="0072333D">
        <w:rPr>
          <w:rFonts w:cs="Times New Roman"/>
          <w:szCs w:val="24"/>
        </w:rPr>
        <w:t>ram</w:t>
      </w:r>
      <w:r w:rsidRPr="005A564D">
        <w:rPr>
          <w:rFonts w:cs="Times New Roman"/>
          <w:szCs w:val="24"/>
        </w:rPr>
        <w:t xml:space="preserve"> tido</w:t>
      </w:r>
      <w:r w:rsidR="0072333D">
        <w:rPr>
          <w:rFonts w:cs="Times New Roman"/>
          <w:szCs w:val="24"/>
        </w:rPr>
        <w:t>s</w:t>
      </w:r>
      <w:r w:rsidRPr="005A564D">
        <w:rPr>
          <w:rFonts w:cs="Times New Roman"/>
          <w:szCs w:val="24"/>
        </w:rPr>
        <w:t xml:space="preserve"> em conta estudos e índices semelhantes, desenvolvidos noutros países, e, também, a experiência profissional e avaliações de um conjunto de </w:t>
      </w:r>
      <w:proofErr w:type="spellStart"/>
      <w:r w:rsidRPr="005A564D">
        <w:rPr>
          <w:rFonts w:cs="Times New Roman"/>
          <w:i/>
          <w:szCs w:val="24"/>
        </w:rPr>
        <w:t>stakeholders</w:t>
      </w:r>
      <w:proofErr w:type="spellEnd"/>
      <w:r w:rsidRPr="005A564D">
        <w:rPr>
          <w:rFonts w:cs="Times New Roman"/>
          <w:szCs w:val="24"/>
        </w:rPr>
        <w:t xml:space="preserve"> e peritos na área de poder local. </w:t>
      </w:r>
    </w:p>
    <w:p w14:paraId="52C3DBD3" w14:textId="4E7C51F8" w:rsidR="00CC011A" w:rsidRPr="005A564D" w:rsidRDefault="00CC011A" w:rsidP="00CC011A">
      <w:pPr>
        <w:spacing w:line="360" w:lineRule="auto"/>
        <w:jc w:val="both"/>
        <w:rPr>
          <w:rFonts w:cs="Times New Roman"/>
          <w:szCs w:val="24"/>
        </w:rPr>
      </w:pPr>
      <w:r w:rsidRPr="005A564D">
        <w:rPr>
          <w:rFonts w:cs="Times New Roman"/>
          <w:szCs w:val="24"/>
        </w:rPr>
        <w:lastRenderedPageBreak/>
        <w:t>Seguidamente, desses indicadores apenas foram selecionados indicadores existentes em todos os municípios, critério da universalidade, bem como indicadores</w:t>
      </w:r>
      <w:r w:rsidR="0072333D">
        <w:rPr>
          <w:rFonts w:cs="Times New Roman"/>
          <w:szCs w:val="24"/>
        </w:rPr>
        <w:t>,</w:t>
      </w:r>
      <w:r w:rsidRPr="005A564D">
        <w:rPr>
          <w:rFonts w:cs="Times New Roman"/>
          <w:szCs w:val="24"/>
        </w:rPr>
        <w:t xml:space="preserve"> cujo processo de implementação nos municípios seja da responsabilidade dos agentes locais, ou seja, critério do </w:t>
      </w:r>
      <w:proofErr w:type="spellStart"/>
      <w:r w:rsidRPr="005A564D">
        <w:rPr>
          <w:rFonts w:cs="Times New Roman"/>
          <w:i/>
          <w:szCs w:val="24"/>
        </w:rPr>
        <w:t>ownership</w:t>
      </w:r>
      <w:proofErr w:type="spellEnd"/>
      <w:r w:rsidRPr="005A564D">
        <w:rPr>
          <w:rFonts w:cs="Times New Roman"/>
          <w:szCs w:val="24"/>
        </w:rPr>
        <w:t xml:space="preserve">. </w:t>
      </w:r>
    </w:p>
    <w:p w14:paraId="3ED50206" w14:textId="24033982" w:rsidR="00CC011A" w:rsidRDefault="00CC011A" w:rsidP="00CC011A">
      <w:pPr>
        <w:spacing w:line="360" w:lineRule="auto"/>
        <w:jc w:val="both"/>
        <w:rPr>
          <w:rFonts w:cs="Times New Roman"/>
          <w:szCs w:val="24"/>
        </w:rPr>
      </w:pPr>
      <w:r w:rsidRPr="005A564D">
        <w:rPr>
          <w:rFonts w:cs="Times New Roman"/>
          <w:szCs w:val="24"/>
        </w:rPr>
        <w:t xml:space="preserve">Por fim, a TIAC também aborda o critério da legalidade. Contudo este critério não foi tido em conta para a escolha dos indicadores, ou seja, segundo </w:t>
      </w:r>
      <w:r>
        <w:rPr>
          <w:rFonts w:cs="Times New Roman"/>
          <w:szCs w:val="24"/>
        </w:rPr>
        <w:t xml:space="preserve">a </w:t>
      </w:r>
      <w:r w:rsidRPr="005A564D">
        <w:rPr>
          <w:rFonts w:cs="Times New Roman"/>
          <w:szCs w:val="24"/>
        </w:rPr>
        <w:t xml:space="preserve">TIAC (2017), os indicadores cuja informação, por lei, tem </w:t>
      </w:r>
      <w:proofErr w:type="gramStart"/>
      <w:r w:rsidRPr="005A564D">
        <w:rPr>
          <w:rFonts w:cs="Times New Roman"/>
          <w:szCs w:val="24"/>
        </w:rPr>
        <w:t>que</w:t>
      </w:r>
      <w:proofErr w:type="gramEnd"/>
      <w:r w:rsidRPr="005A564D">
        <w:rPr>
          <w:rFonts w:cs="Times New Roman"/>
          <w:szCs w:val="24"/>
        </w:rPr>
        <w:t xml:space="preserve"> ser publicada nos </w:t>
      </w:r>
      <w:r w:rsidRPr="006F2B0B">
        <w:rPr>
          <w:rFonts w:cs="Times New Roman"/>
          <w:i/>
          <w:szCs w:val="24"/>
        </w:rPr>
        <w:t>websites</w:t>
      </w:r>
      <w:r w:rsidRPr="005A564D">
        <w:rPr>
          <w:rFonts w:cs="Times New Roman"/>
          <w:szCs w:val="24"/>
        </w:rPr>
        <w:t xml:space="preserve"> dos municípios podem não ter sido considerados para o índice. </w:t>
      </w:r>
      <w:r w:rsidRPr="006F2B0B">
        <w:rPr>
          <w:rFonts w:cs="Times New Roman"/>
          <w:szCs w:val="24"/>
        </w:rPr>
        <w:t>Inversamente, existem indicadores cuja informação não é obrigatoriamente publicada, mas que foram tidos em conta no índice</w:t>
      </w:r>
      <w:r w:rsidRPr="005A564D">
        <w:rPr>
          <w:rFonts w:cs="Times New Roman"/>
          <w:szCs w:val="24"/>
        </w:rPr>
        <w:t xml:space="preserve">. Para fazer esta seleção de indicadores, cuja publicação da informação é obrigatória ou não por lei, baseou-se </w:t>
      </w:r>
      <w:r>
        <w:rPr>
          <w:rFonts w:cs="Times New Roman"/>
          <w:szCs w:val="24"/>
        </w:rPr>
        <w:t>no</w:t>
      </w:r>
      <w:r w:rsidRPr="005A564D">
        <w:rPr>
          <w:rFonts w:cs="Times New Roman"/>
          <w:szCs w:val="24"/>
        </w:rPr>
        <w:t xml:space="preserve"> interesse </w:t>
      </w:r>
      <w:r w:rsidR="00680E0D" w:rsidRPr="005A564D">
        <w:rPr>
          <w:rFonts w:cs="Times New Roman"/>
          <w:szCs w:val="24"/>
        </w:rPr>
        <w:t>público</w:t>
      </w:r>
      <w:r w:rsidRPr="005A564D">
        <w:rPr>
          <w:rFonts w:cs="Times New Roman"/>
          <w:szCs w:val="24"/>
        </w:rPr>
        <w:t xml:space="preserve">, ou seja, qual era mais relevante para os cidadãos e seus decisores e não no </w:t>
      </w:r>
      <w:r w:rsidR="00680E0D" w:rsidRPr="005A564D">
        <w:rPr>
          <w:rFonts w:cs="Times New Roman"/>
          <w:szCs w:val="24"/>
        </w:rPr>
        <w:t>princípio</w:t>
      </w:r>
      <w:r w:rsidRPr="005A564D">
        <w:rPr>
          <w:rFonts w:cs="Times New Roman"/>
          <w:szCs w:val="24"/>
        </w:rPr>
        <w:t xml:space="preserve"> da legalidade, propriamente dito. </w:t>
      </w:r>
    </w:p>
    <w:p w14:paraId="0CBB67E4" w14:textId="60E492A1" w:rsidR="00CC011A" w:rsidRPr="0054104E" w:rsidRDefault="00114A3F" w:rsidP="00193467">
      <w:pPr>
        <w:pStyle w:val="Ttulo2"/>
        <w:spacing w:before="240" w:after="240" w:line="360" w:lineRule="auto"/>
        <w:ind w:left="357" w:firstLine="357"/>
        <w:rPr>
          <w:sz w:val="24"/>
        </w:rPr>
      </w:pPr>
      <w:bookmarkStart w:id="58" w:name="_Toc37792564"/>
      <w:bookmarkStart w:id="59" w:name="_Toc66624204"/>
      <w:r w:rsidRPr="0054104E">
        <w:rPr>
          <w:sz w:val="24"/>
        </w:rPr>
        <w:t xml:space="preserve">3.5.2. </w:t>
      </w:r>
      <w:r w:rsidR="00CC011A" w:rsidRPr="0054104E">
        <w:rPr>
          <w:sz w:val="24"/>
        </w:rPr>
        <w:t>Situações fora do âmbito do índice</w:t>
      </w:r>
      <w:bookmarkEnd w:id="58"/>
      <w:bookmarkEnd w:id="59"/>
    </w:p>
    <w:p w14:paraId="0C8D42CA" w14:textId="33A72E4C" w:rsidR="00CC011A" w:rsidRPr="005A564D" w:rsidRDefault="00CC011A" w:rsidP="00CC011A">
      <w:pPr>
        <w:spacing w:line="360" w:lineRule="auto"/>
        <w:jc w:val="both"/>
        <w:rPr>
          <w:rFonts w:cs="Times New Roman"/>
          <w:szCs w:val="24"/>
        </w:rPr>
      </w:pPr>
      <w:r w:rsidRPr="005A564D">
        <w:rPr>
          <w:rFonts w:cs="Times New Roman"/>
          <w:szCs w:val="24"/>
        </w:rPr>
        <w:t xml:space="preserve">Nos pontos acima referidos </w:t>
      </w:r>
      <w:r>
        <w:rPr>
          <w:rFonts w:cs="Times New Roman"/>
          <w:szCs w:val="24"/>
        </w:rPr>
        <w:t>fo</w:t>
      </w:r>
      <w:r w:rsidR="008060CB">
        <w:rPr>
          <w:rFonts w:cs="Times New Roman"/>
          <w:szCs w:val="24"/>
        </w:rPr>
        <w:t>ram</w:t>
      </w:r>
      <w:r>
        <w:rPr>
          <w:rFonts w:cs="Times New Roman"/>
          <w:szCs w:val="24"/>
        </w:rPr>
        <w:t xml:space="preserve"> </w:t>
      </w:r>
      <w:r w:rsidRPr="006F2B0B">
        <w:rPr>
          <w:rFonts w:cs="Times New Roman"/>
          <w:szCs w:val="24"/>
        </w:rPr>
        <w:t>abordado</w:t>
      </w:r>
      <w:r w:rsidR="008060CB">
        <w:rPr>
          <w:rFonts w:cs="Times New Roman"/>
          <w:szCs w:val="24"/>
        </w:rPr>
        <w:t>s os</w:t>
      </w:r>
      <w:r w:rsidRPr="006F2B0B">
        <w:rPr>
          <w:rFonts w:cs="Times New Roman"/>
          <w:szCs w:val="24"/>
        </w:rPr>
        <w:t xml:space="preserve"> indicadores</w:t>
      </w:r>
      <w:r w:rsidRPr="005A564D">
        <w:rPr>
          <w:rFonts w:cs="Times New Roman"/>
          <w:szCs w:val="24"/>
        </w:rPr>
        <w:t xml:space="preserve"> que são agrupados em dimensões </w:t>
      </w:r>
      <w:r w:rsidR="00F73DAC">
        <w:rPr>
          <w:rFonts w:cs="Times New Roman"/>
          <w:szCs w:val="24"/>
        </w:rPr>
        <w:t xml:space="preserve">sendo </w:t>
      </w:r>
      <w:r w:rsidRPr="005A564D">
        <w:rPr>
          <w:rFonts w:cs="Times New Roman"/>
          <w:szCs w:val="24"/>
        </w:rPr>
        <w:t xml:space="preserve">através desses que é calculado o índice. Contudo, também se torna importante referir o que o índice não mede. </w:t>
      </w:r>
    </w:p>
    <w:p w14:paraId="2247F243" w14:textId="03991515" w:rsidR="00CC011A" w:rsidRDefault="00CC011A" w:rsidP="00CC011A">
      <w:pPr>
        <w:spacing w:line="360" w:lineRule="auto"/>
        <w:jc w:val="both"/>
        <w:rPr>
          <w:rFonts w:cs="Times New Roman"/>
          <w:szCs w:val="24"/>
        </w:rPr>
      </w:pPr>
      <w:r w:rsidRPr="005A564D">
        <w:rPr>
          <w:rFonts w:cs="Times New Roman"/>
          <w:szCs w:val="24"/>
        </w:rPr>
        <w:t>Em primeiro</w:t>
      </w:r>
      <w:r w:rsidR="00F73DAC">
        <w:rPr>
          <w:rFonts w:cs="Times New Roman"/>
          <w:szCs w:val="24"/>
        </w:rPr>
        <w:t xml:space="preserve"> lugar</w:t>
      </w:r>
      <w:r w:rsidRPr="005A564D">
        <w:rPr>
          <w:rFonts w:cs="Times New Roman"/>
          <w:szCs w:val="24"/>
        </w:rPr>
        <w:t xml:space="preserve">, o índice não mede a acessibilidade da </w:t>
      </w:r>
      <w:r w:rsidR="00281615">
        <w:rPr>
          <w:rFonts w:cs="Times New Roman"/>
          <w:szCs w:val="24"/>
        </w:rPr>
        <w:t>informação, ou seja, os investigadores</w:t>
      </w:r>
      <w:r w:rsidRPr="005A564D">
        <w:rPr>
          <w:rFonts w:cs="Times New Roman"/>
          <w:szCs w:val="24"/>
        </w:rPr>
        <w:t xml:space="preserve"> na recolha de dados retiraram informação dos </w:t>
      </w:r>
      <w:r w:rsidRPr="003A3C1F">
        <w:rPr>
          <w:rFonts w:cs="Times New Roman"/>
          <w:i/>
          <w:szCs w:val="24"/>
        </w:rPr>
        <w:t>websites</w:t>
      </w:r>
      <w:r w:rsidRPr="005A564D">
        <w:rPr>
          <w:rFonts w:cs="Times New Roman"/>
          <w:szCs w:val="24"/>
        </w:rPr>
        <w:t xml:space="preserve"> dos municípios numa </w:t>
      </w:r>
      <w:r>
        <w:rPr>
          <w:rFonts w:cs="Times New Roman"/>
          <w:szCs w:val="24"/>
        </w:rPr>
        <w:t xml:space="preserve">perspetiva </w:t>
      </w:r>
      <w:r w:rsidRPr="005A564D">
        <w:rPr>
          <w:rFonts w:cs="Times New Roman"/>
          <w:szCs w:val="24"/>
        </w:rPr>
        <w:t>de utilizadores comuns o que significa que não acedera</w:t>
      </w:r>
      <w:r>
        <w:rPr>
          <w:rFonts w:cs="Times New Roman"/>
          <w:szCs w:val="24"/>
        </w:rPr>
        <w:t xml:space="preserve">m a informações privilegiadas e, </w:t>
      </w:r>
      <w:r w:rsidRPr="005A564D">
        <w:rPr>
          <w:rFonts w:cs="Times New Roman"/>
          <w:szCs w:val="24"/>
        </w:rPr>
        <w:t xml:space="preserve">no caso de </w:t>
      </w:r>
      <w:r w:rsidRPr="006F2B0B">
        <w:rPr>
          <w:rFonts w:cs="Times New Roman"/>
          <w:i/>
          <w:szCs w:val="24"/>
        </w:rPr>
        <w:t>websites</w:t>
      </w:r>
      <w:r w:rsidRPr="005A564D">
        <w:rPr>
          <w:rFonts w:cs="Times New Roman"/>
          <w:szCs w:val="24"/>
        </w:rPr>
        <w:t xml:space="preserve"> onde a informação é difícil de encontrar</w:t>
      </w:r>
      <w:r>
        <w:rPr>
          <w:rFonts w:cs="Times New Roman"/>
          <w:szCs w:val="24"/>
        </w:rPr>
        <w:t>,</w:t>
      </w:r>
      <w:r w:rsidRPr="005A564D">
        <w:rPr>
          <w:rFonts w:cs="Times New Roman"/>
          <w:szCs w:val="24"/>
        </w:rPr>
        <w:t xml:space="preserve"> </w:t>
      </w:r>
      <w:r>
        <w:rPr>
          <w:rFonts w:cs="Times New Roman"/>
          <w:szCs w:val="24"/>
        </w:rPr>
        <w:t xml:space="preserve">também o </w:t>
      </w:r>
      <w:r w:rsidRPr="005A564D">
        <w:rPr>
          <w:rFonts w:cs="Times New Roman"/>
          <w:szCs w:val="24"/>
        </w:rPr>
        <w:t>foi par</w:t>
      </w:r>
      <w:r>
        <w:rPr>
          <w:rFonts w:cs="Times New Roman"/>
          <w:szCs w:val="24"/>
        </w:rPr>
        <w:t>a o investi</w:t>
      </w:r>
      <w:r w:rsidR="00114A3F">
        <w:rPr>
          <w:rFonts w:cs="Times New Roman"/>
          <w:szCs w:val="24"/>
        </w:rPr>
        <w:t>ga</w:t>
      </w:r>
      <w:r>
        <w:rPr>
          <w:rFonts w:cs="Times New Roman"/>
          <w:szCs w:val="24"/>
        </w:rPr>
        <w:t>dor. Como consequência, o investi</w:t>
      </w:r>
      <w:r w:rsidR="005F68A1">
        <w:rPr>
          <w:rFonts w:cs="Times New Roman"/>
          <w:szCs w:val="24"/>
        </w:rPr>
        <w:t>ga</w:t>
      </w:r>
      <w:r>
        <w:rPr>
          <w:rFonts w:cs="Times New Roman"/>
          <w:szCs w:val="24"/>
        </w:rPr>
        <w:t>dor pode classificar como não disponível uma informação que está efetivamente publicada.</w:t>
      </w:r>
    </w:p>
    <w:p w14:paraId="3D25B4A1" w14:textId="77777777" w:rsidR="00CC011A" w:rsidRPr="005A564D" w:rsidRDefault="00CC011A" w:rsidP="00CC011A">
      <w:pPr>
        <w:spacing w:line="360" w:lineRule="auto"/>
        <w:jc w:val="both"/>
        <w:rPr>
          <w:rFonts w:cs="Times New Roman"/>
          <w:szCs w:val="24"/>
        </w:rPr>
      </w:pPr>
      <w:r w:rsidRPr="005A564D">
        <w:rPr>
          <w:rFonts w:cs="Times New Roman"/>
          <w:szCs w:val="24"/>
        </w:rPr>
        <w:t xml:space="preserve">Não obstante, o índice também não mede a inteligibilidade da informação, isto é, o enfoque para medir o índice foi a informação disponibilizada e não a capacidade </w:t>
      </w:r>
      <w:proofErr w:type="gramStart"/>
      <w:r w:rsidRPr="005A564D">
        <w:rPr>
          <w:rFonts w:cs="Times New Roman"/>
          <w:szCs w:val="24"/>
        </w:rPr>
        <w:t>dos</w:t>
      </w:r>
      <w:proofErr w:type="gramEnd"/>
      <w:r w:rsidRPr="005A564D">
        <w:rPr>
          <w:rFonts w:cs="Times New Roman"/>
          <w:szCs w:val="24"/>
        </w:rPr>
        <w:t xml:space="preserve"> cidadãos compreenderem a mesma. Em suma, distinguiu-se o que seria informação disponibilizada e receção da mesma e focou-se na primeira. </w:t>
      </w:r>
    </w:p>
    <w:p w14:paraId="6A8F587B" w14:textId="77777777" w:rsidR="00CC011A" w:rsidRPr="005A564D" w:rsidRDefault="00CC011A" w:rsidP="00CC011A">
      <w:pPr>
        <w:spacing w:line="360" w:lineRule="auto"/>
        <w:jc w:val="both"/>
        <w:rPr>
          <w:rFonts w:cs="Times New Roman"/>
          <w:szCs w:val="24"/>
        </w:rPr>
      </w:pPr>
      <w:r w:rsidRPr="005A564D">
        <w:rPr>
          <w:rFonts w:cs="Times New Roman"/>
          <w:szCs w:val="24"/>
        </w:rPr>
        <w:t xml:space="preserve">O índice não mede, ainda, a qualidade da informação, ou seja, a informação recolhida nos </w:t>
      </w:r>
      <w:r w:rsidRPr="003A3C1F">
        <w:rPr>
          <w:rFonts w:cs="Times New Roman"/>
          <w:i/>
          <w:szCs w:val="24"/>
        </w:rPr>
        <w:t>websites</w:t>
      </w:r>
      <w:r w:rsidRPr="005A564D">
        <w:rPr>
          <w:rFonts w:cs="Times New Roman"/>
          <w:szCs w:val="24"/>
        </w:rPr>
        <w:t xml:space="preserve"> poderá ter qualidade e ser de utilidade reduzida como, também, pode ser desprovida de informação fidedigna. Contudo, a equipa de projeto apenas recolheu a informação e verificou </w:t>
      </w:r>
      <w:r w:rsidRPr="005A564D">
        <w:rPr>
          <w:rFonts w:cs="Times New Roman"/>
          <w:szCs w:val="24"/>
        </w:rPr>
        <w:lastRenderedPageBreak/>
        <w:t>se correspondia com o indicador solicitado não tendo tido em conta se a informação é boa ou má ou se os processos decisórios que lhe deram origem são regulares ou irregulares.</w:t>
      </w:r>
    </w:p>
    <w:p w14:paraId="18425847" w14:textId="25C40BBB" w:rsidR="00CC011A" w:rsidRDefault="00CC011A" w:rsidP="00CC011A">
      <w:pPr>
        <w:spacing w:line="360" w:lineRule="auto"/>
        <w:jc w:val="both"/>
        <w:rPr>
          <w:rFonts w:cs="Times New Roman"/>
          <w:szCs w:val="24"/>
        </w:rPr>
      </w:pPr>
      <w:r w:rsidRPr="005A564D">
        <w:rPr>
          <w:rFonts w:cs="Times New Roman"/>
          <w:szCs w:val="24"/>
        </w:rPr>
        <w:t xml:space="preserve">Por fim, o índice não mede a corrupção na medida em que mede uma transparência proactiva do município, ou seja, através da informação publicada, por iniciativa do município, no seu </w:t>
      </w:r>
      <w:r w:rsidRPr="003A3C1F">
        <w:rPr>
          <w:rFonts w:cs="Times New Roman"/>
          <w:i/>
          <w:szCs w:val="24"/>
        </w:rPr>
        <w:t>website</w:t>
      </w:r>
      <w:r w:rsidRPr="005A564D">
        <w:rPr>
          <w:rFonts w:cs="Times New Roman"/>
          <w:szCs w:val="24"/>
        </w:rPr>
        <w:t xml:space="preserve"> e não deve ser atribuído um significado diferente. Um município que não divulgue informação aos cidadãos é opaco e pode estar mais suscetível a gerar climas de </w:t>
      </w:r>
      <w:r w:rsidR="00617E44" w:rsidRPr="005A564D">
        <w:rPr>
          <w:rFonts w:cs="Times New Roman"/>
          <w:szCs w:val="24"/>
        </w:rPr>
        <w:t>suspeitas,</w:t>
      </w:r>
      <w:r w:rsidRPr="005A564D">
        <w:rPr>
          <w:rFonts w:cs="Times New Roman"/>
          <w:szCs w:val="24"/>
        </w:rPr>
        <w:t xml:space="preserve"> mas também não significa que o contrário garant</w:t>
      </w:r>
      <w:r w:rsidR="00617E44">
        <w:rPr>
          <w:rFonts w:cs="Times New Roman"/>
          <w:szCs w:val="24"/>
        </w:rPr>
        <w:t>a</w:t>
      </w:r>
      <w:r w:rsidRPr="005A564D">
        <w:rPr>
          <w:rFonts w:cs="Times New Roman"/>
          <w:szCs w:val="24"/>
        </w:rPr>
        <w:t xml:space="preserve"> uma não pr</w:t>
      </w:r>
      <w:r>
        <w:rPr>
          <w:rFonts w:cs="Times New Roman"/>
          <w:szCs w:val="24"/>
        </w:rPr>
        <w:t>á</w:t>
      </w:r>
      <w:r w:rsidRPr="005A564D">
        <w:rPr>
          <w:rFonts w:cs="Times New Roman"/>
          <w:szCs w:val="24"/>
        </w:rPr>
        <w:t xml:space="preserve">tica de corrupção. Contudo, não cabe ao índice nenhuma destas interpretações. </w:t>
      </w:r>
    </w:p>
    <w:p w14:paraId="44415D5B" w14:textId="0F3C2CF8" w:rsidR="00CC011A" w:rsidRPr="0054104E" w:rsidRDefault="00C206BB" w:rsidP="00193467">
      <w:pPr>
        <w:pStyle w:val="Ttulo2"/>
        <w:spacing w:before="240" w:after="240" w:line="360" w:lineRule="auto"/>
        <w:ind w:left="357" w:firstLine="357"/>
        <w:rPr>
          <w:sz w:val="24"/>
        </w:rPr>
      </w:pPr>
      <w:bookmarkStart w:id="60" w:name="_Toc37792565"/>
      <w:bookmarkStart w:id="61" w:name="_Toc66624205"/>
      <w:r w:rsidRPr="0054104E">
        <w:rPr>
          <w:sz w:val="24"/>
        </w:rPr>
        <w:t xml:space="preserve">3.5.3. </w:t>
      </w:r>
      <w:r w:rsidR="00CC011A" w:rsidRPr="0054104E">
        <w:rPr>
          <w:sz w:val="24"/>
        </w:rPr>
        <w:t xml:space="preserve"> Processo do </w:t>
      </w:r>
      <w:r w:rsidR="00AA641F">
        <w:rPr>
          <w:sz w:val="24"/>
        </w:rPr>
        <w:t>c</w:t>
      </w:r>
      <w:r w:rsidR="00CC011A" w:rsidRPr="0054104E">
        <w:rPr>
          <w:sz w:val="24"/>
        </w:rPr>
        <w:t>ontraditório</w:t>
      </w:r>
      <w:bookmarkEnd w:id="60"/>
      <w:bookmarkEnd w:id="61"/>
    </w:p>
    <w:p w14:paraId="1AA7436D" w14:textId="77777777" w:rsidR="00CC011A" w:rsidRPr="005A564D" w:rsidRDefault="00CC011A" w:rsidP="00CC011A">
      <w:pPr>
        <w:spacing w:line="360" w:lineRule="auto"/>
        <w:jc w:val="both"/>
        <w:rPr>
          <w:rFonts w:cs="Times New Roman"/>
          <w:szCs w:val="24"/>
        </w:rPr>
      </w:pPr>
      <w:r w:rsidRPr="005A564D">
        <w:rPr>
          <w:rFonts w:cs="Times New Roman"/>
          <w:szCs w:val="24"/>
        </w:rPr>
        <w:t xml:space="preserve">Como já referido, para o cálculo do índice </w:t>
      </w:r>
      <w:r w:rsidRPr="002F1261">
        <w:rPr>
          <w:rFonts w:cs="Times New Roman"/>
          <w:szCs w:val="24"/>
        </w:rPr>
        <w:t>são tidos</w:t>
      </w:r>
      <w:r w:rsidRPr="005A564D">
        <w:rPr>
          <w:rFonts w:cs="Times New Roman"/>
          <w:szCs w:val="24"/>
        </w:rPr>
        <w:t xml:space="preserve"> em conta 76 indicadores. Deste modo, os investigadores visitam os </w:t>
      </w:r>
      <w:r w:rsidRPr="003A3C1F">
        <w:rPr>
          <w:rFonts w:cs="Times New Roman"/>
          <w:i/>
          <w:szCs w:val="24"/>
        </w:rPr>
        <w:t>websites</w:t>
      </w:r>
      <w:r w:rsidRPr="005A564D">
        <w:rPr>
          <w:rFonts w:cs="Times New Roman"/>
          <w:szCs w:val="24"/>
        </w:rPr>
        <w:t xml:space="preserve"> dos 308 municípios portugueses com o objetivo de encontrar cada um dos indicadores. Após isto, para cada indicador é atribuído um resultado binário em que é atribuído “1” se a informação constar e “0” no caso oposto. Com base nesta recolha calcula-se, então, a pontuação obtida em cada uma das 7 dimensões em análise.  </w:t>
      </w:r>
    </w:p>
    <w:p w14:paraId="1DD27E7F" w14:textId="77777777" w:rsidR="00CC011A" w:rsidRPr="005A564D" w:rsidRDefault="00CC011A" w:rsidP="00CC011A">
      <w:pPr>
        <w:spacing w:line="360" w:lineRule="auto"/>
        <w:jc w:val="both"/>
        <w:rPr>
          <w:rFonts w:cs="Times New Roman"/>
          <w:szCs w:val="24"/>
        </w:rPr>
      </w:pPr>
      <w:r w:rsidRPr="005A564D">
        <w:rPr>
          <w:rFonts w:cs="Times New Roman"/>
          <w:szCs w:val="24"/>
        </w:rPr>
        <w:t xml:space="preserve">Finda a recolha de dados, segundo a TIAC (2017), o resultado do índice de cada município é comunicado ao mesmo através do endereço de correio eletrónico geral do município apresentado no </w:t>
      </w:r>
      <w:r w:rsidRPr="003A3C1F">
        <w:rPr>
          <w:rFonts w:cs="Times New Roman"/>
          <w:i/>
          <w:szCs w:val="24"/>
        </w:rPr>
        <w:t>website</w:t>
      </w:r>
      <w:r w:rsidRPr="005A564D">
        <w:rPr>
          <w:rFonts w:cs="Times New Roman"/>
          <w:szCs w:val="24"/>
        </w:rPr>
        <w:t xml:space="preserve"> bem como para o endereço do presidente da Câmara, caso estes também estejam apresentados no </w:t>
      </w:r>
      <w:r w:rsidRPr="003A3C1F">
        <w:rPr>
          <w:rFonts w:cs="Times New Roman"/>
          <w:i/>
          <w:szCs w:val="24"/>
        </w:rPr>
        <w:t>website</w:t>
      </w:r>
      <w:r w:rsidRPr="005A564D">
        <w:rPr>
          <w:rFonts w:cs="Times New Roman"/>
          <w:szCs w:val="24"/>
        </w:rPr>
        <w:t>. Esta forma de comunicação tem como objetivo a uniformização dos critérios.</w:t>
      </w:r>
    </w:p>
    <w:p w14:paraId="2F4B9612" w14:textId="77777777" w:rsidR="00CC011A" w:rsidRPr="005A564D" w:rsidRDefault="00CC011A" w:rsidP="00CC011A">
      <w:pPr>
        <w:spacing w:line="360" w:lineRule="auto"/>
        <w:jc w:val="both"/>
        <w:rPr>
          <w:rFonts w:cs="Times New Roman"/>
          <w:szCs w:val="24"/>
        </w:rPr>
      </w:pPr>
      <w:r w:rsidRPr="005A564D">
        <w:rPr>
          <w:rFonts w:cs="Times New Roman"/>
          <w:szCs w:val="24"/>
        </w:rPr>
        <w:t xml:space="preserve">Após esta comunicação, os municípios são convidados, num prazo estipulado, a apresentarem à equipa de investigadores as suas propostas de correção. </w:t>
      </w:r>
    </w:p>
    <w:p w14:paraId="01C8F268" w14:textId="77777777" w:rsidR="00CC011A" w:rsidRPr="005A564D" w:rsidRDefault="00CC011A" w:rsidP="00CC011A">
      <w:pPr>
        <w:spacing w:line="360" w:lineRule="auto"/>
        <w:jc w:val="both"/>
        <w:rPr>
          <w:rFonts w:cs="Times New Roman"/>
          <w:szCs w:val="24"/>
        </w:rPr>
      </w:pPr>
      <w:r w:rsidRPr="005A564D">
        <w:rPr>
          <w:rFonts w:cs="Times New Roman"/>
          <w:szCs w:val="24"/>
        </w:rPr>
        <w:t xml:space="preserve">Quando o município apresenta a sua proposta de correção, a informação correspondente a cada indicador e que se prevê, por parte do município corrigir, tem </w:t>
      </w:r>
      <w:proofErr w:type="gramStart"/>
      <w:r w:rsidRPr="005A564D">
        <w:rPr>
          <w:rFonts w:cs="Times New Roman"/>
          <w:szCs w:val="24"/>
        </w:rPr>
        <w:t>que</w:t>
      </w:r>
      <w:proofErr w:type="gramEnd"/>
      <w:r w:rsidRPr="005A564D">
        <w:rPr>
          <w:rFonts w:cs="Times New Roman"/>
          <w:szCs w:val="24"/>
        </w:rPr>
        <w:t xml:space="preserve"> constar no seu próprio </w:t>
      </w:r>
      <w:r w:rsidRPr="003A3C1F">
        <w:rPr>
          <w:rFonts w:cs="Times New Roman"/>
          <w:i/>
          <w:szCs w:val="24"/>
        </w:rPr>
        <w:t>website</w:t>
      </w:r>
      <w:r w:rsidRPr="005A564D">
        <w:rPr>
          <w:rFonts w:cs="Times New Roman"/>
          <w:szCs w:val="24"/>
        </w:rPr>
        <w:t xml:space="preserve">, não sendo válido para os investigadores informação alojada em </w:t>
      </w:r>
      <w:r w:rsidRPr="003A3C1F">
        <w:rPr>
          <w:rFonts w:cs="Times New Roman"/>
          <w:i/>
          <w:szCs w:val="24"/>
        </w:rPr>
        <w:t>websites</w:t>
      </w:r>
      <w:r w:rsidRPr="005A564D">
        <w:rPr>
          <w:rFonts w:cs="Times New Roman"/>
          <w:szCs w:val="24"/>
        </w:rPr>
        <w:t xml:space="preserve"> exteriores ao do município. </w:t>
      </w:r>
    </w:p>
    <w:p w14:paraId="74B1F305" w14:textId="6311FE34" w:rsidR="00CC011A" w:rsidRPr="005A564D" w:rsidRDefault="00710805" w:rsidP="00CC011A">
      <w:pPr>
        <w:spacing w:line="360" w:lineRule="auto"/>
        <w:jc w:val="both"/>
        <w:rPr>
          <w:rFonts w:cs="Times New Roman"/>
          <w:szCs w:val="24"/>
        </w:rPr>
      </w:pPr>
      <w:r>
        <w:rPr>
          <w:rFonts w:cs="Times New Roman"/>
          <w:szCs w:val="24"/>
        </w:rPr>
        <w:t>Apó</w:t>
      </w:r>
      <w:r w:rsidR="00CC011A" w:rsidRPr="005A564D">
        <w:rPr>
          <w:rFonts w:cs="Times New Roman"/>
          <w:szCs w:val="24"/>
        </w:rPr>
        <w:t>s recolhidas todas as respostas/propostas de correção</w:t>
      </w:r>
      <w:r w:rsidR="00971708">
        <w:rPr>
          <w:rFonts w:cs="Times New Roman"/>
          <w:szCs w:val="24"/>
        </w:rPr>
        <w:t>, as mesmas</w:t>
      </w:r>
      <w:r w:rsidR="00CC011A" w:rsidRPr="005A564D">
        <w:rPr>
          <w:rFonts w:cs="Times New Roman"/>
          <w:szCs w:val="24"/>
        </w:rPr>
        <w:t xml:space="preserve"> são analisad</w:t>
      </w:r>
      <w:r w:rsidR="00971708">
        <w:rPr>
          <w:rFonts w:cs="Times New Roman"/>
          <w:szCs w:val="24"/>
        </w:rPr>
        <w:t>a</w:t>
      </w:r>
      <w:r w:rsidR="00CC011A" w:rsidRPr="005A564D">
        <w:rPr>
          <w:rFonts w:cs="Times New Roman"/>
          <w:szCs w:val="24"/>
        </w:rPr>
        <w:t xml:space="preserve">s, pelos investigadores, uma a uma e face à informação disponível aufere-se se o indicador é ou não alvo de contestação. </w:t>
      </w:r>
    </w:p>
    <w:p w14:paraId="5B70B355" w14:textId="4A2C2629" w:rsidR="00680E0D" w:rsidRDefault="00CC011A" w:rsidP="00151643">
      <w:pPr>
        <w:spacing w:line="360" w:lineRule="auto"/>
        <w:jc w:val="both"/>
        <w:rPr>
          <w:rFonts w:cs="Times New Roman"/>
        </w:rPr>
      </w:pPr>
      <w:r w:rsidRPr="005A564D">
        <w:rPr>
          <w:rFonts w:cs="Times New Roman"/>
          <w:szCs w:val="24"/>
        </w:rPr>
        <w:lastRenderedPageBreak/>
        <w:t xml:space="preserve">Com este processo concluído, </w:t>
      </w:r>
      <w:proofErr w:type="gramStart"/>
      <w:r w:rsidRPr="005A564D">
        <w:rPr>
          <w:rFonts w:cs="Times New Roman"/>
          <w:szCs w:val="24"/>
        </w:rPr>
        <w:t>é</w:t>
      </w:r>
      <w:proofErr w:type="gramEnd"/>
      <w:r w:rsidRPr="005A564D">
        <w:rPr>
          <w:rFonts w:cs="Times New Roman"/>
          <w:szCs w:val="24"/>
        </w:rPr>
        <w:t xml:space="preserve"> calculado o </w:t>
      </w:r>
      <w:r w:rsidRPr="00114A3F">
        <w:rPr>
          <w:rFonts w:cs="Times New Roman"/>
          <w:i/>
          <w:iCs/>
          <w:szCs w:val="24"/>
        </w:rPr>
        <w:t>score</w:t>
      </w:r>
      <w:r w:rsidRPr="005A564D">
        <w:rPr>
          <w:rFonts w:cs="Times New Roman"/>
          <w:szCs w:val="24"/>
        </w:rPr>
        <w:t xml:space="preserve"> final e o ranking do ITM. Antes da publicação do mesmo, os municípios são informados da data de publicação do ITM e do </w:t>
      </w:r>
      <w:r w:rsidRPr="00114A3F">
        <w:rPr>
          <w:rFonts w:cs="Times New Roman"/>
          <w:i/>
          <w:iCs/>
          <w:szCs w:val="24"/>
        </w:rPr>
        <w:t xml:space="preserve">score </w:t>
      </w:r>
      <w:r>
        <w:rPr>
          <w:rFonts w:cs="Times New Roman"/>
          <w:szCs w:val="24"/>
        </w:rPr>
        <w:t>e posição alcançada pelo mesmo.</w:t>
      </w:r>
    </w:p>
    <w:p w14:paraId="50D939C9" w14:textId="584C6181" w:rsidR="00BA62F8" w:rsidRDefault="00BA62F8" w:rsidP="00151643">
      <w:pPr>
        <w:spacing w:line="360" w:lineRule="auto"/>
        <w:jc w:val="both"/>
        <w:rPr>
          <w:rFonts w:cs="Times New Roman"/>
        </w:rPr>
      </w:pPr>
      <w:r>
        <w:rPr>
          <w:rFonts w:cs="Times New Roman"/>
        </w:rPr>
        <w:br w:type="page"/>
      </w:r>
    </w:p>
    <w:p w14:paraId="29271E96" w14:textId="1A58413F" w:rsidR="00BA62F8" w:rsidRDefault="00BD7818" w:rsidP="003D2C33">
      <w:pPr>
        <w:pStyle w:val="Ttulo1"/>
        <w:numPr>
          <w:ilvl w:val="0"/>
          <w:numId w:val="2"/>
        </w:numPr>
        <w:spacing w:before="120" w:after="360" w:line="360" w:lineRule="auto"/>
        <w:ind w:left="567" w:hanging="567"/>
        <w:jc w:val="center"/>
      </w:pPr>
      <w:bookmarkStart w:id="62" w:name="_Toc37792566"/>
      <w:bookmarkStart w:id="63" w:name="_Toc66624206"/>
      <w:r>
        <w:lastRenderedPageBreak/>
        <w:t xml:space="preserve">Estudo </w:t>
      </w:r>
      <w:r w:rsidR="00AA641F">
        <w:t>e</w:t>
      </w:r>
      <w:r>
        <w:t>mpírico</w:t>
      </w:r>
      <w:bookmarkEnd w:id="62"/>
      <w:bookmarkEnd w:id="63"/>
    </w:p>
    <w:p w14:paraId="560A4100" w14:textId="0F388B61" w:rsidR="00BA62F8" w:rsidRPr="003D2C33" w:rsidRDefault="00926848" w:rsidP="004A7409">
      <w:pPr>
        <w:spacing w:line="360" w:lineRule="auto"/>
        <w:jc w:val="both"/>
      </w:pPr>
      <w:r>
        <w:t xml:space="preserve">Neste capítulo </w:t>
      </w:r>
      <w:r w:rsidR="004A7409">
        <w:t>é</w:t>
      </w:r>
      <w:r>
        <w:t xml:space="preserve"> apresentada</w:t>
      </w:r>
      <w:r w:rsidR="004A7409">
        <w:t xml:space="preserve"> </w:t>
      </w:r>
      <w:r>
        <w:t>a</w:t>
      </w:r>
      <w:r w:rsidR="004A7409">
        <w:t xml:space="preserve"> </w:t>
      </w:r>
      <w:r>
        <w:t>metodologia adotada n</w:t>
      </w:r>
      <w:r w:rsidR="00B4769E">
        <w:t>o</w:t>
      </w:r>
      <w:r>
        <w:t xml:space="preserve"> trabalho de investigação, </w:t>
      </w:r>
      <w:r w:rsidR="00636D51">
        <w:t>realizada</w:t>
      </w:r>
      <w:r>
        <w:t xml:space="preserve"> a </w:t>
      </w:r>
      <w:r w:rsidRPr="005D5620">
        <w:t>an</w:t>
      </w:r>
      <w:r w:rsidR="00D440E4" w:rsidRPr="007259AD">
        <w:t>á</w:t>
      </w:r>
      <w:r w:rsidRPr="004809CC">
        <w:t xml:space="preserve">lise </w:t>
      </w:r>
      <w:r w:rsidR="001269EA">
        <w:t>estatística</w:t>
      </w:r>
      <w:r w:rsidRPr="004809CC">
        <w:t xml:space="preserve"> que incorpora estatísticas descritivas das variáveis em e</w:t>
      </w:r>
      <w:r w:rsidRPr="007B41FC">
        <w:t>studo</w:t>
      </w:r>
      <w:r w:rsidR="001C35DB" w:rsidRPr="007B41FC">
        <w:t>, a</w:t>
      </w:r>
      <w:r w:rsidR="00D07CF7" w:rsidRPr="007B41FC">
        <w:t xml:space="preserve"> análise </w:t>
      </w:r>
      <w:r w:rsidR="00D07CF7" w:rsidRPr="001269EA">
        <w:t>de correlação</w:t>
      </w:r>
      <w:r w:rsidR="001C35DB" w:rsidRPr="001269EA">
        <w:t xml:space="preserve"> e </w:t>
      </w:r>
      <w:r w:rsidR="005C151B">
        <w:t>a análise de distribuições</w:t>
      </w:r>
      <w:r w:rsidR="00200EA3">
        <w:t>. P</w:t>
      </w:r>
      <w:r w:rsidR="00636D51">
        <w:t>or fim,</w:t>
      </w:r>
      <w:r>
        <w:t xml:space="preserve"> </w:t>
      </w:r>
      <w:r w:rsidR="004A7409">
        <w:t>é desenvolvido o modelo de regressão linear múltipla com dados em painel</w:t>
      </w:r>
      <w:r w:rsidR="00636D51">
        <w:t xml:space="preserve">, apresentando </w:t>
      </w:r>
      <w:r w:rsidR="004A7409">
        <w:t>os resultados</w:t>
      </w:r>
      <w:r w:rsidR="00200EA3">
        <w:t xml:space="preserve"> e respetiva interpretação dos mesmos</w:t>
      </w:r>
      <w:r w:rsidR="004A7409">
        <w:t xml:space="preserve">. </w:t>
      </w:r>
    </w:p>
    <w:p w14:paraId="49E0E995" w14:textId="301F6001" w:rsidR="00151643" w:rsidRPr="00FE6B94" w:rsidRDefault="00C93C7D" w:rsidP="00193467">
      <w:pPr>
        <w:pStyle w:val="Ttulo2"/>
        <w:numPr>
          <w:ilvl w:val="1"/>
          <w:numId w:val="2"/>
        </w:numPr>
        <w:spacing w:before="360" w:after="240" w:line="360" w:lineRule="auto"/>
        <w:ind w:left="1077"/>
      </w:pPr>
      <w:bookmarkStart w:id="64" w:name="_Toc66624207"/>
      <w:r>
        <w:t>Caracterização das</w:t>
      </w:r>
      <w:r w:rsidR="004D1F2C">
        <w:t xml:space="preserve"> </w:t>
      </w:r>
      <w:r w:rsidR="006D0635">
        <w:t>v</w:t>
      </w:r>
      <w:r w:rsidR="002510E2">
        <w:t>ariáveis</w:t>
      </w:r>
      <w:bookmarkEnd w:id="64"/>
      <w:r w:rsidR="00BD7818">
        <w:t xml:space="preserve"> </w:t>
      </w:r>
    </w:p>
    <w:p w14:paraId="1822A9D7" w14:textId="6824C247" w:rsidR="00BA62F8" w:rsidRDefault="002510E2" w:rsidP="00BA7A88">
      <w:pPr>
        <w:spacing w:line="360" w:lineRule="auto"/>
        <w:jc w:val="both"/>
        <w:rPr>
          <w:rFonts w:cs="Times New Roman"/>
        </w:rPr>
      </w:pPr>
      <w:r>
        <w:rPr>
          <w:rFonts w:cs="Times New Roman"/>
        </w:rPr>
        <w:t xml:space="preserve">A presente dissertação procura encontrar </w:t>
      </w:r>
      <w:r w:rsidR="00BA7A88" w:rsidRPr="00BA7A88">
        <w:rPr>
          <w:rFonts w:cs="Times New Roman"/>
        </w:rPr>
        <w:t>quais as determinantes</w:t>
      </w:r>
      <w:r w:rsidR="005E7D5F">
        <w:rPr>
          <w:rFonts w:cs="Times New Roman"/>
        </w:rPr>
        <w:t xml:space="preserve"> da transparência municipal</w:t>
      </w:r>
      <w:r w:rsidR="00BA7A88" w:rsidRPr="00BA7A88">
        <w:rPr>
          <w:rFonts w:cs="Times New Roman"/>
        </w:rPr>
        <w:t xml:space="preserve"> e como estas podem influenciar </w:t>
      </w:r>
      <w:r w:rsidR="006E6F1F">
        <w:rPr>
          <w:rFonts w:cs="Times New Roman"/>
        </w:rPr>
        <w:t>essa mesma transparência</w:t>
      </w:r>
      <w:r w:rsidR="00D446CF">
        <w:rPr>
          <w:rFonts w:cs="Times New Roman"/>
        </w:rPr>
        <w:t>. Para tal,</w:t>
      </w:r>
      <w:r w:rsidR="006E6F1F">
        <w:rPr>
          <w:rFonts w:cs="Times New Roman"/>
        </w:rPr>
        <w:t xml:space="preserve"> a variável que se pretende explicar é o </w:t>
      </w:r>
      <w:r w:rsidR="00457015">
        <w:rPr>
          <w:rFonts w:cs="Times New Roman"/>
        </w:rPr>
        <w:t>ITM</w:t>
      </w:r>
      <w:r w:rsidR="00B80E02">
        <w:rPr>
          <w:rFonts w:cs="Times New Roman"/>
        </w:rPr>
        <w:t xml:space="preserve">. </w:t>
      </w:r>
      <w:r w:rsidR="00457015">
        <w:rPr>
          <w:rFonts w:cs="Times New Roman"/>
        </w:rPr>
        <w:t>Com base n</w:t>
      </w:r>
      <w:r w:rsidR="00B80E02">
        <w:rPr>
          <w:rFonts w:cs="Times New Roman"/>
        </w:rPr>
        <w:t xml:space="preserve">a </w:t>
      </w:r>
      <w:r w:rsidR="00D3137C">
        <w:rPr>
          <w:rFonts w:cs="Times New Roman"/>
        </w:rPr>
        <w:t>r</w:t>
      </w:r>
      <w:r w:rsidR="00B80E02">
        <w:rPr>
          <w:rFonts w:cs="Times New Roman"/>
        </w:rPr>
        <w:t>evisão</w:t>
      </w:r>
      <w:r w:rsidR="00457015">
        <w:rPr>
          <w:rFonts w:cs="Times New Roman"/>
        </w:rPr>
        <w:t xml:space="preserve"> de </w:t>
      </w:r>
      <w:r w:rsidR="00D3137C">
        <w:rPr>
          <w:rFonts w:cs="Times New Roman"/>
        </w:rPr>
        <w:t>l</w:t>
      </w:r>
      <w:r w:rsidR="00457015">
        <w:rPr>
          <w:rFonts w:cs="Times New Roman"/>
        </w:rPr>
        <w:t>iteratura</w:t>
      </w:r>
      <w:r w:rsidR="00B80E02">
        <w:rPr>
          <w:rFonts w:cs="Times New Roman"/>
        </w:rPr>
        <w:t xml:space="preserve"> apresentada, foram </w:t>
      </w:r>
      <w:proofErr w:type="gramStart"/>
      <w:r w:rsidR="00D3137C">
        <w:rPr>
          <w:rFonts w:cs="Times New Roman"/>
        </w:rPr>
        <w:t>selecionadas</w:t>
      </w:r>
      <w:proofErr w:type="gramEnd"/>
      <w:r w:rsidR="00B80E02">
        <w:rPr>
          <w:rFonts w:cs="Times New Roman"/>
        </w:rPr>
        <w:t xml:space="preserve"> </w:t>
      </w:r>
      <w:r w:rsidR="00457015">
        <w:rPr>
          <w:rFonts w:cs="Times New Roman"/>
        </w:rPr>
        <w:t>oito variáveis que</w:t>
      </w:r>
      <w:r w:rsidR="006D0635">
        <w:rPr>
          <w:rFonts w:cs="Times New Roman"/>
        </w:rPr>
        <w:t>,</w:t>
      </w:r>
      <w:r w:rsidR="00457015">
        <w:rPr>
          <w:rFonts w:cs="Times New Roman"/>
        </w:rPr>
        <w:t xml:space="preserve"> de acordo com os estudos</w:t>
      </w:r>
      <w:r w:rsidR="006D0635">
        <w:rPr>
          <w:rFonts w:cs="Times New Roman"/>
        </w:rPr>
        <w:t>,</w:t>
      </w:r>
      <w:r w:rsidR="00457015">
        <w:rPr>
          <w:rFonts w:cs="Times New Roman"/>
        </w:rPr>
        <w:t xml:space="preserve"> podem explicar o ITM</w:t>
      </w:r>
      <w:r w:rsidR="00D3137C">
        <w:rPr>
          <w:rFonts w:cs="Times New Roman"/>
        </w:rPr>
        <w:t>, a saber</w:t>
      </w:r>
      <w:r w:rsidR="00822885">
        <w:rPr>
          <w:rFonts w:cs="Times New Roman"/>
        </w:rPr>
        <w:t>:</w:t>
      </w:r>
      <w:r w:rsidR="00F26781">
        <w:rPr>
          <w:rFonts w:cs="Times New Roman"/>
        </w:rPr>
        <w:t xml:space="preserve"> a ideologia </w:t>
      </w:r>
      <w:r w:rsidR="00115C78">
        <w:rPr>
          <w:rFonts w:cs="Times New Roman"/>
        </w:rPr>
        <w:t>do partido político</w:t>
      </w:r>
      <w:r w:rsidR="00F26781">
        <w:rPr>
          <w:rFonts w:cs="Times New Roman"/>
        </w:rPr>
        <w:t xml:space="preserve"> (</w:t>
      </w:r>
      <w:r w:rsidR="00FD14FA">
        <w:rPr>
          <w:rFonts w:cs="Times New Roman"/>
        </w:rPr>
        <w:t>I</w:t>
      </w:r>
      <w:r w:rsidR="00F26781">
        <w:rPr>
          <w:rFonts w:cs="Times New Roman"/>
        </w:rPr>
        <w:t>PP)</w:t>
      </w:r>
      <w:r w:rsidR="00822885">
        <w:rPr>
          <w:rFonts w:cs="Times New Roman"/>
        </w:rPr>
        <w:t xml:space="preserve">, a </w:t>
      </w:r>
      <w:r w:rsidR="0045149B">
        <w:rPr>
          <w:rFonts w:cs="Times New Roman"/>
        </w:rPr>
        <w:t>c</w:t>
      </w:r>
      <w:r w:rsidR="00A71509">
        <w:rPr>
          <w:rFonts w:cs="Times New Roman"/>
        </w:rPr>
        <w:t xml:space="preserve">ompetição </w:t>
      </w:r>
      <w:r w:rsidR="00822885">
        <w:rPr>
          <w:rFonts w:cs="Times New Roman"/>
        </w:rPr>
        <w:t>política</w:t>
      </w:r>
      <w:r w:rsidR="00F26781">
        <w:rPr>
          <w:rFonts w:cs="Times New Roman"/>
        </w:rPr>
        <w:t xml:space="preserve"> (</w:t>
      </w:r>
      <w:r w:rsidR="00A71509">
        <w:rPr>
          <w:rFonts w:cs="Times New Roman"/>
        </w:rPr>
        <w:t>C</w:t>
      </w:r>
      <w:r w:rsidR="00F26781">
        <w:rPr>
          <w:rFonts w:cs="Times New Roman"/>
        </w:rPr>
        <w:t>P)</w:t>
      </w:r>
      <w:r w:rsidR="00822885">
        <w:rPr>
          <w:rFonts w:cs="Times New Roman"/>
        </w:rPr>
        <w:t>, o valor do endividamento</w:t>
      </w:r>
      <w:r w:rsidR="00F26781">
        <w:rPr>
          <w:rFonts w:cs="Times New Roman"/>
        </w:rPr>
        <w:t xml:space="preserve"> (VEnd)</w:t>
      </w:r>
      <w:r w:rsidR="00822885">
        <w:rPr>
          <w:rFonts w:cs="Times New Roman"/>
        </w:rPr>
        <w:t xml:space="preserve">, </w:t>
      </w:r>
      <w:r w:rsidR="0044016B">
        <w:rPr>
          <w:rFonts w:cs="Times New Roman"/>
        </w:rPr>
        <w:t>a</w:t>
      </w:r>
      <w:r w:rsidR="00822885">
        <w:rPr>
          <w:rFonts w:cs="Times New Roman"/>
        </w:rPr>
        <w:t xml:space="preserve"> </w:t>
      </w:r>
      <w:r w:rsidR="00FA4C62">
        <w:rPr>
          <w:rFonts w:cs="Times New Roman"/>
        </w:rPr>
        <w:t xml:space="preserve">despesa efetiva </w:t>
      </w:r>
      <w:r w:rsidR="00FA4C62" w:rsidRPr="00506E82">
        <w:rPr>
          <w:rFonts w:cs="Times New Roman"/>
          <w:i/>
          <w:iCs/>
        </w:rPr>
        <w:t>per capita</w:t>
      </w:r>
      <w:r w:rsidR="00F26781">
        <w:rPr>
          <w:rFonts w:cs="Times New Roman"/>
        </w:rPr>
        <w:t xml:space="preserve"> (</w:t>
      </w:r>
      <w:r w:rsidR="009C4354">
        <w:rPr>
          <w:rFonts w:cs="Times New Roman"/>
        </w:rPr>
        <w:t>D</w:t>
      </w:r>
      <w:r w:rsidR="00FA4C62">
        <w:rPr>
          <w:rFonts w:cs="Times New Roman"/>
        </w:rPr>
        <w:t>E</w:t>
      </w:r>
      <w:r w:rsidR="00F26781">
        <w:rPr>
          <w:rFonts w:cs="Times New Roman"/>
        </w:rPr>
        <w:t>)</w:t>
      </w:r>
      <w:r w:rsidR="00822885">
        <w:rPr>
          <w:rFonts w:cs="Times New Roman"/>
        </w:rPr>
        <w:t>, a população residente</w:t>
      </w:r>
      <w:r w:rsidR="0059398B">
        <w:rPr>
          <w:rFonts w:cs="Times New Roman"/>
        </w:rPr>
        <w:t xml:space="preserve"> (PR)</w:t>
      </w:r>
      <w:r w:rsidR="00822885">
        <w:rPr>
          <w:rFonts w:cs="Times New Roman"/>
        </w:rPr>
        <w:t xml:space="preserve">, a </w:t>
      </w:r>
      <w:r w:rsidR="0044016B">
        <w:rPr>
          <w:rFonts w:cs="Times New Roman"/>
        </w:rPr>
        <w:t xml:space="preserve">taxa de </w:t>
      </w:r>
      <w:r w:rsidR="00822885">
        <w:rPr>
          <w:rFonts w:cs="Times New Roman"/>
        </w:rPr>
        <w:t xml:space="preserve">população </w:t>
      </w:r>
      <w:r w:rsidR="0044016B">
        <w:rPr>
          <w:rFonts w:cs="Times New Roman"/>
        </w:rPr>
        <w:t>idosa</w:t>
      </w:r>
      <w:r w:rsidR="0059398B">
        <w:rPr>
          <w:rFonts w:cs="Times New Roman"/>
        </w:rPr>
        <w:t xml:space="preserve"> (</w:t>
      </w:r>
      <w:proofErr w:type="spellStart"/>
      <w:r w:rsidR="0044016B">
        <w:rPr>
          <w:rFonts w:cs="Times New Roman"/>
        </w:rPr>
        <w:t>Tx</w:t>
      </w:r>
      <w:r w:rsidR="0059398B">
        <w:rPr>
          <w:rFonts w:cs="Times New Roman"/>
        </w:rPr>
        <w:t>PI</w:t>
      </w:r>
      <w:proofErr w:type="spellEnd"/>
      <w:r w:rsidR="0059398B">
        <w:rPr>
          <w:rFonts w:cs="Times New Roman"/>
        </w:rPr>
        <w:t>)</w:t>
      </w:r>
      <w:r w:rsidR="00822885">
        <w:rPr>
          <w:rFonts w:cs="Times New Roman"/>
        </w:rPr>
        <w:t>, a taxa de desemprego</w:t>
      </w:r>
      <w:r w:rsidR="0059398B">
        <w:rPr>
          <w:rFonts w:cs="Times New Roman"/>
        </w:rPr>
        <w:t xml:space="preserve"> (</w:t>
      </w:r>
      <w:proofErr w:type="spellStart"/>
      <w:r w:rsidR="0059398B">
        <w:rPr>
          <w:rFonts w:cs="Times New Roman"/>
        </w:rPr>
        <w:t>TxD</w:t>
      </w:r>
      <w:proofErr w:type="spellEnd"/>
      <w:r w:rsidR="0059398B">
        <w:rPr>
          <w:rFonts w:cs="Times New Roman"/>
        </w:rPr>
        <w:t>)</w:t>
      </w:r>
      <w:r w:rsidR="00822885">
        <w:rPr>
          <w:rFonts w:cs="Times New Roman"/>
        </w:rPr>
        <w:t xml:space="preserve"> e a percentagem de abstenção</w:t>
      </w:r>
      <w:r w:rsidR="0059398B">
        <w:rPr>
          <w:rFonts w:cs="Times New Roman"/>
        </w:rPr>
        <w:t xml:space="preserve"> (PA)</w:t>
      </w:r>
      <w:r w:rsidR="00822885">
        <w:rPr>
          <w:rFonts w:cs="Times New Roman"/>
        </w:rPr>
        <w:t>.</w:t>
      </w:r>
      <w:r w:rsidR="0059398B">
        <w:rPr>
          <w:rFonts w:cs="Times New Roman"/>
        </w:rPr>
        <w:t xml:space="preserve"> </w:t>
      </w:r>
      <w:r w:rsidR="00801EE2">
        <w:rPr>
          <w:rFonts w:cs="Times New Roman"/>
        </w:rPr>
        <w:t xml:space="preserve">Os estudos que conduziram à escolha destas variáveis </w:t>
      </w:r>
      <w:r w:rsidR="00D3137C">
        <w:rPr>
          <w:rFonts w:cs="Times New Roman"/>
        </w:rPr>
        <w:t>foram apresentados</w:t>
      </w:r>
      <w:r w:rsidR="00801EE2">
        <w:rPr>
          <w:rFonts w:cs="Times New Roman"/>
        </w:rPr>
        <w:t xml:space="preserve"> </w:t>
      </w:r>
      <w:r w:rsidR="00D3137C">
        <w:rPr>
          <w:rFonts w:cs="Times New Roman"/>
        </w:rPr>
        <w:t xml:space="preserve">no ponto </w:t>
      </w:r>
      <w:r w:rsidR="00D3137C" w:rsidRPr="00801EE2">
        <w:rPr>
          <w:rFonts w:cs="Times New Roman"/>
        </w:rPr>
        <w:t>2.4</w:t>
      </w:r>
      <w:r w:rsidR="00D3137C" w:rsidRPr="00801EE2">
        <w:rPr>
          <w:rFonts w:cs="Times New Roman"/>
          <w:color w:val="FF0000"/>
        </w:rPr>
        <w:t xml:space="preserve"> </w:t>
      </w:r>
      <w:r w:rsidR="00D3137C" w:rsidRPr="00A71509">
        <w:rPr>
          <w:rFonts w:cs="Times New Roman"/>
        </w:rPr>
        <w:t>e</w:t>
      </w:r>
      <w:r w:rsidR="00D3137C">
        <w:rPr>
          <w:rFonts w:cs="Times New Roman"/>
          <w:color w:val="FF0000"/>
        </w:rPr>
        <w:t xml:space="preserve"> </w:t>
      </w:r>
      <w:r w:rsidR="00801EE2">
        <w:rPr>
          <w:rFonts w:cs="Times New Roman"/>
        </w:rPr>
        <w:t xml:space="preserve">sintetizados </w:t>
      </w:r>
      <w:r w:rsidR="00D3137C">
        <w:rPr>
          <w:rFonts w:cs="Times New Roman"/>
        </w:rPr>
        <w:t xml:space="preserve">no </w:t>
      </w:r>
      <w:r w:rsidR="00324761">
        <w:rPr>
          <w:rFonts w:cs="Times New Roman"/>
        </w:rPr>
        <w:t>Q</w:t>
      </w:r>
      <w:r w:rsidR="00801EE2">
        <w:rPr>
          <w:rFonts w:cs="Times New Roman"/>
        </w:rPr>
        <w:t xml:space="preserve">uadro </w:t>
      </w:r>
      <w:r w:rsidR="00801EE2" w:rsidRPr="00801EE2">
        <w:rPr>
          <w:rFonts w:cs="Times New Roman"/>
        </w:rPr>
        <w:t>2.1</w:t>
      </w:r>
      <w:r w:rsidR="00801EE2" w:rsidRPr="00801EE2">
        <w:rPr>
          <w:rFonts w:cs="Times New Roman"/>
          <w:color w:val="FF0000"/>
        </w:rPr>
        <w:t xml:space="preserve"> </w:t>
      </w:r>
      <w:r w:rsidR="00D3137C">
        <w:rPr>
          <w:rFonts w:cs="Times New Roman"/>
        </w:rPr>
        <w:t>do mesmo ponto</w:t>
      </w:r>
      <w:r w:rsidR="00801EE2">
        <w:rPr>
          <w:rFonts w:cs="Times New Roman"/>
        </w:rPr>
        <w:t xml:space="preserve">. </w:t>
      </w:r>
    </w:p>
    <w:p w14:paraId="289B240F" w14:textId="096A124C" w:rsidR="00FD14FA" w:rsidRDefault="00DD1DC6" w:rsidP="00BA7A88">
      <w:pPr>
        <w:spacing w:line="360" w:lineRule="auto"/>
        <w:jc w:val="both"/>
        <w:rPr>
          <w:rFonts w:cs="Times New Roman"/>
        </w:rPr>
      </w:pPr>
      <w:r w:rsidRPr="00DD1DC6">
        <w:rPr>
          <w:rFonts w:cs="Times New Roman"/>
        </w:rPr>
        <w:t xml:space="preserve">No </w:t>
      </w:r>
      <w:r w:rsidR="00324761">
        <w:rPr>
          <w:rFonts w:cs="Times New Roman"/>
        </w:rPr>
        <w:t>Q</w:t>
      </w:r>
      <w:r w:rsidRPr="00DD1DC6">
        <w:rPr>
          <w:rFonts w:cs="Times New Roman"/>
        </w:rPr>
        <w:t>uadro 4.1 apresentam-se as variáveis, as suas designações e o tipo das mesmas.</w:t>
      </w:r>
    </w:p>
    <w:p w14:paraId="246C3F25" w14:textId="07E36D3E" w:rsidR="003F4837" w:rsidRDefault="003F4837" w:rsidP="003769CC">
      <w:pPr>
        <w:pStyle w:val="Legenda"/>
        <w:keepNext/>
        <w:spacing w:after="60"/>
        <w:jc w:val="center"/>
      </w:pPr>
      <w:bookmarkStart w:id="65" w:name="_Toc58853180"/>
      <w:bookmarkStart w:id="66" w:name="_Toc66624301"/>
      <w:r w:rsidRPr="003F4837">
        <w:rPr>
          <w:color w:val="auto"/>
          <w:sz w:val="24"/>
        </w:rPr>
        <w:t xml:space="preserve">Quadro </w:t>
      </w:r>
      <w:r w:rsidR="00C90AC5">
        <w:rPr>
          <w:color w:val="auto"/>
          <w:sz w:val="24"/>
        </w:rPr>
        <w:fldChar w:fldCharType="begin"/>
      </w:r>
      <w:r w:rsidR="00C90AC5">
        <w:rPr>
          <w:color w:val="auto"/>
          <w:sz w:val="24"/>
        </w:rPr>
        <w:instrText xml:space="preserve"> STYLEREF 1 \s </w:instrText>
      </w:r>
      <w:r w:rsidR="00C90AC5">
        <w:rPr>
          <w:color w:val="auto"/>
          <w:sz w:val="24"/>
        </w:rPr>
        <w:fldChar w:fldCharType="separate"/>
      </w:r>
      <w:r w:rsidR="00380A6F">
        <w:rPr>
          <w:noProof/>
          <w:color w:val="auto"/>
          <w:sz w:val="24"/>
        </w:rPr>
        <w:t>4</w:t>
      </w:r>
      <w:r w:rsidR="00C90AC5">
        <w:rPr>
          <w:color w:val="auto"/>
          <w:sz w:val="24"/>
        </w:rPr>
        <w:fldChar w:fldCharType="end"/>
      </w:r>
      <w:r w:rsidR="00C90AC5">
        <w:rPr>
          <w:color w:val="auto"/>
          <w:sz w:val="24"/>
        </w:rPr>
        <w:t>.</w:t>
      </w:r>
      <w:r w:rsidR="00C90AC5">
        <w:rPr>
          <w:color w:val="auto"/>
          <w:sz w:val="24"/>
        </w:rPr>
        <w:fldChar w:fldCharType="begin"/>
      </w:r>
      <w:r w:rsidR="00C90AC5">
        <w:rPr>
          <w:color w:val="auto"/>
          <w:sz w:val="24"/>
        </w:rPr>
        <w:instrText xml:space="preserve"> SEQ Quadro \* ARABIC \s 1 </w:instrText>
      </w:r>
      <w:r w:rsidR="00C90AC5">
        <w:rPr>
          <w:color w:val="auto"/>
          <w:sz w:val="24"/>
        </w:rPr>
        <w:fldChar w:fldCharType="separate"/>
      </w:r>
      <w:r w:rsidR="00380A6F">
        <w:rPr>
          <w:noProof/>
          <w:color w:val="auto"/>
          <w:sz w:val="24"/>
        </w:rPr>
        <w:t>1</w:t>
      </w:r>
      <w:r w:rsidR="00C90AC5">
        <w:rPr>
          <w:color w:val="auto"/>
          <w:sz w:val="24"/>
        </w:rPr>
        <w:fldChar w:fldCharType="end"/>
      </w:r>
      <w:r w:rsidRPr="003F4837">
        <w:rPr>
          <w:color w:val="auto"/>
          <w:sz w:val="24"/>
        </w:rPr>
        <w:t xml:space="preserve"> -</w:t>
      </w:r>
      <w:r>
        <w:t xml:space="preserve"> </w:t>
      </w:r>
      <w:r w:rsidRPr="00BF08F0">
        <w:rPr>
          <w:b w:val="0"/>
          <w:color w:val="auto"/>
          <w:sz w:val="24"/>
        </w:rPr>
        <w:t>De</w:t>
      </w:r>
      <w:r>
        <w:rPr>
          <w:b w:val="0"/>
          <w:color w:val="auto"/>
          <w:sz w:val="24"/>
        </w:rPr>
        <w:t>signação e tipo</w:t>
      </w:r>
      <w:r w:rsidRPr="00BF08F0">
        <w:rPr>
          <w:b w:val="0"/>
          <w:color w:val="auto"/>
          <w:sz w:val="24"/>
        </w:rPr>
        <w:t xml:space="preserve"> das Variáveis</w:t>
      </w:r>
      <w:bookmarkEnd w:id="65"/>
      <w:bookmarkEnd w:id="66"/>
    </w:p>
    <w:tbl>
      <w:tblPr>
        <w:tblStyle w:val="SombreadoClaro-Cor3"/>
        <w:tblW w:w="8295" w:type="dxa"/>
        <w:jc w:val="center"/>
        <w:tblLook w:val="04A0" w:firstRow="1" w:lastRow="0" w:firstColumn="1" w:lastColumn="0" w:noHBand="0" w:noVBand="1"/>
      </w:tblPr>
      <w:tblGrid>
        <w:gridCol w:w="1714"/>
        <w:gridCol w:w="3969"/>
        <w:gridCol w:w="2612"/>
      </w:tblGrid>
      <w:tr w:rsidR="0078205B" w:rsidRPr="00DD1DC6" w14:paraId="5279ED7D" w14:textId="77777777" w:rsidTr="00B77BD2">
        <w:trPr>
          <w:cnfStyle w:val="100000000000" w:firstRow="1" w:lastRow="0" w:firstColumn="0" w:lastColumn="0" w:oddVBand="0" w:evenVBand="0" w:oddHBand="0" w:evenHBand="0" w:firstRowFirstColumn="0" w:firstRowLastColumn="0" w:lastRowFirstColumn="0" w:lastRowLastColumn="0"/>
          <w:trHeight w:val="411"/>
          <w:jc w:val="center"/>
        </w:trPr>
        <w:tc>
          <w:tcPr>
            <w:cnfStyle w:val="001000000000" w:firstRow="0" w:lastRow="0" w:firstColumn="1" w:lastColumn="0" w:oddVBand="0" w:evenVBand="0" w:oddHBand="0" w:evenHBand="0" w:firstRowFirstColumn="0" w:firstRowLastColumn="0" w:lastRowFirstColumn="0" w:lastRowLastColumn="0"/>
            <w:tcW w:w="1714" w:type="dxa"/>
            <w:tcBorders>
              <w:top w:val="double" w:sz="4" w:space="0" w:color="auto"/>
              <w:bottom w:val="single" w:sz="8" w:space="0" w:color="auto"/>
            </w:tcBorders>
            <w:vAlign w:val="center"/>
          </w:tcPr>
          <w:p w14:paraId="1DFB2CD7" w14:textId="77777777" w:rsidR="0078205B" w:rsidRPr="00952CC5" w:rsidRDefault="0078205B" w:rsidP="00330E80">
            <w:pPr>
              <w:tabs>
                <w:tab w:val="left" w:pos="1276"/>
                <w:tab w:val="left" w:pos="1843"/>
              </w:tabs>
              <w:spacing w:before="60"/>
              <w:jc w:val="center"/>
              <w:rPr>
                <w:bCs w:val="0"/>
                <w:color w:val="auto"/>
              </w:rPr>
            </w:pPr>
            <w:r w:rsidRPr="00952CC5">
              <w:rPr>
                <w:bCs w:val="0"/>
                <w:smallCaps/>
                <w:color w:val="auto"/>
              </w:rPr>
              <w:t>Variável</w:t>
            </w:r>
          </w:p>
        </w:tc>
        <w:tc>
          <w:tcPr>
            <w:tcW w:w="3969" w:type="dxa"/>
            <w:tcBorders>
              <w:top w:val="double" w:sz="4" w:space="0" w:color="auto"/>
              <w:bottom w:val="single" w:sz="8" w:space="0" w:color="auto"/>
            </w:tcBorders>
            <w:vAlign w:val="center"/>
          </w:tcPr>
          <w:p w14:paraId="47F3EA94" w14:textId="77777777" w:rsidR="0078205B" w:rsidRPr="00952CC5" w:rsidRDefault="0078205B" w:rsidP="00330E80">
            <w:pPr>
              <w:tabs>
                <w:tab w:val="left" w:pos="1276"/>
                <w:tab w:val="left" w:pos="1843"/>
              </w:tabs>
              <w:spacing w:before="60"/>
              <w:jc w:val="center"/>
              <w:cnfStyle w:val="100000000000" w:firstRow="1" w:lastRow="0" w:firstColumn="0" w:lastColumn="0" w:oddVBand="0" w:evenVBand="0" w:oddHBand="0" w:evenHBand="0" w:firstRowFirstColumn="0" w:firstRowLastColumn="0" w:lastRowFirstColumn="0" w:lastRowLastColumn="0"/>
              <w:rPr>
                <w:bCs w:val="0"/>
                <w:smallCaps/>
                <w:color w:val="auto"/>
              </w:rPr>
            </w:pPr>
            <w:r w:rsidRPr="00952CC5">
              <w:rPr>
                <w:bCs w:val="0"/>
                <w:smallCaps/>
                <w:color w:val="auto"/>
              </w:rPr>
              <w:t>Designação</w:t>
            </w:r>
          </w:p>
        </w:tc>
        <w:tc>
          <w:tcPr>
            <w:tcW w:w="2612" w:type="dxa"/>
            <w:tcBorders>
              <w:top w:val="double" w:sz="4" w:space="0" w:color="auto"/>
              <w:bottom w:val="single" w:sz="8" w:space="0" w:color="auto"/>
            </w:tcBorders>
            <w:vAlign w:val="center"/>
          </w:tcPr>
          <w:p w14:paraId="737B0BA0" w14:textId="77777777" w:rsidR="0078205B" w:rsidRPr="00952CC5" w:rsidRDefault="0078205B" w:rsidP="00330E80">
            <w:pPr>
              <w:tabs>
                <w:tab w:val="left" w:pos="1276"/>
                <w:tab w:val="left" w:pos="1843"/>
              </w:tabs>
              <w:spacing w:before="60"/>
              <w:jc w:val="center"/>
              <w:cnfStyle w:val="100000000000" w:firstRow="1" w:lastRow="0" w:firstColumn="0" w:lastColumn="0" w:oddVBand="0" w:evenVBand="0" w:oddHBand="0" w:evenHBand="0" w:firstRowFirstColumn="0" w:firstRowLastColumn="0" w:lastRowFirstColumn="0" w:lastRowLastColumn="0"/>
              <w:rPr>
                <w:bCs w:val="0"/>
                <w:smallCaps/>
                <w:color w:val="auto"/>
              </w:rPr>
            </w:pPr>
            <w:r w:rsidRPr="00952CC5">
              <w:rPr>
                <w:bCs w:val="0"/>
                <w:smallCaps/>
                <w:color w:val="auto"/>
              </w:rPr>
              <w:t>Tipo</w:t>
            </w:r>
          </w:p>
        </w:tc>
      </w:tr>
      <w:tr w:rsidR="0078205B" w:rsidRPr="00CD0BE1" w14:paraId="29C10C2E" w14:textId="77777777" w:rsidTr="00CF1D64">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1714" w:type="dxa"/>
            <w:shd w:val="clear" w:color="auto" w:fill="E7E6E6" w:themeFill="background2"/>
          </w:tcPr>
          <w:p w14:paraId="2A98B1B3" w14:textId="77777777" w:rsidR="0078205B" w:rsidRPr="00C12E58" w:rsidRDefault="0078205B" w:rsidP="00330E80">
            <w:pPr>
              <w:tabs>
                <w:tab w:val="left" w:pos="1276"/>
                <w:tab w:val="left" w:pos="1843"/>
              </w:tabs>
              <w:spacing w:before="60" w:after="60"/>
              <w:ind w:left="42"/>
              <w:rPr>
                <w:color w:val="auto"/>
                <w:sz w:val="22"/>
                <w:szCs w:val="20"/>
              </w:rPr>
            </w:pPr>
            <w:r w:rsidRPr="00C12E58">
              <w:rPr>
                <w:rFonts w:cs="Times New Roman"/>
                <w:color w:val="auto"/>
                <w:sz w:val="22"/>
                <w:szCs w:val="20"/>
              </w:rPr>
              <w:t>ITM</w:t>
            </w:r>
          </w:p>
        </w:tc>
        <w:tc>
          <w:tcPr>
            <w:tcW w:w="3969" w:type="dxa"/>
            <w:shd w:val="clear" w:color="auto" w:fill="E7E6E6" w:themeFill="background2"/>
          </w:tcPr>
          <w:p w14:paraId="3EE5D8F9" w14:textId="77777777" w:rsidR="0078205B" w:rsidRPr="00C12E58" w:rsidRDefault="0078205B" w:rsidP="00330E80">
            <w:pPr>
              <w:tabs>
                <w:tab w:val="left" w:pos="1843"/>
              </w:tabs>
              <w:spacing w:before="60" w:after="60"/>
              <w:ind w:left="77" w:right="23" w:hanging="77"/>
              <w:cnfStyle w:val="000000100000" w:firstRow="0" w:lastRow="0" w:firstColumn="0" w:lastColumn="0" w:oddVBand="0" w:evenVBand="0" w:oddHBand="1" w:evenHBand="0" w:firstRowFirstColumn="0" w:firstRowLastColumn="0" w:lastRowFirstColumn="0" w:lastRowLastColumn="0"/>
              <w:rPr>
                <w:color w:val="auto"/>
                <w:sz w:val="22"/>
                <w:szCs w:val="20"/>
              </w:rPr>
            </w:pPr>
            <w:r w:rsidRPr="00C12E58">
              <w:rPr>
                <w:rFonts w:cs="Times New Roman"/>
                <w:color w:val="auto"/>
                <w:sz w:val="22"/>
                <w:szCs w:val="20"/>
              </w:rPr>
              <w:t>Índice de Transparência Municipal</w:t>
            </w:r>
          </w:p>
        </w:tc>
        <w:tc>
          <w:tcPr>
            <w:tcW w:w="2612" w:type="dxa"/>
            <w:shd w:val="clear" w:color="auto" w:fill="E7E6E6" w:themeFill="background2"/>
          </w:tcPr>
          <w:p w14:paraId="12C1A419" w14:textId="77777777" w:rsidR="0078205B" w:rsidRPr="00C12E58" w:rsidRDefault="0078205B" w:rsidP="00330E80">
            <w:pPr>
              <w:spacing w:before="60" w:after="60"/>
              <w:ind w:left="77" w:hanging="77"/>
              <w:cnfStyle w:val="000000100000" w:firstRow="0" w:lastRow="0" w:firstColumn="0" w:lastColumn="0" w:oddVBand="0" w:evenVBand="0" w:oddHBand="1" w:evenHBand="0" w:firstRowFirstColumn="0" w:firstRowLastColumn="0" w:lastRowFirstColumn="0" w:lastRowLastColumn="0"/>
              <w:rPr>
                <w:rFonts w:cs="Times New Roman"/>
                <w:color w:val="auto"/>
                <w:sz w:val="22"/>
                <w:szCs w:val="20"/>
              </w:rPr>
            </w:pPr>
            <w:r w:rsidRPr="00C12E58">
              <w:rPr>
                <w:rFonts w:cs="Times New Roman"/>
                <w:color w:val="auto"/>
                <w:sz w:val="22"/>
                <w:szCs w:val="20"/>
              </w:rPr>
              <w:t>Numérico</w:t>
            </w:r>
          </w:p>
        </w:tc>
      </w:tr>
      <w:tr w:rsidR="0078205B" w:rsidRPr="00CD0BE1" w14:paraId="530D4B1E" w14:textId="77777777" w:rsidTr="00DD1DC6">
        <w:trPr>
          <w:trHeight w:val="170"/>
          <w:jc w:val="center"/>
        </w:trPr>
        <w:tc>
          <w:tcPr>
            <w:cnfStyle w:val="001000000000" w:firstRow="0" w:lastRow="0" w:firstColumn="1" w:lastColumn="0" w:oddVBand="0" w:evenVBand="0" w:oddHBand="0" w:evenHBand="0" w:firstRowFirstColumn="0" w:firstRowLastColumn="0" w:lastRowFirstColumn="0" w:lastRowLastColumn="0"/>
            <w:tcW w:w="1714" w:type="dxa"/>
          </w:tcPr>
          <w:p w14:paraId="6DFD03EB" w14:textId="35F6F831" w:rsidR="0078205B" w:rsidRPr="00C12E58" w:rsidRDefault="00FD14FA" w:rsidP="00330E80">
            <w:pPr>
              <w:tabs>
                <w:tab w:val="left" w:pos="1276"/>
                <w:tab w:val="left" w:pos="1843"/>
              </w:tabs>
              <w:spacing w:before="60" w:after="60"/>
              <w:ind w:left="42"/>
              <w:rPr>
                <w:rFonts w:cs="Times New Roman"/>
                <w:color w:val="auto"/>
                <w:sz w:val="22"/>
                <w:szCs w:val="20"/>
              </w:rPr>
            </w:pPr>
            <w:r w:rsidRPr="00C12E58">
              <w:rPr>
                <w:rFonts w:cs="Times New Roman"/>
                <w:color w:val="auto"/>
                <w:sz w:val="22"/>
                <w:szCs w:val="20"/>
              </w:rPr>
              <w:t>I</w:t>
            </w:r>
            <w:r w:rsidR="0078205B" w:rsidRPr="00C12E58">
              <w:rPr>
                <w:rFonts w:cs="Times New Roman"/>
                <w:color w:val="auto"/>
                <w:sz w:val="22"/>
                <w:szCs w:val="20"/>
              </w:rPr>
              <w:t>PP</w:t>
            </w:r>
          </w:p>
        </w:tc>
        <w:tc>
          <w:tcPr>
            <w:tcW w:w="3969" w:type="dxa"/>
          </w:tcPr>
          <w:p w14:paraId="1E8C4BF4" w14:textId="7337925D" w:rsidR="0078205B" w:rsidRPr="00C12E58" w:rsidRDefault="00FD14FA" w:rsidP="00330E80">
            <w:pPr>
              <w:tabs>
                <w:tab w:val="left" w:pos="1843"/>
              </w:tabs>
              <w:spacing w:before="60" w:after="60"/>
              <w:ind w:left="77" w:right="23" w:hanging="77"/>
              <w:cnfStyle w:val="000000000000" w:firstRow="0" w:lastRow="0" w:firstColumn="0" w:lastColumn="0" w:oddVBand="0" w:evenVBand="0" w:oddHBand="0" w:evenHBand="0" w:firstRowFirstColumn="0" w:firstRowLastColumn="0" w:lastRowFirstColumn="0" w:lastRowLastColumn="0"/>
              <w:rPr>
                <w:rFonts w:cs="Times New Roman"/>
                <w:color w:val="auto"/>
                <w:sz w:val="22"/>
                <w:szCs w:val="20"/>
              </w:rPr>
            </w:pPr>
            <w:r w:rsidRPr="00C12E58">
              <w:rPr>
                <w:rFonts w:cs="Times New Roman"/>
                <w:color w:val="auto"/>
                <w:sz w:val="22"/>
                <w:szCs w:val="20"/>
              </w:rPr>
              <w:t xml:space="preserve">Ideologia do </w:t>
            </w:r>
            <w:r w:rsidR="0078205B" w:rsidRPr="00C12E58">
              <w:rPr>
                <w:rFonts w:cs="Times New Roman"/>
                <w:color w:val="auto"/>
                <w:sz w:val="22"/>
                <w:szCs w:val="20"/>
              </w:rPr>
              <w:t>Partido Político</w:t>
            </w:r>
          </w:p>
        </w:tc>
        <w:tc>
          <w:tcPr>
            <w:tcW w:w="2612" w:type="dxa"/>
          </w:tcPr>
          <w:p w14:paraId="074A939B" w14:textId="0BE73B3C" w:rsidR="0078205B" w:rsidRPr="00C12E58" w:rsidRDefault="0078205B" w:rsidP="00330E80">
            <w:pPr>
              <w:spacing w:before="60" w:after="60"/>
              <w:ind w:left="77" w:hanging="77"/>
              <w:cnfStyle w:val="000000000000" w:firstRow="0" w:lastRow="0" w:firstColumn="0" w:lastColumn="0" w:oddVBand="0" w:evenVBand="0" w:oddHBand="0" w:evenHBand="0" w:firstRowFirstColumn="0" w:firstRowLastColumn="0" w:lastRowFirstColumn="0" w:lastRowLastColumn="0"/>
              <w:rPr>
                <w:color w:val="auto"/>
                <w:sz w:val="22"/>
                <w:szCs w:val="20"/>
              </w:rPr>
            </w:pPr>
            <w:r w:rsidRPr="00C12E58">
              <w:rPr>
                <w:rFonts w:cs="Times New Roman"/>
                <w:color w:val="auto"/>
                <w:sz w:val="22"/>
                <w:szCs w:val="20"/>
              </w:rPr>
              <w:t>Binário</w:t>
            </w:r>
          </w:p>
        </w:tc>
      </w:tr>
      <w:tr w:rsidR="0078205B" w:rsidRPr="00CD0BE1" w14:paraId="49E6DF32" w14:textId="77777777" w:rsidTr="00CF1D64">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1714" w:type="dxa"/>
            <w:shd w:val="clear" w:color="auto" w:fill="E7E6E6" w:themeFill="background2"/>
          </w:tcPr>
          <w:p w14:paraId="4007A560" w14:textId="4EFD88C0" w:rsidR="0078205B" w:rsidRPr="00C12E58" w:rsidRDefault="00DE43E4" w:rsidP="00330E80">
            <w:pPr>
              <w:tabs>
                <w:tab w:val="left" w:pos="1276"/>
                <w:tab w:val="left" w:pos="1843"/>
              </w:tabs>
              <w:spacing w:before="60" w:after="60"/>
              <w:ind w:left="42"/>
              <w:rPr>
                <w:rFonts w:cs="Times New Roman"/>
                <w:color w:val="auto"/>
                <w:sz w:val="22"/>
                <w:szCs w:val="20"/>
              </w:rPr>
            </w:pPr>
            <w:r w:rsidRPr="00C12E58">
              <w:rPr>
                <w:rFonts w:cs="Times New Roman"/>
                <w:color w:val="auto"/>
                <w:sz w:val="22"/>
                <w:szCs w:val="20"/>
              </w:rPr>
              <w:t>C</w:t>
            </w:r>
            <w:r w:rsidR="0078205B" w:rsidRPr="00C12E58">
              <w:rPr>
                <w:rFonts w:cs="Times New Roman"/>
                <w:color w:val="auto"/>
                <w:sz w:val="22"/>
                <w:szCs w:val="20"/>
              </w:rPr>
              <w:t>P</w:t>
            </w:r>
          </w:p>
        </w:tc>
        <w:tc>
          <w:tcPr>
            <w:tcW w:w="3969" w:type="dxa"/>
            <w:shd w:val="clear" w:color="auto" w:fill="E7E6E6" w:themeFill="background2"/>
          </w:tcPr>
          <w:p w14:paraId="006027CD" w14:textId="5B57B668" w:rsidR="0078205B" w:rsidRPr="00C12E58" w:rsidRDefault="00DE43E4" w:rsidP="00330E80">
            <w:pPr>
              <w:tabs>
                <w:tab w:val="left" w:pos="1843"/>
              </w:tabs>
              <w:spacing w:before="60" w:after="60"/>
              <w:ind w:left="77" w:right="23" w:hanging="77"/>
              <w:cnfStyle w:val="000000100000" w:firstRow="0" w:lastRow="0" w:firstColumn="0" w:lastColumn="0" w:oddVBand="0" w:evenVBand="0" w:oddHBand="1" w:evenHBand="0" w:firstRowFirstColumn="0" w:firstRowLastColumn="0" w:lastRowFirstColumn="0" w:lastRowLastColumn="0"/>
              <w:rPr>
                <w:rFonts w:cs="Times New Roman"/>
                <w:color w:val="auto"/>
                <w:sz w:val="22"/>
                <w:szCs w:val="20"/>
              </w:rPr>
            </w:pPr>
            <w:r w:rsidRPr="00C12E58">
              <w:rPr>
                <w:rFonts w:cs="Times New Roman"/>
                <w:color w:val="auto"/>
                <w:sz w:val="22"/>
                <w:szCs w:val="20"/>
              </w:rPr>
              <w:t xml:space="preserve">Competição </w:t>
            </w:r>
            <w:r w:rsidR="0078205B" w:rsidRPr="00C12E58">
              <w:rPr>
                <w:rFonts w:cs="Times New Roman"/>
                <w:color w:val="auto"/>
                <w:sz w:val="22"/>
                <w:szCs w:val="20"/>
              </w:rPr>
              <w:t>Política</w:t>
            </w:r>
          </w:p>
        </w:tc>
        <w:tc>
          <w:tcPr>
            <w:tcW w:w="2612" w:type="dxa"/>
            <w:shd w:val="clear" w:color="auto" w:fill="E7E6E6" w:themeFill="background2"/>
          </w:tcPr>
          <w:p w14:paraId="03E3815F" w14:textId="77777777" w:rsidR="0078205B" w:rsidRPr="00C12E58" w:rsidRDefault="0078205B" w:rsidP="00330E80">
            <w:pPr>
              <w:spacing w:before="60" w:after="60"/>
              <w:ind w:left="77" w:hanging="77"/>
              <w:cnfStyle w:val="000000100000" w:firstRow="0" w:lastRow="0" w:firstColumn="0" w:lastColumn="0" w:oddVBand="0" w:evenVBand="0" w:oddHBand="1" w:evenHBand="0" w:firstRowFirstColumn="0" w:firstRowLastColumn="0" w:lastRowFirstColumn="0" w:lastRowLastColumn="0"/>
              <w:rPr>
                <w:rFonts w:cs="Times New Roman"/>
                <w:color w:val="auto"/>
                <w:sz w:val="22"/>
                <w:szCs w:val="20"/>
              </w:rPr>
            </w:pPr>
            <w:r w:rsidRPr="00C12E58">
              <w:rPr>
                <w:rFonts w:cs="Times New Roman"/>
                <w:color w:val="auto"/>
                <w:sz w:val="22"/>
                <w:szCs w:val="20"/>
              </w:rPr>
              <w:t>Numérico (%)</w:t>
            </w:r>
          </w:p>
        </w:tc>
      </w:tr>
      <w:tr w:rsidR="0078205B" w:rsidRPr="00CD0BE1" w14:paraId="63E48922" w14:textId="77777777" w:rsidTr="00DD1DC6">
        <w:trPr>
          <w:trHeight w:val="170"/>
          <w:jc w:val="center"/>
        </w:trPr>
        <w:tc>
          <w:tcPr>
            <w:cnfStyle w:val="001000000000" w:firstRow="0" w:lastRow="0" w:firstColumn="1" w:lastColumn="0" w:oddVBand="0" w:evenVBand="0" w:oddHBand="0" w:evenHBand="0" w:firstRowFirstColumn="0" w:firstRowLastColumn="0" w:lastRowFirstColumn="0" w:lastRowLastColumn="0"/>
            <w:tcW w:w="1714" w:type="dxa"/>
          </w:tcPr>
          <w:p w14:paraId="390D6687" w14:textId="77777777" w:rsidR="0078205B" w:rsidRPr="00C12E58" w:rsidRDefault="0078205B" w:rsidP="00330E80">
            <w:pPr>
              <w:tabs>
                <w:tab w:val="left" w:pos="1276"/>
                <w:tab w:val="left" w:pos="1843"/>
              </w:tabs>
              <w:spacing w:before="60" w:after="60"/>
              <w:ind w:left="42"/>
              <w:rPr>
                <w:rFonts w:cs="Times New Roman"/>
                <w:color w:val="auto"/>
                <w:sz w:val="22"/>
                <w:szCs w:val="20"/>
              </w:rPr>
            </w:pPr>
            <w:r w:rsidRPr="00C12E58">
              <w:rPr>
                <w:rFonts w:cs="Times New Roman"/>
                <w:color w:val="auto"/>
                <w:sz w:val="22"/>
                <w:szCs w:val="20"/>
              </w:rPr>
              <w:t>VEnd</w:t>
            </w:r>
          </w:p>
        </w:tc>
        <w:tc>
          <w:tcPr>
            <w:tcW w:w="3969" w:type="dxa"/>
          </w:tcPr>
          <w:p w14:paraId="5223292D" w14:textId="77777777" w:rsidR="0078205B" w:rsidRPr="00C12E58" w:rsidRDefault="0078205B" w:rsidP="00330E80">
            <w:pPr>
              <w:tabs>
                <w:tab w:val="left" w:pos="1843"/>
              </w:tabs>
              <w:spacing w:before="60" w:after="60"/>
              <w:ind w:left="77" w:right="23" w:hanging="77"/>
              <w:cnfStyle w:val="000000000000" w:firstRow="0" w:lastRow="0" w:firstColumn="0" w:lastColumn="0" w:oddVBand="0" w:evenVBand="0" w:oddHBand="0" w:evenHBand="0" w:firstRowFirstColumn="0" w:firstRowLastColumn="0" w:lastRowFirstColumn="0" w:lastRowLastColumn="0"/>
              <w:rPr>
                <w:rFonts w:cs="Times New Roman"/>
                <w:color w:val="auto"/>
                <w:sz w:val="22"/>
                <w:szCs w:val="20"/>
              </w:rPr>
            </w:pPr>
            <w:r w:rsidRPr="00C12E58">
              <w:rPr>
                <w:rFonts w:cs="Times New Roman"/>
                <w:color w:val="auto"/>
                <w:sz w:val="22"/>
                <w:szCs w:val="20"/>
              </w:rPr>
              <w:t>Valor de endividamento</w:t>
            </w:r>
          </w:p>
        </w:tc>
        <w:tc>
          <w:tcPr>
            <w:tcW w:w="2612" w:type="dxa"/>
          </w:tcPr>
          <w:p w14:paraId="29EF7EE9" w14:textId="77777777" w:rsidR="0078205B" w:rsidRPr="00C12E58" w:rsidRDefault="0078205B" w:rsidP="00330E80">
            <w:pPr>
              <w:spacing w:before="60" w:after="60"/>
              <w:ind w:left="77" w:hanging="77"/>
              <w:cnfStyle w:val="000000000000" w:firstRow="0" w:lastRow="0" w:firstColumn="0" w:lastColumn="0" w:oddVBand="0" w:evenVBand="0" w:oddHBand="0" w:evenHBand="0" w:firstRowFirstColumn="0" w:firstRowLastColumn="0" w:lastRowFirstColumn="0" w:lastRowLastColumn="0"/>
              <w:rPr>
                <w:rFonts w:cs="Times New Roman"/>
                <w:color w:val="auto"/>
                <w:sz w:val="22"/>
                <w:szCs w:val="20"/>
              </w:rPr>
            </w:pPr>
            <w:r w:rsidRPr="00C12E58">
              <w:rPr>
                <w:rFonts w:cs="Times New Roman"/>
                <w:color w:val="auto"/>
                <w:sz w:val="22"/>
                <w:szCs w:val="20"/>
              </w:rPr>
              <w:t>Numérico (milhares)</w:t>
            </w:r>
          </w:p>
        </w:tc>
      </w:tr>
      <w:tr w:rsidR="0078205B" w:rsidRPr="00CD0BE1" w14:paraId="57D21D4A" w14:textId="77777777" w:rsidTr="00CF1D64">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1714" w:type="dxa"/>
            <w:shd w:val="clear" w:color="auto" w:fill="E7E6E6" w:themeFill="background2"/>
          </w:tcPr>
          <w:p w14:paraId="516DCB0C" w14:textId="21AB7557" w:rsidR="0078205B" w:rsidRPr="00C12E58" w:rsidRDefault="003F5A09" w:rsidP="00330E80">
            <w:pPr>
              <w:tabs>
                <w:tab w:val="left" w:pos="1276"/>
                <w:tab w:val="left" w:pos="1843"/>
              </w:tabs>
              <w:spacing w:before="60" w:after="60"/>
              <w:ind w:left="42"/>
              <w:rPr>
                <w:rFonts w:cs="Times New Roman"/>
                <w:color w:val="auto"/>
                <w:sz w:val="22"/>
                <w:szCs w:val="20"/>
              </w:rPr>
            </w:pPr>
            <w:r w:rsidRPr="00C12E58">
              <w:rPr>
                <w:rFonts w:cs="Times New Roman"/>
                <w:color w:val="auto"/>
                <w:sz w:val="22"/>
                <w:szCs w:val="20"/>
              </w:rPr>
              <w:t>D</w:t>
            </w:r>
            <w:r w:rsidR="00203D7D">
              <w:rPr>
                <w:rFonts w:cs="Times New Roman"/>
                <w:color w:val="auto"/>
                <w:sz w:val="22"/>
                <w:szCs w:val="20"/>
              </w:rPr>
              <w:t>E</w:t>
            </w:r>
          </w:p>
        </w:tc>
        <w:tc>
          <w:tcPr>
            <w:tcW w:w="3969" w:type="dxa"/>
            <w:shd w:val="clear" w:color="auto" w:fill="E7E6E6" w:themeFill="background2"/>
          </w:tcPr>
          <w:p w14:paraId="7C136233" w14:textId="6FFBB954" w:rsidR="0078205B" w:rsidRPr="00C12E58" w:rsidRDefault="003F5A09" w:rsidP="00330E80">
            <w:pPr>
              <w:tabs>
                <w:tab w:val="left" w:pos="1843"/>
              </w:tabs>
              <w:spacing w:before="60" w:after="60"/>
              <w:ind w:left="77" w:right="23" w:hanging="77"/>
              <w:cnfStyle w:val="000000100000" w:firstRow="0" w:lastRow="0" w:firstColumn="0" w:lastColumn="0" w:oddVBand="0" w:evenVBand="0" w:oddHBand="1" w:evenHBand="0" w:firstRowFirstColumn="0" w:firstRowLastColumn="0" w:lastRowFirstColumn="0" w:lastRowLastColumn="0"/>
              <w:rPr>
                <w:rFonts w:cs="Times New Roman"/>
                <w:color w:val="auto"/>
                <w:sz w:val="22"/>
                <w:szCs w:val="20"/>
              </w:rPr>
            </w:pPr>
            <w:r w:rsidRPr="00C12E58">
              <w:rPr>
                <w:rFonts w:cs="Times New Roman"/>
                <w:color w:val="auto"/>
                <w:sz w:val="22"/>
                <w:szCs w:val="20"/>
              </w:rPr>
              <w:t>D</w:t>
            </w:r>
            <w:r w:rsidR="00203D7D">
              <w:rPr>
                <w:rFonts w:cs="Times New Roman"/>
                <w:color w:val="auto"/>
                <w:sz w:val="22"/>
                <w:szCs w:val="20"/>
              </w:rPr>
              <w:t xml:space="preserve">espesa efetiva </w:t>
            </w:r>
            <w:r w:rsidR="00203D7D" w:rsidRPr="00506E82">
              <w:rPr>
                <w:rFonts w:cs="Times New Roman"/>
                <w:i/>
                <w:iCs/>
                <w:color w:val="auto"/>
                <w:sz w:val="22"/>
                <w:szCs w:val="20"/>
              </w:rPr>
              <w:t>per capita</w:t>
            </w:r>
          </w:p>
        </w:tc>
        <w:tc>
          <w:tcPr>
            <w:tcW w:w="2612" w:type="dxa"/>
            <w:shd w:val="clear" w:color="auto" w:fill="E7E6E6" w:themeFill="background2"/>
          </w:tcPr>
          <w:p w14:paraId="0EAB2C60" w14:textId="3BD3B29A" w:rsidR="0078205B" w:rsidRPr="00C12E58" w:rsidRDefault="0078205B" w:rsidP="00330E80">
            <w:pPr>
              <w:spacing w:before="60" w:after="60"/>
              <w:ind w:left="77" w:hanging="77"/>
              <w:cnfStyle w:val="000000100000" w:firstRow="0" w:lastRow="0" w:firstColumn="0" w:lastColumn="0" w:oddVBand="0" w:evenVBand="0" w:oddHBand="1" w:evenHBand="0" w:firstRowFirstColumn="0" w:firstRowLastColumn="0" w:lastRowFirstColumn="0" w:lastRowLastColumn="0"/>
              <w:rPr>
                <w:rFonts w:cs="Times New Roman"/>
                <w:color w:val="auto"/>
                <w:sz w:val="22"/>
                <w:szCs w:val="20"/>
              </w:rPr>
            </w:pPr>
            <w:r w:rsidRPr="00C12E58">
              <w:rPr>
                <w:rFonts w:cs="Times New Roman"/>
                <w:color w:val="auto"/>
                <w:sz w:val="22"/>
                <w:szCs w:val="20"/>
              </w:rPr>
              <w:t xml:space="preserve">Numérico </w:t>
            </w:r>
          </w:p>
        </w:tc>
      </w:tr>
      <w:tr w:rsidR="0078205B" w:rsidRPr="00CD0BE1" w14:paraId="0832540D" w14:textId="77777777" w:rsidTr="00DD1DC6">
        <w:trPr>
          <w:trHeight w:val="170"/>
          <w:jc w:val="center"/>
        </w:trPr>
        <w:tc>
          <w:tcPr>
            <w:cnfStyle w:val="001000000000" w:firstRow="0" w:lastRow="0" w:firstColumn="1" w:lastColumn="0" w:oddVBand="0" w:evenVBand="0" w:oddHBand="0" w:evenHBand="0" w:firstRowFirstColumn="0" w:firstRowLastColumn="0" w:lastRowFirstColumn="0" w:lastRowLastColumn="0"/>
            <w:tcW w:w="1714" w:type="dxa"/>
          </w:tcPr>
          <w:p w14:paraId="32BA857D" w14:textId="77777777" w:rsidR="0078205B" w:rsidRPr="00C12E58" w:rsidRDefault="0078205B" w:rsidP="00330E80">
            <w:pPr>
              <w:tabs>
                <w:tab w:val="left" w:pos="1276"/>
                <w:tab w:val="left" w:pos="1843"/>
              </w:tabs>
              <w:spacing w:before="60" w:after="60"/>
              <w:ind w:left="42"/>
              <w:rPr>
                <w:rFonts w:cs="Times New Roman"/>
                <w:color w:val="auto"/>
                <w:sz w:val="22"/>
                <w:szCs w:val="20"/>
              </w:rPr>
            </w:pPr>
            <w:r w:rsidRPr="00C12E58">
              <w:rPr>
                <w:rFonts w:cs="Times New Roman"/>
                <w:color w:val="auto"/>
                <w:sz w:val="22"/>
                <w:szCs w:val="20"/>
              </w:rPr>
              <w:t>PR</w:t>
            </w:r>
          </w:p>
        </w:tc>
        <w:tc>
          <w:tcPr>
            <w:tcW w:w="3969" w:type="dxa"/>
          </w:tcPr>
          <w:p w14:paraId="389FCB93" w14:textId="77777777" w:rsidR="0078205B" w:rsidRPr="00C12E58" w:rsidRDefault="0078205B" w:rsidP="00330E80">
            <w:pPr>
              <w:tabs>
                <w:tab w:val="left" w:pos="1843"/>
              </w:tabs>
              <w:spacing w:before="60" w:after="60"/>
              <w:ind w:left="77" w:right="23" w:hanging="77"/>
              <w:cnfStyle w:val="000000000000" w:firstRow="0" w:lastRow="0" w:firstColumn="0" w:lastColumn="0" w:oddVBand="0" w:evenVBand="0" w:oddHBand="0" w:evenHBand="0" w:firstRowFirstColumn="0" w:firstRowLastColumn="0" w:lastRowFirstColumn="0" w:lastRowLastColumn="0"/>
              <w:rPr>
                <w:rFonts w:cs="Times New Roman"/>
                <w:color w:val="auto"/>
                <w:sz w:val="22"/>
                <w:szCs w:val="20"/>
              </w:rPr>
            </w:pPr>
            <w:r w:rsidRPr="00C12E58">
              <w:rPr>
                <w:rFonts w:cs="Times New Roman"/>
                <w:color w:val="auto"/>
                <w:sz w:val="22"/>
                <w:szCs w:val="20"/>
              </w:rPr>
              <w:t>População Residente</w:t>
            </w:r>
          </w:p>
        </w:tc>
        <w:tc>
          <w:tcPr>
            <w:tcW w:w="2612" w:type="dxa"/>
          </w:tcPr>
          <w:p w14:paraId="6551A4F6" w14:textId="77777777" w:rsidR="0078205B" w:rsidRPr="00C12E58" w:rsidRDefault="0078205B" w:rsidP="00330E80">
            <w:pPr>
              <w:spacing w:before="60" w:after="60"/>
              <w:ind w:left="77" w:hanging="77"/>
              <w:cnfStyle w:val="000000000000" w:firstRow="0" w:lastRow="0" w:firstColumn="0" w:lastColumn="0" w:oddVBand="0" w:evenVBand="0" w:oddHBand="0" w:evenHBand="0" w:firstRowFirstColumn="0" w:firstRowLastColumn="0" w:lastRowFirstColumn="0" w:lastRowLastColumn="0"/>
              <w:rPr>
                <w:rFonts w:cs="Times New Roman"/>
                <w:color w:val="auto"/>
                <w:sz w:val="22"/>
                <w:szCs w:val="20"/>
              </w:rPr>
            </w:pPr>
            <w:r w:rsidRPr="00C12E58">
              <w:rPr>
                <w:rFonts w:cs="Times New Roman"/>
                <w:color w:val="auto"/>
                <w:sz w:val="22"/>
                <w:szCs w:val="20"/>
              </w:rPr>
              <w:t>Numérico</w:t>
            </w:r>
          </w:p>
        </w:tc>
      </w:tr>
      <w:tr w:rsidR="0078205B" w:rsidRPr="00CD0BE1" w14:paraId="14E94D83" w14:textId="77777777" w:rsidTr="00CF1D64">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1714" w:type="dxa"/>
            <w:shd w:val="clear" w:color="auto" w:fill="E7E6E6" w:themeFill="background2"/>
          </w:tcPr>
          <w:p w14:paraId="0DCF32AB" w14:textId="13D7775B" w:rsidR="0078205B" w:rsidRPr="00C12E58" w:rsidRDefault="00373919" w:rsidP="00330E80">
            <w:pPr>
              <w:tabs>
                <w:tab w:val="left" w:pos="1276"/>
                <w:tab w:val="left" w:pos="1843"/>
              </w:tabs>
              <w:spacing w:before="60" w:after="60"/>
              <w:ind w:left="42"/>
              <w:rPr>
                <w:rFonts w:cs="Times New Roman"/>
                <w:color w:val="auto"/>
                <w:sz w:val="22"/>
                <w:szCs w:val="20"/>
              </w:rPr>
            </w:pPr>
            <w:proofErr w:type="spellStart"/>
            <w:r w:rsidRPr="00C12E58">
              <w:rPr>
                <w:rFonts w:cs="Times New Roman"/>
                <w:color w:val="auto"/>
                <w:sz w:val="22"/>
                <w:szCs w:val="20"/>
              </w:rPr>
              <w:t>Tx</w:t>
            </w:r>
            <w:r w:rsidR="0078205B" w:rsidRPr="00C12E58">
              <w:rPr>
                <w:rFonts w:cs="Times New Roman"/>
                <w:color w:val="auto"/>
                <w:sz w:val="22"/>
                <w:szCs w:val="20"/>
              </w:rPr>
              <w:t>PI</w:t>
            </w:r>
            <w:proofErr w:type="spellEnd"/>
          </w:p>
        </w:tc>
        <w:tc>
          <w:tcPr>
            <w:tcW w:w="3969" w:type="dxa"/>
            <w:shd w:val="clear" w:color="auto" w:fill="E7E6E6" w:themeFill="background2"/>
          </w:tcPr>
          <w:p w14:paraId="60D78995" w14:textId="4C0A90EF" w:rsidR="0078205B" w:rsidRPr="00C12E58" w:rsidRDefault="00373919" w:rsidP="00330E80">
            <w:pPr>
              <w:tabs>
                <w:tab w:val="left" w:pos="1843"/>
              </w:tabs>
              <w:spacing w:before="60" w:after="60"/>
              <w:ind w:left="77" w:right="23" w:hanging="77"/>
              <w:cnfStyle w:val="000000100000" w:firstRow="0" w:lastRow="0" w:firstColumn="0" w:lastColumn="0" w:oddVBand="0" w:evenVBand="0" w:oddHBand="1" w:evenHBand="0" w:firstRowFirstColumn="0" w:firstRowLastColumn="0" w:lastRowFirstColumn="0" w:lastRowLastColumn="0"/>
              <w:rPr>
                <w:rFonts w:cs="Times New Roman"/>
                <w:color w:val="auto"/>
                <w:sz w:val="22"/>
                <w:szCs w:val="20"/>
              </w:rPr>
            </w:pPr>
            <w:r w:rsidRPr="00C12E58">
              <w:rPr>
                <w:rFonts w:cs="Times New Roman"/>
                <w:color w:val="auto"/>
                <w:sz w:val="22"/>
                <w:szCs w:val="20"/>
              </w:rPr>
              <w:t xml:space="preserve">Taxa de </w:t>
            </w:r>
            <w:r w:rsidR="0078205B" w:rsidRPr="00C12E58">
              <w:rPr>
                <w:rFonts w:cs="Times New Roman"/>
                <w:color w:val="auto"/>
                <w:sz w:val="22"/>
                <w:szCs w:val="20"/>
              </w:rPr>
              <w:t>População idosa</w:t>
            </w:r>
          </w:p>
        </w:tc>
        <w:tc>
          <w:tcPr>
            <w:tcW w:w="2612" w:type="dxa"/>
            <w:shd w:val="clear" w:color="auto" w:fill="E7E6E6" w:themeFill="background2"/>
          </w:tcPr>
          <w:p w14:paraId="47C61390" w14:textId="77777777" w:rsidR="0078205B" w:rsidRPr="00C12E58" w:rsidRDefault="0078205B" w:rsidP="00330E80">
            <w:pPr>
              <w:spacing w:before="60" w:after="60"/>
              <w:ind w:left="77" w:hanging="77"/>
              <w:cnfStyle w:val="000000100000" w:firstRow="0" w:lastRow="0" w:firstColumn="0" w:lastColumn="0" w:oddVBand="0" w:evenVBand="0" w:oddHBand="1" w:evenHBand="0" w:firstRowFirstColumn="0" w:firstRowLastColumn="0" w:lastRowFirstColumn="0" w:lastRowLastColumn="0"/>
              <w:rPr>
                <w:rFonts w:cs="Times New Roman"/>
                <w:color w:val="auto"/>
                <w:sz w:val="22"/>
                <w:szCs w:val="20"/>
              </w:rPr>
            </w:pPr>
            <w:r w:rsidRPr="00C12E58">
              <w:rPr>
                <w:rFonts w:cs="Times New Roman"/>
                <w:color w:val="auto"/>
                <w:sz w:val="22"/>
                <w:szCs w:val="20"/>
              </w:rPr>
              <w:t>Numérico (%)</w:t>
            </w:r>
          </w:p>
        </w:tc>
      </w:tr>
      <w:tr w:rsidR="0078205B" w:rsidRPr="00CD0BE1" w14:paraId="505FB4E6" w14:textId="77777777" w:rsidTr="00DD1DC6">
        <w:trPr>
          <w:trHeight w:val="170"/>
          <w:jc w:val="center"/>
        </w:trPr>
        <w:tc>
          <w:tcPr>
            <w:cnfStyle w:val="001000000000" w:firstRow="0" w:lastRow="0" w:firstColumn="1" w:lastColumn="0" w:oddVBand="0" w:evenVBand="0" w:oddHBand="0" w:evenHBand="0" w:firstRowFirstColumn="0" w:firstRowLastColumn="0" w:lastRowFirstColumn="0" w:lastRowLastColumn="0"/>
            <w:tcW w:w="1714" w:type="dxa"/>
          </w:tcPr>
          <w:p w14:paraId="554F5808" w14:textId="77777777" w:rsidR="0078205B" w:rsidRPr="00C12E58" w:rsidRDefault="0078205B" w:rsidP="00330E80">
            <w:pPr>
              <w:tabs>
                <w:tab w:val="left" w:pos="1276"/>
                <w:tab w:val="left" w:pos="1843"/>
              </w:tabs>
              <w:spacing w:before="60" w:after="60"/>
              <w:ind w:left="42"/>
              <w:rPr>
                <w:rFonts w:cs="Times New Roman"/>
                <w:color w:val="auto"/>
                <w:sz w:val="22"/>
                <w:szCs w:val="20"/>
              </w:rPr>
            </w:pPr>
            <w:proofErr w:type="spellStart"/>
            <w:r w:rsidRPr="00C12E58">
              <w:rPr>
                <w:rFonts w:cs="Times New Roman"/>
                <w:color w:val="auto"/>
                <w:sz w:val="22"/>
                <w:szCs w:val="20"/>
              </w:rPr>
              <w:t>TxD</w:t>
            </w:r>
            <w:proofErr w:type="spellEnd"/>
          </w:p>
        </w:tc>
        <w:tc>
          <w:tcPr>
            <w:tcW w:w="3969" w:type="dxa"/>
          </w:tcPr>
          <w:p w14:paraId="5FF102A5" w14:textId="77777777" w:rsidR="0078205B" w:rsidRPr="00C12E58" w:rsidRDefault="0078205B" w:rsidP="00330E80">
            <w:pPr>
              <w:tabs>
                <w:tab w:val="left" w:pos="1843"/>
              </w:tabs>
              <w:spacing w:before="60" w:after="60"/>
              <w:ind w:left="77" w:right="23" w:hanging="77"/>
              <w:cnfStyle w:val="000000000000" w:firstRow="0" w:lastRow="0" w:firstColumn="0" w:lastColumn="0" w:oddVBand="0" w:evenVBand="0" w:oddHBand="0" w:evenHBand="0" w:firstRowFirstColumn="0" w:firstRowLastColumn="0" w:lastRowFirstColumn="0" w:lastRowLastColumn="0"/>
              <w:rPr>
                <w:rFonts w:cs="Times New Roman"/>
                <w:color w:val="auto"/>
                <w:sz w:val="22"/>
                <w:szCs w:val="20"/>
              </w:rPr>
            </w:pPr>
            <w:r w:rsidRPr="00C12E58">
              <w:rPr>
                <w:rFonts w:cs="Times New Roman"/>
                <w:color w:val="auto"/>
                <w:sz w:val="22"/>
                <w:szCs w:val="20"/>
              </w:rPr>
              <w:t>Taxa de desemprego</w:t>
            </w:r>
          </w:p>
        </w:tc>
        <w:tc>
          <w:tcPr>
            <w:tcW w:w="2612" w:type="dxa"/>
          </w:tcPr>
          <w:p w14:paraId="3BFF68AE" w14:textId="77777777" w:rsidR="0078205B" w:rsidRPr="00C12E58" w:rsidRDefault="0078205B" w:rsidP="00330E80">
            <w:pPr>
              <w:spacing w:before="60" w:after="60"/>
              <w:ind w:left="77" w:hanging="77"/>
              <w:cnfStyle w:val="000000000000" w:firstRow="0" w:lastRow="0" w:firstColumn="0" w:lastColumn="0" w:oddVBand="0" w:evenVBand="0" w:oddHBand="0" w:evenHBand="0" w:firstRowFirstColumn="0" w:firstRowLastColumn="0" w:lastRowFirstColumn="0" w:lastRowLastColumn="0"/>
              <w:rPr>
                <w:rFonts w:cs="Times New Roman"/>
                <w:color w:val="auto"/>
                <w:sz w:val="22"/>
                <w:szCs w:val="20"/>
              </w:rPr>
            </w:pPr>
            <w:r w:rsidRPr="00C12E58">
              <w:rPr>
                <w:rFonts w:cs="Times New Roman"/>
                <w:color w:val="auto"/>
                <w:sz w:val="22"/>
                <w:szCs w:val="20"/>
              </w:rPr>
              <w:t>Numérico (%)</w:t>
            </w:r>
          </w:p>
        </w:tc>
      </w:tr>
      <w:tr w:rsidR="0078205B" w:rsidRPr="00CD0BE1" w14:paraId="132DC194" w14:textId="77777777" w:rsidTr="00CF1D64">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1714" w:type="dxa"/>
            <w:tcBorders>
              <w:bottom w:val="double" w:sz="4" w:space="0" w:color="auto"/>
            </w:tcBorders>
            <w:shd w:val="clear" w:color="auto" w:fill="E7E6E6" w:themeFill="background2"/>
          </w:tcPr>
          <w:p w14:paraId="02ABC5A8" w14:textId="77777777" w:rsidR="0078205B" w:rsidRPr="00C12E58" w:rsidRDefault="0078205B" w:rsidP="00330E80">
            <w:pPr>
              <w:tabs>
                <w:tab w:val="left" w:pos="1276"/>
                <w:tab w:val="left" w:pos="1843"/>
              </w:tabs>
              <w:spacing w:before="60" w:after="60"/>
              <w:ind w:left="42"/>
              <w:rPr>
                <w:rFonts w:cs="Times New Roman"/>
                <w:color w:val="auto"/>
                <w:sz w:val="22"/>
                <w:szCs w:val="20"/>
              </w:rPr>
            </w:pPr>
            <w:r w:rsidRPr="00C12E58">
              <w:rPr>
                <w:rFonts w:cs="Times New Roman"/>
                <w:color w:val="auto"/>
                <w:sz w:val="22"/>
                <w:szCs w:val="20"/>
              </w:rPr>
              <w:t>PA</w:t>
            </w:r>
          </w:p>
        </w:tc>
        <w:tc>
          <w:tcPr>
            <w:tcW w:w="3969" w:type="dxa"/>
            <w:tcBorders>
              <w:bottom w:val="double" w:sz="4" w:space="0" w:color="auto"/>
            </w:tcBorders>
            <w:shd w:val="clear" w:color="auto" w:fill="E7E6E6" w:themeFill="background2"/>
          </w:tcPr>
          <w:p w14:paraId="12CA794D" w14:textId="77777777" w:rsidR="0078205B" w:rsidRPr="00C12E58" w:rsidRDefault="0078205B" w:rsidP="00330E80">
            <w:pPr>
              <w:tabs>
                <w:tab w:val="left" w:pos="1843"/>
              </w:tabs>
              <w:spacing w:before="60" w:after="60"/>
              <w:ind w:left="77" w:right="23" w:hanging="77"/>
              <w:cnfStyle w:val="000000100000" w:firstRow="0" w:lastRow="0" w:firstColumn="0" w:lastColumn="0" w:oddVBand="0" w:evenVBand="0" w:oddHBand="1" w:evenHBand="0" w:firstRowFirstColumn="0" w:firstRowLastColumn="0" w:lastRowFirstColumn="0" w:lastRowLastColumn="0"/>
              <w:rPr>
                <w:rFonts w:cs="Times New Roman"/>
                <w:color w:val="auto"/>
                <w:sz w:val="22"/>
                <w:szCs w:val="20"/>
              </w:rPr>
            </w:pPr>
            <w:r w:rsidRPr="00C12E58">
              <w:rPr>
                <w:rFonts w:cs="Times New Roman"/>
                <w:color w:val="auto"/>
                <w:sz w:val="22"/>
                <w:szCs w:val="20"/>
              </w:rPr>
              <w:t>Percentagem de abstenção</w:t>
            </w:r>
          </w:p>
        </w:tc>
        <w:tc>
          <w:tcPr>
            <w:tcW w:w="2612" w:type="dxa"/>
            <w:tcBorders>
              <w:bottom w:val="double" w:sz="4" w:space="0" w:color="auto"/>
            </w:tcBorders>
            <w:shd w:val="clear" w:color="auto" w:fill="E7E6E6" w:themeFill="background2"/>
          </w:tcPr>
          <w:p w14:paraId="7C9C4C73" w14:textId="77777777" w:rsidR="0078205B" w:rsidRPr="00C12E58" w:rsidRDefault="0078205B" w:rsidP="00330E80">
            <w:pPr>
              <w:keepNext/>
              <w:spacing w:before="60" w:after="60"/>
              <w:ind w:left="77" w:hanging="77"/>
              <w:cnfStyle w:val="000000100000" w:firstRow="0" w:lastRow="0" w:firstColumn="0" w:lastColumn="0" w:oddVBand="0" w:evenVBand="0" w:oddHBand="1" w:evenHBand="0" w:firstRowFirstColumn="0" w:firstRowLastColumn="0" w:lastRowFirstColumn="0" w:lastRowLastColumn="0"/>
              <w:rPr>
                <w:rFonts w:cs="Times New Roman"/>
                <w:color w:val="auto"/>
                <w:sz w:val="22"/>
                <w:szCs w:val="20"/>
              </w:rPr>
            </w:pPr>
            <w:r w:rsidRPr="00C12E58">
              <w:rPr>
                <w:rFonts w:cs="Times New Roman"/>
                <w:color w:val="auto"/>
                <w:sz w:val="22"/>
                <w:szCs w:val="20"/>
              </w:rPr>
              <w:t>Numérico (%)</w:t>
            </w:r>
          </w:p>
        </w:tc>
      </w:tr>
    </w:tbl>
    <w:p w14:paraId="5CD751A6" w14:textId="669524DE" w:rsidR="00D3137C" w:rsidRDefault="00D3137C" w:rsidP="00706EE3">
      <w:pPr>
        <w:spacing w:before="240" w:after="240" w:line="360" w:lineRule="auto"/>
        <w:jc w:val="both"/>
        <w:rPr>
          <w:rFonts w:cs="Times New Roman"/>
        </w:rPr>
      </w:pPr>
      <w:r>
        <w:rPr>
          <w:rFonts w:cs="Times New Roman"/>
        </w:rPr>
        <w:lastRenderedPageBreak/>
        <w:t xml:space="preserve">Como facilmente se percecionará, as variáveis utilizadas são de diferentes tipos. De acordo com </w:t>
      </w:r>
      <w:proofErr w:type="spellStart"/>
      <w:r>
        <w:rPr>
          <w:rFonts w:cs="Times New Roman"/>
        </w:rPr>
        <w:t>Fávero</w:t>
      </w:r>
      <w:proofErr w:type="spellEnd"/>
      <w:r>
        <w:rPr>
          <w:rFonts w:cs="Times New Roman"/>
        </w:rPr>
        <w:t xml:space="preserve"> e </w:t>
      </w:r>
      <w:proofErr w:type="spellStart"/>
      <w:r>
        <w:rPr>
          <w:rFonts w:cs="Times New Roman"/>
        </w:rPr>
        <w:t>Belfiore</w:t>
      </w:r>
      <w:proofErr w:type="spellEnd"/>
      <w:r>
        <w:rPr>
          <w:rFonts w:cs="Times New Roman"/>
        </w:rPr>
        <w:t xml:space="preserve"> (2017, p.</w:t>
      </w:r>
      <w:r w:rsidR="006D0635">
        <w:rPr>
          <w:rFonts w:cs="Times New Roman"/>
        </w:rPr>
        <w:t xml:space="preserve"> </w:t>
      </w:r>
      <w:r>
        <w:rPr>
          <w:rFonts w:cs="Times New Roman"/>
        </w:rPr>
        <w:t>55) uma variável é «uma característica ou atributo que se deseja observar, medir contar a fim de se obter algum tipo de conclusão.»</w:t>
      </w:r>
    </w:p>
    <w:p w14:paraId="2FC92307" w14:textId="0A31BD1D" w:rsidR="0078205B" w:rsidRDefault="00801EE2" w:rsidP="00706EE3">
      <w:pPr>
        <w:spacing w:before="120" w:line="360" w:lineRule="auto"/>
        <w:jc w:val="both"/>
        <w:rPr>
          <w:rFonts w:cs="Times New Roman"/>
        </w:rPr>
      </w:pPr>
      <w:r>
        <w:rPr>
          <w:rFonts w:cs="Times New Roman"/>
        </w:rPr>
        <w:t xml:space="preserve">Por observação deste </w:t>
      </w:r>
      <w:r w:rsidR="00803EBB">
        <w:rPr>
          <w:rFonts w:cs="Times New Roman"/>
        </w:rPr>
        <w:t>contata-se</w:t>
      </w:r>
      <w:r w:rsidR="0078205B">
        <w:rPr>
          <w:rFonts w:cs="Times New Roman"/>
        </w:rPr>
        <w:t xml:space="preserve"> que a maioria das variáveis são do tipo numérico, mais concretamente, em valores percentuais</w:t>
      </w:r>
      <w:r w:rsidR="00D3137C">
        <w:rPr>
          <w:rFonts w:cs="Times New Roman"/>
        </w:rPr>
        <w:t>.</w:t>
      </w:r>
    </w:p>
    <w:p w14:paraId="3F2E7392" w14:textId="25AA733D" w:rsidR="00174012" w:rsidRPr="00174012" w:rsidRDefault="00174012" w:rsidP="00174012">
      <w:pPr>
        <w:spacing w:before="120" w:line="360" w:lineRule="auto"/>
        <w:jc w:val="both"/>
        <w:rPr>
          <w:rFonts w:cs="Times New Roman"/>
        </w:rPr>
      </w:pPr>
      <w:r w:rsidRPr="00174012">
        <w:rPr>
          <w:rFonts w:cs="Times New Roman"/>
        </w:rPr>
        <w:t xml:space="preserve">A variável ideologia do partido político </w:t>
      </w:r>
      <w:r w:rsidR="006B5765">
        <w:rPr>
          <w:rFonts w:cs="Times New Roman"/>
        </w:rPr>
        <w:t xml:space="preserve">é </w:t>
      </w:r>
      <w:r w:rsidRPr="00174012">
        <w:rPr>
          <w:rFonts w:cs="Times New Roman"/>
        </w:rPr>
        <w:t xml:space="preserve">binária, IPP, conforme apresentado no </w:t>
      </w:r>
      <w:r w:rsidR="00324761">
        <w:rPr>
          <w:rFonts w:cs="Times New Roman"/>
        </w:rPr>
        <w:t>Q</w:t>
      </w:r>
      <w:r w:rsidRPr="00174012">
        <w:rPr>
          <w:rFonts w:cs="Times New Roman"/>
        </w:rPr>
        <w:t xml:space="preserve">uadro 4.1 assume o valor de 1 quando se trata de uma ideologia de partido de esquerda e o valor de 0 no caso de ideologia do partido de direita. </w:t>
      </w:r>
      <w:r w:rsidR="00E4532B">
        <w:rPr>
          <w:rFonts w:cs="Times New Roman"/>
        </w:rPr>
        <w:t>A orientação dos partidos políticos foi identificada pelo tribunal constitucional.</w:t>
      </w:r>
    </w:p>
    <w:p w14:paraId="74148BFE" w14:textId="0A054CCA" w:rsidR="00174012" w:rsidRPr="00174012" w:rsidRDefault="00174012" w:rsidP="00174012">
      <w:pPr>
        <w:spacing w:before="120" w:line="360" w:lineRule="auto"/>
        <w:jc w:val="both"/>
        <w:rPr>
          <w:rFonts w:cs="Times New Roman"/>
        </w:rPr>
      </w:pPr>
      <w:r w:rsidRPr="00174012">
        <w:rPr>
          <w:rFonts w:cs="Times New Roman"/>
        </w:rPr>
        <w:t>A variável competição política, CP</w:t>
      </w:r>
      <w:r w:rsidR="00C93C7D">
        <w:rPr>
          <w:rFonts w:cs="Times New Roman"/>
        </w:rPr>
        <w:t>,</w:t>
      </w:r>
      <w:r w:rsidRPr="00174012">
        <w:rPr>
          <w:rFonts w:cs="Times New Roman"/>
        </w:rPr>
        <w:t xml:space="preserve"> resulta de um rácio entre o número de vereadores do partido do poder e o número total de vereadores, pelo que o seu valor varia entre 0 e 1. A competição política será maior quanto mais próximo de 0 estiver este valor e será menor quanto mais próximo for de 1. </w:t>
      </w:r>
    </w:p>
    <w:p w14:paraId="534B74F3" w14:textId="653E08DD" w:rsidR="00174012" w:rsidRDefault="00C93C7D" w:rsidP="00174012">
      <w:pPr>
        <w:spacing w:before="120" w:line="360" w:lineRule="auto"/>
        <w:jc w:val="both"/>
        <w:rPr>
          <w:rFonts w:cs="Times New Roman"/>
        </w:rPr>
      </w:pPr>
      <w:r>
        <w:rPr>
          <w:rFonts w:cs="Times New Roman"/>
        </w:rPr>
        <w:t>No caso do</w:t>
      </w:r>
      <w:r w:rsidR="00174012" w:rsidRPr="00174012">
        <w:rPr>
          <w:rFonts w:cs="Times New Roman"/>
        </w:rPr>
        <w:t xml:space="preserve"> valor do endividamento</w:t>
      </w:r>
      <w:r w:rsidR="00174012" w:rsidRPr="003C4D3E">
        <w:rPr>
          <w:rFonts w:cs="Times New Roman"/>
        </w:rPr>
        <w:t>, V</w:t>
      </w:r>
      <w:r w:rsidR="003C4D3E" w:rsidRPr="003C4D3E">
        <w:rPr>
          <w:rFonts w:cs="Times New Roman"/>
        </w:rPr>
        <w:t>E</w:t>
      </w:r>
      <w:r w:rsidR="00174012" w:rsidRPr="003C4D3E">
        <w:rPr>
          <w:rFonts w:cs="Times New Roman"/>
        </w:rPr>
        <w:t>nd</w:t>
      </w:r>
      <w:r>
        <w:rPr>
          <w:rFonts w:cs="Times New Roman"/>
        </w:rPr>
        <w:t>,</w:t>
      </w:r>
      <w:r w:rsidR="00174012" w:rsidRPr="00174012">
        <w:rPr>
          <w:rFonts w:cs="Times New Roman"/>
        </w:rPr>
        <w:t xml:space="preserve"> conforme registado no </w:t>
      </w:r>
      <w:r w:rsidR="00324761">
        <w:rPr>
          <w:rFonts w:cs="Times New Roman"/>
        </w:rPr>
        <w:t>Q</w:t>
      </w:r>
      <w:r w:rsidR="00174012" w:rsidRPr="00174012">
        <w:rPr>
          <w:rFonts w:cs="Times New Roman"/>
        </w:rPr>
        <w:t>uadro 4.1</w:t>
      </w:r>
      <w:r>
        <w:rPr>
          <w:rFonts w:cs="Times New Roman"/>
        </w:rPr>
        <w:t>,</w:t>
      </w:r>
      <w:r w:rsidR="00174012" w:rsidRPr="00174012">
        <w:rPr>
          <w:rFonts w:cs="Times New Roman"/>
        </w:rPr>
        <w:t xml:space="preserve"> trata-se de uma variável do tipo numérico (milhares de euros) e é de registo direto.</w:t>
      </w:r>
    </w:p>
    <w:p w14:paraId="15186A5E" w14:textId="2E25F1FE" w:rsidR="005735AC" w:rsidRPr="00174012" w:rsidRDefault="005735AC" w:rsidP="00174012">
      <w:pPr>
        <w:spacing w:before="120" w:line="360" w:lineRule="auto"/>
        <w:jc w:val="both"/>
        <w:rPr>
          <w:rFonts w:cs="Times New Roman"/>
        </w:rPr>
      </w:pPr>
      <w:r>
        <w:rPr>
          <w:rFonts w:cs="Times New Roman"/>
        </w:rPr>
        <w:t xml:space="preserve">Os valores da variável </w:t>
      </w:r>
      <w:r w:rsidR="00203D7D">
        <w:rPr>
          <w:rFonts w:cs="Times New Roman"/>
        </w:rPr>
        <w:t xml:space="preserve">despesa efetiva </w:t>
      </w:r>
      <w:r w:rsidR="00203D7D" w:rsidRPr="00506E82">
        <w:rPr>
          <w:rFonts w:cs="Times New Roman"/>
          <w:i/>
          <w:iCs/>
        </w:rPr>
        <w:t>per capita</w:t>
      </w:r>
      <w:r>
        <w:rPr>
          <w:rFonts w:cs="Times New Roman"/>
        </w:rPr>
        <w:t>, D</w:t>
      </w:r>
      <w:r w:rsidR="00203D7D">
        <w:rPr>
          <w:rFonts w:cs="Times New Roman"/>
        </w:rPr>
        <w:t>E</w:t>
      </w:r>
      <w:r>
        <w:rPr>
          <w:rFonts w:cs="Times New Roman"/>
        </w:rPr>
        <w:t>, foram resultado do quociente entre a despesa efetiva</w:t>
      </w:r>
      <w:r>
        <w:rPr>
          <w:rStyle w:val="Refdenotaderodap"/>
          <w:rFonts w:cs="Times New Roman"/>
        </w:rPr>
        <w:footnoteReference w:id="4"/>
      </w:r>
      <w:r>
        <w:rPr>
          <w:rFonts w:cs="Times New Roman"/>
        </w:rPr>
        <w:t xml:space="preserve">e a população residente em cada município. Desta forma, é </w:t>
      </w:r>
      <w:r w:rsidR="00CC0018">
        <w:rPr>
          <w:rFonts w:cs="Times New Roman"/>
        </w:rPr>
        <w:t>do tipo numérico</w:t>
      </w:r>
      <w:r>
        <w:rPr>
          <w:rFonts w:cs="Times New Roman"/>
        </w:rPr>
        <w:t xml:space="preserve">. </w:t>
      </w:r>
    </w:p>
    <w:p w14:paraId="10D27ADA" w14:textId="147C7219" w:rsidR="00174012" w:rsidRPr="00174012" w:rsidRDefault="00174012" w:rsidP="00174012">
      <w:pPr>
        <w:spacing w:line="360" w:lineRule="auto"/>
        <w:jc w:val="both"/>
        <w:rPr>
          <w:rFonts w:cs="Times New Roman"/>
        </w:rPr>
      </w:pPr>
      <w:r w:rsidRPr="00174012">
        <w:rPr>
          <w:rFonts w:cs="Times New Roman"/>
        </w:rPr>
        <w:t xml:space="preserve">No caso das variáveis </w:t>
      </w:r>
      <w:r w:rsidR="00C93C7D">
        <w:rPr>
          <w:rFonts w:cs="Times New Roman"/>
        </w:rPr>
        <w:t xml:space="preserve">como </w:t>
      </w:r>
      <w:r w:rsidRPr="00174012">
        <w:rPr>
          <w:rFonts w:cs="Times New Roman"/>
        </w:rPr>
        <w:t xml:space="preserve">taxa de população Idosa, </w:t>
      </w:r>
      <w:proofErr w:type="spellStart"/>
      <w:r w:rsidRPr="00174012">
        <w:rPr>
          <w:rFonts w:cs="Times New Roman"/>
        </w:rPr>
        <w:t>TxPI</w:t>
      </w:r>
      <w:proofErr w:type="spellEnd"/>
      <w:r w:rsidRPr="00174012">
        <w:rPr>
          <w:rFonts w:cs="Times New Roman"/>
        </w:rPr>
        <w:t xml:space="preserve">, taxa de desemprego, </w:t>
      </w:r>
      <w:proofErr w:type="spellStart"/>
      <w:r w:rsidRPr="00174012">
        <w:rPr>
          <w:rFonts w:cs="Times New Roman"/>
        </w:rPr>
        <w:t>TxD</w:t>
      </w:r>
      <w:proofErr w:type="spellEnd"/>
      <w:r w:rsidR="00C93C7D">
        <w:rPr>
          <w:rFonts w:cs="Times New Roman"/>
        </w:rPr>
        <w:t>,</w:t>
      </w:r>
      <w:r w:rsidRPr="00174012">
        <w:rPr>
          <w:rFonts w:cs="Times New Roman"/>
        </w:rPr>
        <w:t xml:space="preserve"> e percentagem de abstenção, PA</w:t>
      </w:r>
      <w:r w:rsidR="00C93C7D">
        <w:rPr>
          <w:rFonts w:cs="Times New Roman"/>
        </w:rPr>
        <w:t>,</w:t>
      </w:r>
      <w:r w:rsidRPr="00174012">
        <w:rPr>
          <w:rFonts w:cs="Times New Roman"/>
        </w:rPr>
        <w:t xml:space="preserve"> são, todas, do tipo numérico sendo apresentadas em valores percentuais e, também, são de registo direto.</w:t>
      </w:r>
    </w:p>
    <w:p w14:paraId="71C43BBA" w14:textId="77777777" w:rsidR="00174012" w:rsidRDefault="00174012" w:rsidP="001B55DE">
      <w:pPr>
        <w:spacing w:before="240" w:line="360" w:lineRule="auto"/>
        <w:jc w:val="both"/>
        <w:rPr>
          <w:rFonts w:cs="Times New Roman"/>
        </w:rPr>
      </w:pPr>
      <w:r w:rsidRPr="00174012">
        <w:rPr>
          <w:rFonts w:cs="Times New Roman"/>
        </w:rPr>
        <w:t>Por último, a variável população residente, PR é do tipo numérico e de registo direto ao nível dos municípios.</w:t>
      </w:r>
      <w:r>
        <w:rPr>
          <w:rFonts w:cs="Times New Roman"/>
        </w:rPr>
        <w:t xml:space="preserve"> </w:t>
      </w:r>
    </w:p>
    <w:p w14:paraId="0602EB0E" w14:textId="68062263" w:rsidR="003F7EE7" w:rsidRDefault="00727AD2">
      <w:pPr>
        <w:spacing w:before="240" w:line="360" w:lineRule="auto"/>
        <w:jc w:val="both"/>
        <w:rPr>
          <w:rFonts w:cs="Times New Roman"/>
        </w:rPr>
      </w:pPr>
      <w:r>
        <w:rPr>
          <w:rFonts w:cs="Times New Roman"/>
        </w:rPr>
        <w:t>De acordo com Silvestre (2007, p.</w:t>
      </w:r>
      <w:r w:rsidR="00C93C7D">
        <w:rPr>
          <w:rFonts w:cs="Times New Roman"/>
        </w:rPr>
        <w:t xml:space="preserve"> </w:t>
      </w:r>
      <w:r>
        <w:rPr>
          <w:rFonts w:cs="Times New Roman"/>
        </w:rPr>
        <w:t xml:space="preserve">4), dados são «o resultado da observação ou medida de certas características dos indivíduos, entidades ou objetos que constituem a realidade». Os dados </w:t>
      </w:r>
      <w:r>
        <w:rPr>
          <w:rFonts w:cs="Times New Roman"/>
        </w:rPr>
        <w:lastRenderedPageBreak/>
        <w:t>recolhidos no presente trabalho fo</w:t>
      </w:r>
      <w:r w:rsidR="00B6145A">
        <w:rPr>
          <w:rFonts w:cs="Times New Roman"/>
        </w:rPr>
        <w:t>ram</w:t>
      </w:r>
      <w:r>
        <w:rPr>
          <w:rFonts w:cs="Times New Roman"/>
        </w:rPr>
        <w:t xml:space="preserve"> organizado</w:t>
      </w:r>
      <w:r w:rsidR="003F7EE7">
        <w:rPr>
          <w:rFonts w:cs="Times New Roman"/>
        </w:rPr>
        <w:t>s</w:t>
      </w:r>
      <w:r>
        <w:rPr>
          <w:rFonts w:cs="Times New Roman"/>
        </w:rPr>
        <w:t xml:space="preserve"> em formato Excel</w:t>
      </w:r>
      <w:r w:rsidR="008F461E">
        <w:rPr>
          <w:rFonts w:cs="Times New Roman"/>
        </w:rPr>
        <w:t xml:space="preserve">. </w:t>
      </w:r>
      <w:r w:rsidR="003F7EE7">
        <w:rPr>
          <w:rFonts w:cs="Times New Roman"/>
        </w:rPr>
        <w:t xml:space="preserve">Cada linha corresponde </w:t>
      </w:r>
      <w:r w:rsidR="007A1E39">
        <w:rPr>
          <w:rFonts w:cs="Times New Roman"/>
        </w:rPr>
        <w:t xml:space="preserve">aos dados </w:t>
      </w:r>
      <w:r w:rsidR="00C43C13">
        <w:rPr>
          <w:rFonts w:cs="Times New Roman"/>
        </w:rPr>
        <w:t xml:space="preserve">recolhidos em relação a um </w:t>
      </w:r>
      <w:r w:rsidR="003F7EE7">
        <w:rPr>
          <w:rFonts w:cs="Times New Roman"/>
        </w:rPr>
        <w:t>município</w:t>
      </w:r>
      <w:r w:rsidR="007A1E39">
        <w:rPr>
          <w:rFonts w:cs="Times New Roman"/>
        </w:rPr>
        <w:t xml:space="preserve"> para cada um dos anos em estudo</w:t>
      </w:r>
      <w:r w:rsidR="00C43C13">
        <w:rPr>
          <w:rFonts w:cs="Times New Roman"/>
        </w:rPr>
        <w:t>.</w:t>
      </w:r>
      <w:r w:rsidR="003F7EE7">
        <w:rPr>
          <w:rFonts w:cs="Times New Roman"/>
        </w:rPr>
        <w:t xml:space="preserve"> </w:t>
      </w:r>
    </w:p>
    <w:p w14:paraId="11463F67" w14:textId="3C98CFE6" w:rsidR="001878EF" w:rsidRPr="003C4D3E" w:rsidRDefault="00E17FD6" w:rsidP="003C4D3E">
      <w:pPr>
        <w:spacing w:line="360" w:lineRule="auto"/>
        <w:jc w:val="both"/>
        <w:rPr>
          <w:rFonts w:cs="Times New Roman"/>
          <w:color w:val="FF0000"/>
        </w:rPr>
      </w:pPr>
      <w:r>
        <w:rPr>
          <w:rFonts w:cs="Times New Roman"/>
        </w:rPr>
        <w:t>Para a realização d</w:t>
      </w:r>
      <w:r w:rsidR="00C875C3" w:rsidRPr="00515E34">
        <w:rPr>
          <w:rFonts w:cs="Times New Roman"/>
        </w:rPr>
        <w:t>o estudo</w:t>
      </w:r>
      <w:r w:rsidR="00515E34" w:rsidRPr="00515E34">
        <w:rPr>
          <w:rFonts w:cs="Times New Roman"/>
        </w:rPr>
        <w:t xml:space="preserve"> empírico</w:t>
      </w:r>
      <w:r>
        <w:rPr>
          <w:rFonts w:cs="Times New Roman"/>
        </w:rPr>
        <w:t xml:space="preserve"> foi necessário </w:t>
      </w:r>
      <w:r w:rsidR="00BF5DDE">
        <w:rPr>
          <w:rFonts w:cs="Times New Roman"/>
        </w:rPr>
        <w:t>o suporte na</w:t>
      </w:r>
      <w:r w:rsidR="00C875C3" w:rsidRPr="00515E34">
        <w:rPr>
          <w:rFonts w:cs="Times New Roman"/>
        </w:rPr>
        <w:t xml:space="preserve"> </w:t>
      </w:r>
      <w:r w:rsidR="00C875C3" w:rsidRPr="00653477">
        <w:rPr>
          <w:rFonts w:cs="Times New Roman"/>
        </w:rPr>
        <w:t>b</w:t>
      </w:r>
      <w:r w:rsidR="00515E34" w:rsidRPr="00653477">
        <w:rPr>
          <w:rFonts w:cs="Times New Roman"/>
        </w:rPr>
        <w:t xml:space="preserve">ase </w:t>
      </w:r>
      <w:r w:rsidR="00C875C3" w:rsidRPr="00653477">
        <w:rPr>
          <w:rFonts w:cs="Times New Roman"/>
        </w:rPr>
        <w:t>d</w:t>
      </w:r>
      <w:r w:rsidR="00515E34" w:rsidRPr="00653477">
        <w:rPr>
          <w:rFonts w:cs="Times New Roman"/>
        </w:rPr>
        <w:t>e</w:t>
      </w:r>
      <w:r w:rsidR="00C875C3" w:rsidRPr="00653477">
        <w:rPr>
          <w:rFonts w:cs="Times New Roman"/>
        </w:rPr>
        <w:t xml:space="preserve"> </w:t>
      </w:r>
      <w:r w:rsidR="00515E34" w:rsidRPr="00653477">
        <w:rPr>
          <w:rFonts w:cs="Times New Roman"/>
        </w:rPr>
        <w:t>dados</w:t>
      </w:r>
      <w:r w:rsidR="00380954">
        <w:rPr>
          <w:rFonts w:cs="Times New Roman"/>
        </w:rPr>
        <w:t xml:space="preserve"> construída</w:t>
      </w:r>
      <w:r w:rsidR="00515E34" w:rsidRPr="00DD1DC6">
        <w:rPr>
          <w:rFonts w:cs="Times New Roman"/>
          <w:color w:val="FF0000"/>
        </w:rPr>
        <w:t xml:space="preserve"> </w:t>
      </w:r>
      <w:r>
        <w:rPr>
          <w:rFonts w:cs="Times New Roman"/>
        </w:rPr>
        <w:t>que permiti</w:t>
      </w:r>
      <w:r w:rsidR="00380954">
        <w:rPr>
          <w:rFonts w:cs="Times New Roman"/>
        </w:rPr>
        <w:t>u</w:t>
      </w:r>
      <w:r>
        <w:rPr>
          <w:rFonts w:cs="Times New Roman"/>
        </w:rPr>
        <w:t xml:space="preserve"> a organização das variáveis e posterior análise das mesmas. Para a </w:t>
      </w:r>
      <w:r w:rsidR="00980CC3">
        <w:rPr>
          <w:rFonts w:cs="Times New Roman"/>
        </w:rPr>
        <w:t>recolha de dados</w:t>
      </w:r>
      <w:r>
        <w:rPr>
          <w:rFonts w:cs="Times New Roman"/>
        </w:rPr>
        <w:t xml:space="preserve">, </w:t>
      </w:r>
      <w:r w:rsidR="00801EE2">
        <w:rPr>
          <w:rFonts w:cs="Times New Roman"/>
        </w:rPr>
        <w:t>recorreu-se</w:t>
      </w:r>
      <w:r w:rsidR="00515E34">
        <w:rPr>
          <w:rFonts w:cs="Times New Roman"/>
        </w:rPr>
        <w:t xml:space="preserve"> a </w:t>
      </w:r>
      <w:r w:rsidR="005A0C54">
        <w:rPr>
          <w:rFonts w:cs="Times New Roman"/>
        </w:rPr>
        <w:t>diferentes</w:t>
      </w:r>
      <w:r w:rsidR="00515E34">
        <w:rPr>
          <w:rFonts w:cs="Times New Roman"/>
        </w:rPr>
        <w:t xml:space="preserve"> fontes </w:t>
      </w:r>
      <w:r w:rsidR="00CB0DF2">
        <w:rPr>
          <w:rFonts w:cs="Times New Roman"/>
        </w:rPr>
        <w:t>de forma a aceder</w:t>
      </w:r>
      <w:r w:rsidR="00515E34">
        <w:rPr>
          <w:rFonts w:cs="Times New Roman"/>
        </w:rPr>
        <w:t xml:space="preserve"> </w:t>
      </w:r>
      <w:r w:rsidR="00CB0DF2">
        <w:rPr>
          <w:rFonts w:cs="Times New Roman"/>
        </w:rPr>
        <w:t>à informação</w:t>
      </w:r>
      <w:r w:rsidR="00515E34">
        <w:rPr>
          <w:rFonts w:cs="Times New Roman"/>
        </w:rPr>
        <w:t xml:space="preserve"> relativa às variáveis</w:t>
      </w:r>
      <w:r w:rsidR="005A0C54">
        <w:rPr>
          <w:rFonts w:cs="Times New Roman"/>
        </w:rPr>
        <w:t xml:space="preserve"> selecionadas</w:t>
      </w:r>
      <w:r w:rsidR="00980CC3">
        <w:rPr>
          <w:rFonts w:cs="Times New Roman"/>
        </w:rPr>
        <w:t xml:space="preserve">. </w:t>
      </w:r>
      <w:r w:rsidR="003E6F9B">
        <w:rPr>
          <w:rFonts w:cs="Times New Roman"/>
        </w:rPr>
        <w:t xml:space="preserve">Os sítios </w:t>
      </w:r>
      <w:r w:rsidR="00DD1DC6">
        <w:rPr>
          <w:rFonts w:cs="Times New Roman"/>
        </w:rPr>
        <w:t xml:space="preserve">de </w:t>
      </w:r>
      <w:r w:rsidR="003E6F9B">
        <w:rPr>
          <w:rFonts w:cs="Times New Roman"/>
        </w:rPr>
        <w:t xml:space="preserve">onde foi </w:t>
      </w:r>
      <w:r w:rsidR="00DD1DC6">
        <w:rPr>
          <w:rFonts w:cs="Times New Roman"/>
        </w:rPr>
        <w:t>retirada</w:t>
      </w:r>
      <w:r w:rsidR="003E6F9B">
        <w:rPr>
          <w:rFonts w:cs="Times New Roman"/>
        </w:rPr>
        <w:t xml:space="preserve"> a informação </w:t>
      </w:r>
      <w:r w:rsidR="0049172C">
        <w:rPr>
          <w:rFonts w:cs="Times New Roman"/>
        </w:rPr>
        <w:t xml:space="preserve">que </w:t>
      </w:r>
      <w:r w:rsidR="003E6F9B">
        <w:rPr>
          <w:rFonts w:cs="Times New Roman"/>
        </w:rPr>
        <w:t>consta na base de dados</w:t>
      </w:r>
      <w:r w:rsidR="00DD1DC6">
        <w:rPr>
          <w:rFonts w:cs="Times New Roman"/>
        </w:rPr>
        <w:t>,</w:t>
      </w:r>
      <w:r w:rsidR="003E6F9B">
        <w:rPr>
          <w:rFonts w:cs="Times New Roman"/>
        </w:rPr>
        <w:t xml:space="preserve"> que</w:t>
      </w:r>
      <w:r w:rsidR="00D63BE1">
        <w:rPr>
          <w:rFonts w:cs="Times New Roman"/>
        </w:rPr>
        <w:t xml:space="preserve"> esteve na base deste</w:t>
      </w:r>
      <w:r w:rsidR="00940A47">
        <w:rPr>
          <w:rFonts w:cs="Times New Roman"/>
        </w:rPr>
        <w:t xml:space="preserve"> estudo empírico,</w:t>
      </w:r>
      <w:r w:rsidR="003E6F9B">
        <w:rPr>
          <w:rFonts w:cs="Times New Roman"/>
        </w:rPr>
        <w:t xml:space="preserve"> são os que se apresentam no </w:t>
      </w:r>
      <w:r w:rsidR="00324761">
        <w:rPr>
          <w:rFonts w:cs="Times New Roman"/>
        </w:rPr>
        <w:t>Q</w:t>
      </w:r>
      <w:r w:rsidR="003E6F9B">
        <w:rPr>
          <w:rFonts w:cs="Times New Roman"/>
        </w:rPr>
        <w:t xml:space="preserve">uadro </w:t>
      </w:r>
      <w:r w:rsidR="003E6F9B" w:rsidRPr="001878EF">
        <w:rPr>
          <w:rFonts w:cs="Times New Roman"/>
        </w:rPr>
        <w:t>4.2</w:t>
      </w:r>
      <w:r w:rsidR="005A0C54" w:rsidRPr="001878EF">
        <w:rPr>
          <w:rFonts w:cs="Times New Roman"/>
        </w:rPr>
        <w:t xml:space="preserve"> </w:t>
      </w:r>
    </w:p>
    <w:p w14:paraId="18C6B47F" w14:textId="449AE8A0" w:rsidR="003F4837" w:rsidRDefault="003F4837" w:rsidP="003F4837">
      <w:pPr>
        <w:pStyle w:val="Legenda"/>
        <w:keepNext/>
        <w:spacing w:after="60"/>
        <w:jc w:val="center"/>
      </w:pPr>
      <w:bookmarkStart w:id="67" w:name="_Toc58853181"/>
      <w:bookmarkStart w:id="68" w:name="_Toc66624302"/>
      <w:r w:rsidRPr="003F4837">
        <w:rPr>
          <w:color w:val="auto"/>
          <w:sz w:val="24"/>
        </w:rPr>
        <w:t xml:space="preserve">Quadro </w:t>
      </w:r>
      <w:r w:rsidR="00C90AC5">
        <w:rPr>
          <w:color w:val="auto"/>
          <w:sz w:val="24"/>
        </w:rPr>
        <w:fldChar w:fldCharType="begin"/>
      </w:r>
      <w:r w:rsidR="00C90AC5">
        <w:rPr>
          <w:color w:val="auto"/>
          <w:sz w:val="24"/>
        </w:rPr>
        <w:instrText xml:space="preserve"> STYLEREF 1 \s </w:instrText>
      </w:r>
      <w:r w:rsidR="00C90AC5">
        <w:rPr>
          <w:color w:val="auto"/>
          <w:sz w:val="24"/>
        </w:rPr>
        <w:fldChar w:fldCharType="separate"/>
      </w:r>
      <w:r w:rsidR="00380A6F">
        <w:rPr>
          <w:noProof/>
          <w:color w:val="auto"/>
          <w:sz w:val="24"/>
        </w:rPr>
        <w:t>4</w:t>
      </w:r>
      <w:r w:rsidR="00C90AC5">
        <w:rPr>
          <w:color w:val="auto"/>
          <w:sz w:val="24"/>
        </w:rPr>
        <w:fldChar w:fldCharType="end"/>
      </w:r>
      <w:r w:rsidR="00C90AC5">
        <w:rPr>
          <w:color w:val="auto"/>
          <w:sz w:val="24"/>
        </w:rPr>
        <w:t>.</w:t>
      </w:r>
      <w:r w:rsidR="00C90AC5">
        <w:rPr>
          <w:color w:val="auto"/>
          <w:sz w:val="24"/>
        </w:rPr>
        <w:fldChar w:fldCharType="begin"/>
      </w:r>
      <w:r w:rsidR="00C90AC5">
        <w:rPr>
          <w:color w:val="auto"/>
          <w:sz w:val="24"/>
        </w:rPr>
        <w:instrText xml:space="preserve"> SEQ Quadro \* ARABIC \s 1 </w:instrText>
      </w:r>
      <w:r w:rsidR="00C90AC5">
        <w:rPr>
          <w:color w:val="auto"/>
          <w:sz w:val="24"/>
        </w:rPr>
        <w:fldChar w:fldCharType="separate"/>
      </w:r>
      <w:r w:rsidR="00380A6F">
        <w:rPr>
          <w:noProof/>
          <w:color w:val="auto"/>
          <w:sz w:val="24"/>
        </w:rPr>
        <w:t>2</w:t>
      </w:r>
      <w:r w:rsidR="00C90AC5">
        <w:rPr>
          <w:color w:val="auto"/>
          <w:sz w:val="24"/>
        </w:rPr>
        <w:fldChar w:fldCharType="end"/>
      </w:r>
      <w:r w:rsidRPr="003F4837">
        <w:rPr>
          <w:color w:val="auto"/>
          <w:sz w:val="24"/>
        </w:rPr>
        <w:t xml:space="preserve"> -</w:t>
      </w:r>
      <w:r>
        <w:t xml:space="preserve"> </w:t>
      </w:r>
      <w:r w:rsidRPr="009C4354">
        <w:rPr>
          <w:b w:val="0"/>
          <w:color w:val="auto"/>
          <w:sz w:val="24"/>
        </w:rPr>
        <w:t>Fontes de pesquisa das variáveis</w:t>
      </w:r>
      <w:bookmarkEnd w:id="67"/>
      <w:bookmarkEnd w:id="68"/>
    </w:p>
    <w:tbl>
      <w:tblPr>
        <w:tblStyle w:val="SombreadoClaro-Cor3"/>
        <w:tblW w:w="9214" w:type="dxa"/>
        <w:tblLook w:val="04A0" w:firstRow="1" w:lastRow="0" w:firstColumn="1" w:lastColumn="0" w:noHBand="0" w:noVBand="1"/>
      </w:tblPr>
      <w:tblGrid>
        <w:gridCol w:w="3969"/>
        <w:gridCol w:w="5245"/>
      </w:tblGrid>
      <w:tr w:rsidR="00940A47" w:rsidRPr="00DD1DC6" w14:paraId="3A4722E7" w14:textId="77777777" w:rsidTr="00636D51">
        <w:trPr>
          <w:cnfStyle w:val="100000000000" w:firstRow="1" w:lastRow="0" w:firstColumn="0" w:lastColumn="0" w:oddVBand="0" w:evenVBand="0" w:oddHBand="0"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3969" w:type="dxa"/>
            <w:tcBorders>
              <w:top w:val="double" w:sz="4" w:space="0" w:color="auto"/>
              <w:bottom w:val="single" w:sz="8" w:space="0" w:color="auto"/>
            </w:tcBorders>
          </w:tcPr>
          <w:p w14:paraId="77F1A0EF" w14:textId="4FC22C07" w:rsidR="00940A47" w:rsidRPr="00940A47" w:rsidRDefault="00B77BD2" w:rsidP="00BA62F8">
            <w:pPr>
              <w:tabs>
                <w:tab w:val="left" w:pos="1843"/>
              </w:tabs>
              <w:spacing w:before="60" w:after="60" w:line="276" w:lineRule="auto"/>
              <w:ind w:left="77" w:right="710" w:hanging="77"/>
              <w:jc w:val="center"/>
              <w:rPr>
                <w:bCs w:val="0"/>
              </w:rPr>
            </w:pPr>
            <w:r>
              <w:rPr>
                <w:bCs w:val="0"/>
                <w:smallCaps/>
                <w:color w:val="auto"/>
              </w:rPr>
              <w:t>Variável</w:t>
            </w:r>
          </w:p>
        </w:tc>
        <w:tc>
          <w:tcPr>
            <w:tcW w:w="5245" w:type="dxa"/>
            <w:tcBorders>
              <w:top w:val="double" w:sz="4" w:space="0" w:color="auto"/>
              <w:bottom w:val="single" w:sz="8" w:space="0" w:color="auto"/>
            </w:tcBorders>
            <w:vAlign w:val="center"/>
          </w:tcPr>
          <w:p w14:paraId="0F490965" w14:textId="421737A9" w:rsidR="00940A47" w:rsidRPr="00940A47" w:rsidRDefault="00940A47" w:rsidP="00B77BD2">
            <w:pPr>
              <w:spacing w:line="276" w:lineRule="auto"/>
              <w:jc w:val="center"/>
              <w:cnfStyle w:val="100000000000" w:firstRow="1" w:lastRow="0" w:firstColumn="0" w:lastColumn="0" w:oddVBand="0" w:evenVBand="0" w:oddHBand="0" w:evenHBand="0" w:firstRowFirstColumn="0" w:firstRowLastColumn="0" w:lastRowFirstColumn="0" w:lastRowLastColumn="0"/>
              <w:rPr>
                <w:smallCaps/>
              </w:rPr>
            </w:pPr>
            <w:r w:rsidRPr="00940A47">
              <w:rPr>
                <w:rFonts w:eastAsia="Times New Roman" w:cs="Times New Roman"/>
                <w:smallCaps/>
                <w:color w:val="000000"/>
                <w:lang w:eastAsia="pt-PT"/>
              </w:rPr>
              <w:t>Fonte</w:t>
            </w:r>
          </w:p>
        </w:tc>
      </w:tr>
      <w:tr w:rsidR="004D2A99" w:rsidRPr="00CD0BE1" w14:paraId="3B78EAA1" w14:textId="77777777" w:rsidTr="00CF1D64">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3969" w:type="dxa"/>
            <w:tcBorders>
              <w:top w:val="single" w:sz="8" w:space="0" w:color="auto"/>
            </w:tcBorders>
            <w:shd w:val="clear" w:color="auto" w:fill="E7E6E6" w:themeFill="background2"/>
          </w:tcPr>
          <w:p w14:paraId="2470E3B6" w14:textId="5980418E" w:rsidR="004D2A99" w:rsidRPr="00A71509" w:rsidRDefault="004D2A99" w:rsidP="00636D51">
            <w:pPr>
              <w:tabs>
                <w:tab w:val="left" w:pos="1843"/>
              </w:tabs>
              <w:spacing w:before="60" w:after="60" w:line="276" w:lineRule="auto"/>
              <w:ind w:left="77" w:right="-109" w:hanging="77"/>
              <w:rPr>
                <w:rFonts w:eastAsia="Times New Roman" w:cs="Times New Roman"/>
                <w:b w:val="0"/>
                <w:color w:val="000000"/>
                <w:sz w:val="22"/>
                <w:lang w:eastAsia="pt-PT"/>
              </w:rPr>
            </w:pPr>
            <w:r w:rsidRPr="000264D5">
              <w:rPr>
                <w:rFonts w:eastAsia="Times New Roman" w:cs="Times New Roman"/>
                <w:color w:val="000000"/>
                <w:sz w:val="22"/>
                <w:lang w:eastAsia="pt-PT"/>
              </w:rPr>
              <w:t xml:space="preserve">Índice de transparência Municipal </w:t>
            </w:r>
            <w:r w:rsidR="000264D5">
              <w:rPr>
                <w:rFonts w:eastAsia="Times New Roman" w:cs="Times New Roman"/>
                <w:b w:val="0"/>
                <w:color w:val="000000"/>
                <w:sz w:val="22"/>
                <w:lang w:eastAsia="pt-PT"/>
              </w:rPr>
              <w:t>(ITM)</w:t>
            </w:r>
          </w:p>
        </w:tc>
        <w:tc>
          <w:tcPr>
            <w:tcW w:w="5245" w:type="dxa"/>
            <w:tcBorders>
              <w:top w:val="single" w:sz="8" w:space="0" w:color="auto"/>
            </w:tcBorders>
            <w:shd w:val="clear" w:color="auto" w:fill="E7E6E6" w:themeFill="background2"/>
          </w:tcPr>
          <w:p w14:paraId="19DC8221" w14:textId="371FB1D1" w:rsidR="004D2A99" w:rsidRPr="00D02392" w:rsidRDefault="001878EF" w:rsidP="00650920">
            <w:pPr>
              <w:tabs>
                <w:tab w:val="left" w:pos="1843"/>
              </w:tabs>
              <w:spacing w:before="60" w:after="60" w:line="276" w:lineRule="auto"/>
              <w:ind w:left="77" w:right="23" w:hanging="77"/>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Pr>
                <w:rFonts w:eastAsia="Times New Roman" w:cs="Times New Roman"/>
                <w:color w:val="000000"/>
                <w:sz w:val="22"/>
                <w:lang w:eastAsia="pt-PT"/>
              </w:rPr>
              <w:t>TIAC – Transparência e Integridade Associação Cívica</w:t>
            </w:r>
          </w:p>
        </w:tc>
      </w:tr>
      <w:tr w:rsidR="004D2A99" w:rsidRPr="00CD0BE1" w14:paraId="1A736C22" w14:textId="77777777" w:rsidTr="00D63BE1">
        <w:trPr>
          <w:trHeight w:val="170"/>
        </w:trPr>
        <w:tc>
          <w:tcPr>
            <w:cnfStyle w:val="001000000000" w:firstRow="0" w:lastRow="0" w:firstColumn="1" w:lastColumn="0" w:oddVBand="0" w:evenVBand="0" w:oddHBand="0" w:evenHBand="0" w:firstRowFirstColumn="0" w:firstRowLastColumn="0" w:lastRowFirstColumn="0" w:lastRowLastColumn="0"/>
            <w:tcW w:w="3969" w:type="dxa"/>
          </w:tcPr>
          <w:p w14:paraId="3AC721F4" w14:textId="1D3B18E0" w:rsidR="004D2A99" w:rsidRPr="00D63BE1" w:rsidRDefault="004D2A99" w:rsidP="00650920">
            <w:pPr>
              <w:tabs>
                <w:tab w:val="left" w:pos="1843"/>
              </w:tabs>
              <w:spacing w:before="60" w:after="60" w:line="276" w:lineRule="auto"/>
              <w:ind w:left="77" w:right="23" w:hanging="77"/>
              <w:rPr>
                <w:rFonts w:cs="Times New Roman"/>
                <w:b w:val="0"/>
              </w:rPr>
            </w:pPr>
            <w:r w:rsidRPr="000264D5">
              <w:rPr>
                <w:rFonts w:eastAsia="Times New Roman" w:cs="Times New Roman"/>
                <w:color w:val="000000"/>
                <w:sz w:val="22"/>
                <w:lang w:eastAsia="pt-PT"/>
              </w:rPr>
              <w:t>Ideologia do Partido Político</w:t>
            </w:r>
            <w:r w:rsidR="00CA65C2">
              <w:rPr>
                <w:rFonts w:eastAsia="Times New Roman" w:cs="Times New Roman"/>
                <w:b w:val="0"/>
                <w:color w:val="000000"/>
                <w:sz w:val="22"/>
                <w:lang w:eastAsia="pt-PT"/>
              </w:rPr>
              <w:t xml:space="preserve"> (IPP)</w:t>
            </w:r>
          </w:p>
        </w:tc>
        <w:tc>
          <w:tcPr>
            <w:tcW w:w="5245" w:type="dxa"/>
          </w:tcPr>
          <w:p w14:paraId="046E6709" w14:textId="59636556" w:rsidR="004D2A99" w:rsidRPr="00D8317E" w:rsidRDefault="004D2A99" w:rsidP="00650920">
            <w:pPr>
              <w:tabs>
                <w:tab w:val="left" w:pos="1843"/>
              </w:tabs>
              <w:spacing w:before="60" w:after="60" w:line="276" w:lineRule="auto"/>
              <w:ind w:left="77" w:right="23" w:hanging="77"/>
              <w:cnfStyle w:val="000000000000" w:firstRow="0" w:lastRow="0" w:firstColumn="0" w:lastColumn="0" w:oddVBand="0" w:evenVBand="0" w:oddHBand="0" w:evenHBand="0" w:firstRowFirstColumn="0" w:firstRowLastColumn="0" w:lastRowFirstColumn="0" w:lastRowLastColumn="0"/>
              <w:rPr>
                <w:color w:val="auto"/>
              </w:rPr>
            </w:pPr>
            <w:r w:rsidRPr="00D02392">
              <w:rPr>
                <w:rFonts w:eastAsia="Times New Roman" w:cs="Times New Roman"/>
                <w:color w:val="000000"/>
                <w:sz w:val="22"/>
                <w:lang w:eastAsia="pt-PT"/>
              </w:rPr>
              <w:t>DGAI</w:t>
            </w:r>
            <w:r>
              <w:rPr>
                <w:rFonts w:eastAsia="Times New Roman" w:cs="Times New Roman"/>
                <w:color w:val="000000"/>
                <w:sz w:val="22"/>
                <w:lang w:eastAsia="pt-PT"/>
              </w:rPr>
              <w:t xml:space="preserve"> – Direção Geral </w:t>
            </w:r>
            <w:r w:rsidR="001878EF">
              <w:rPr>
                <w:rFonts w:eastAsia="Times New Roman" w:cs="Times New Roman"/>
                <w:color w:val="000000"/>
                <w:sz w:val="22"/>
                <w:lang w:eastAsia="pt-PT"/>
              </w:rPr>
              <w:t>das Administrações</w:t>
            </w:r>
            <w:r>
              <w:rPr>
                <w:rFonts w:eastAsia="Times New Roman" w:cs="Times New Roman"/>
                <w:color w:val="000000"/>
                <w:sz w:val="22"/>
                <w:lang w:eastAsia="pt-PT"/>
              </w:rPr>
              <w:t xml:space="preserve"> Internas</w:t>
            </w:r>
          </w:p>
        </w:tc>
      </w:tr>
      <w:tr w:rsidR="00940A47" w:rsidRPr="00CD0BE1" w14:paraId="3FB3DA2B" w14:textId="77777777" w:rsidTr="00CF1D64">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3969" w:type="dxa"/>
            <w:shd w:val="clear" w:color="auto" w:fill="E7E6E6" w:themeFill="background2"/>
          </w:tcPr>
          <w:p w14:paraId="5671253E" w14:textId="381ED4FC" w:rsidR="00940A47" w:rsidRPr="00D63BE1" w:rsidRDefault="00940A47" w:rsidP="00650920">
            <w:pPr>
              <w:tabs>
                <w:tab w:val="left" w:pos="1843"/>
              </w:tabs>
              <w:spacing w:before="60" w:after="60" w:line="276" w:lineRule="auto"/>
              <w:ind w:left="77" w:right="23" w:hanging="77"/>
              <w:rPr>
                <w:rFonts w:cs="Times New Roman"/>
                <w:b w:val="0"/>
              </w:rPr>
            </w:pPr>
            <w:r w:rsidRPr="000264D5">
              <w:rPr>
                <w:rFonts w:eastAsia="Times New Roman" w:cs="Times New Roman"/>
                <w:color w:val="000000"/>
                <w:sz w:val="22"/>
                <w:lang w:eastAsia="pt-PT"/>
              </w:rPr>
              <w:t>Competição Política</w:t>
            </w:r>
            <w:r w:rsidR="00CA65C2">
              <w:rPr>
                <w:rFonts w:eastAsia="Times New Roman" w:cs="Times New Roman"/>
                <w:b w:val="0"/>
                <w:color w:val="000000"/>
                <w:sz w:val="22"/>
                <w:lang w:eastAsia="pt-PT"/>
              </w:rPr>
              <w:t xml:space="preserve"> (CP)</w:t>
            </w:r>
          </w:p>
        </w:tc>
        <w:tc>
          <w:tcPr>
            <w:tcW w:w="5245" w:type="dxa"/>
            <w:shd w:val="clear" w:color="auto" w:fill="E7E6E6" w:themeFill="background2"/>
          </w:tcPr>
          <w:p w14:paraId="2D0651B1" w14:textId="37DFF816" w:rsidR="00940A47" w:rsidRPr="00D8317E" w:rsidRDefault="00940A47" w:rsidP="00650920">
            <w:pPr>
              <w:tabs>
                <w:tab w:val="left" w:pos="1843"/>
              </w:tabs>
              <w:spacing w:before="60" w:after="60" w:line="276" w:lineRule="auto"/>
              <w:ind w:left="77" w:right="23" w:hanging="77"/>
              <w:cnfStyle w:val="000000100000" w:firstRow="0" w:lastRow="0" w:firstColumn="0" w:lastColumn="0" w:oddVBand="0" w:evenVBand="0" w:oddHBand="1" w:evenHBand="0" w:firstRowFirstColumn="0" w:firstRowLastColumn="0" w:lastRowFirstColumn="0" w:lastRowLastColumn="0"/>
              <w:rPr>
                <w:rFonts w:cs="Times New Roman"/>
                <w:color w:val="auto"/>
              </w:rPr>
            </w:pPr>
            <w:r w:rsidRPr="00D02392">
              <w:rPr>
                <w:rFonts w:eastAsia="Times New Roman" w:cs="Times New Roman"/>
                <w:color w:val="000000"/>
                <w:sz w:val="22"/>
                <w:lang w:eastAsia="pt-PT"/>
              </w:rPr>
              <w:t>PORDATA</w:t>
            </w:r>
          </w:p>
        </w:tc>
      </w:tr>
      <w:tr w:rsidR="00940A47" w:rsidRPr="00CD0BE1" w14:paraId="414A9605" w14:textId="77777777" w:rsidTr="00D63BE1">
        <w:trPr>
          <w:trHeight w:val="170"/>
        </w:trPr>
        <w:tc>
          <w:tcPr>
            <w:cnfStyle w:val="001000000000" w:firstRow="0" w:lastRow="0" w:firstColumn="1" w:lastColumn="0" w:oddVBand="0" w:evenVBand="0" w:oddHBand="0" w:evenHBand="0" w:firstRowFirstColumn="0" w:firstRowLastColumn="0" w:lastRowFirstColumn="0" w:lastRowLastColumn="0"/>
            <w:tcW w:w="3969" w:type="dxa"/>
          </w:tcPr>
          <w:p w14:paraId="41ACD407" w14:textId="2C383910" w:rsidR="00940A47" w:rsidRPr="009C561F" w:rsidRDefault="009C561F" w:rsidP="00650920">
            <w:pPr>
              <w:tabs>
                <w:tab w:val="left" w:pos="1843"/>
              </w:tabs>
              <w:spacing w:before="60" w:after="60" w:line="276" w:lineRule="auto"/>
              <w:ind w:left="77" w:right="23" w:hanging="77"/>
              <w:rPr>
                <w:rFonts w:cs="Times New Roman"/>
                <w:b w:val="0"/>
              </w:rPr>
            </w:pPr>
            <w:r w:rsidRPr="009C561F">
              <w:rPr>
                <w:rFonts w:eastAsia="Times New Roman" w:cs="Times New Roman"/>
                <w:color w:val="auto"/>
                <w:sz w:val="22"/>
                <w:lang w:eastAsia="pt-PT"/>
              </w:rPr>
              <w:t>Valor</w:t>
            </w:r>
            <w:r>
              <w:rPr>
                <w:rFonts w:eastAsia="Times New Roman" w:cs="Times New Roman"/>
                <w:color w:val="auto"/>
                <w:sz w:val="22"/>
                <w:lang w:eastAsia="pt-PT"/>
              </w:rPr>
              <w:t xml:space="preserve"> do</w:t>
            </w:r>
            <w:r w:rsidR="00940A47" w:rsidRPr="009C561F">
              <w:rPr>
                <w:rFonts w:eastAsia="Times New Roman" w:cs="Times New Roman"/>
                <w:color w:val="FF0000"/>
                <w:sz w:val="22"/>
                <w:lang w:eastAsia="pt-PT"/>
              </w:rPr>
              <w:t xml:space="preserve"> </w:t>
            </w:r>
            <w:r w:rsidR="00940A47" w:rsidRPr="000264D5">
              <w:rPr>
                <w:rFonts w:eastAsia="Times New Roman" w:cs="Times New Roman"/>
                <w:color w:val="000000"/>
                <w:sz w:val="22"/>
                <w:lang w:eastAsia="pt-PT"/>
              </w:rPr>
              <w:t>Endividamento</w:t>
            </w:r>
            <w:r w:rsidR="00CA65C2">
              <w:rPr>
                <w:rFonts w:eastAsia="Times New Roman" w:cs="Times New Roman"/>
                <w:b w:val="0"/>
                <w:color w:val="000000"/>
                <w:sz w:val="22"/>
                <w:lang w:eastAsia="pt-PT"/>
              </w:rPr>
              <w:t xml:space="preserve"> (VEnd)</w:t>
            </w:r>
          </w:p>
        </w:tc>
        <w:tc>
          <w:tcPr>
            <w:tcW w:w="5245" w:type="dxa"/>
          </w:tcPr>
          <w:p w14:paraId="41B29ACC" w14:textId="237B3A6B" w:rsidR="00940A47" w:rsidRPr="00D8317E" w:rsidRDefault="00940A47" w:rsidP="00650920">
            <w:pPr>
              <w:tabs>
                <w:tab w:val="left" w:pos="1843"/>
              </w:tabs>
              <w:spacing w:before="60" w:after="60" w:line="276" w:lineRule="auto"/>
              <w:ind w:left="77" w:right="23" w:hanging="77"/>
              <w:cnfStyle w:val="000000000000" w:firstRow="0" w:lastRow="0" w:firstColumn="0" w:lastColumn="0" w:oddVBand="0" w:evenVBand="0" w:oddHBand="0" w:evenHBand="0" w:firstRowFirstColumn="0" w:firstRowLastColumn="0" w:lastRowFirstColumn="0" w:lastRowLastColumn="0"/>
              <w:rPr>
                <w:rFonts w:cs="Times New Roman"/>
                <w:color w:val="auto"/>
              </w:rPr>
            </w:pPr>
            <w:r w:rsidRPr="00D02392">
              <w:rPr>
                <w:rFonts w:eastAsia="Times New Roman" w:cs="Times New Roman"/>
                <w:color w:val="000000"/>
                <w:sz w:val="22"/>
                <w:lang w:eastAsia="pt-PT"/>
              </w:rPr>
              <w:t>INE</w:t>
            </w:r>
            <w:r>
              <w:rPr>
                <w:rFonts w:eastAsia="Times New Roman" w:cs="Times New Roman"/>
                <w:color w:val="000000"/>
                <w:sz w:val="22"/>
                <w:lang w:eastAsia="pt-PT"/>
              </w:rPr>
              <w:t xml:space="preserve"> – Instituto Nacional de Estatística </w:t>
            </w:r>
          </w:p>
        </w:tc>
      </w:tr>
      <w:tr w:rsidR="00940A47" w:rsidRPr="00CD0BE1" w14:paraId="356E83BA" w14:textId="77777777" w:rsidTr="00CF1D64">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3969" w:type="dxa"/>
            <w:shd w:val="clear" w:color="auto" w:fill="E7E6E6" w:themeFill="background2"/>
          </w:tcPr>
          <w:p w14:paraId="56F24735" w14:textId="6640ABA2" w:rsidR="00940A47" w:rsidRPr="009C561F" w:rsidRDefault="00203D7D" w:rsidP="00650920">
            <w:pPr>
              <w:tabs>
                <w:tab w:val="left" w:pos="1843"/>
              </w:tabs>
              <w:spacing w:before="60" w:after="60" w:line="276" w:lineRule="auto"/>
              <w:ind w:left="77" w:right="23" w:hanging="77"/>
              <w:rPr>
                <w:rFonts w:cs="Times New Roman"/>
                <w:b w:val="0"/>
              </w:rPr>
            </w:pPr>
            <w:r>
              <w:rPr>
                <w:rFonts w:eastAsia="Times New Roman" w:cs="Times New Roman"/>
                <w:color w:val="000000"/>
                <w:sz w:val="22"/>
                <w:lang w:eastAsia="pt-PT"/>
              </w:rPr>
              <w:t xml:space="preserve">Despesa Efetiva </w:t>
            </w:r>
            <w:r w:rsidRPr="00506E82">
              <w:rPr>
                <w:rFonts w:eastAsia="Times New Roman" w:cs="Times New Roman"/>
                <w:i/>
                <w:iCs/>
                <w:color w:val="000000"/>
                <w:sz w:val="22"/>
                <w:lang w:eastAsia="pt-PT"/>
              </w:rPr>
              <w:t>per capita</w:t>
            </w:r>
            <w:r w:rsidR="00C85FEE">
              <w:rPr>
                <w:rFonts w:eastAsia="Times New Roman" w:cs="Times New Roman"/>
                <w:b w:val="0"/>
                <w:color w:val="000000"/>
                <w:sz w:val="22"/>
                <w:lang w:eastAsia="pt-PT"/>
              </w:rPr>
              <w:t xml:space="preserve"> (</w:t>
            </w:r>
            <w:r w:rsidR="003F5A09">
              <w:rPr>
                <w:rFonts w:eastAsia="Times New Roman" w:cs="Times New Roman"/>
                <w:b w:val="0"/>
                <w:color w:val="000000"/>
                <w:sz w:val="22"/>
                <w:lang w:eastAsia="pt-PT"/>
              </w:rPr>
              <w:t>D</w:t>
            </w:r>
            <w:r>
              <w:rPr>
                <w:rFonts w:eastAsia="Times New Roman" w:cs="Times New Roman"/>
                <w:b w:val="0"/>
                <w:color w:val="000000"/>
                <w:sz w:val="22"/>
                <w:lang w:eastAsia="pt-PT"/>
              </w:rPr>
              <w:t>E</w:t>
            </w:r>
            <w:r w:rsidR="00C85FEE">
              <w:rPr>
                <w:rFonts w:eastAsia="Times New Roman" w:cs="Times New Roman"/>
                <w:b w:val="0"/>
                <w:color w:val="000000"/>
                <w:sz w:val="22"/>
                <w:lang w:eastAsia="pt-PT"/>
              </w:rPr>
              <w:t>)</w:t>
            </w:r>
          </w:p>
        </w:tc>
        <w:tc>
          <w:tcPr>
            <w:tcW w:w="5245" w:type="dxa"/>
            <w:shd w:val="clear" w:color="auto" w:fill="E7E6E6" w:themeFill="background2"/>
          </w:tcPr>
          <w:p w14:paraId="33174E53" w14:textId="344FAAFE" w:rsidR="00940A47" w:rsidRPr="00D8317E" w:rsidRDefault="00940A47" w:rsidP="00650920">
            <w:pPr>
              <w:tabs>
                <w:tab w:val="left" w:pos="1843"/>
              </w:tabs>
              <w:spacing w:before="60" w:after="60" w:line="276" w:lineRule="auto"/>
              <w:ind w:left="77" w:right="23" w:hanging="77"/>
              <w:cnfStyle w:val="000000100000" w:firstRow="0" w:lastRow="0" w:firstColumn="0" w:lastColumn="0" w:oddVBand="0" w:evenVBand="0" w:oddHBand="1" w:evenHBand="0" w:firstRowFirstColumn="0" w:firstRowLastColumn="0" w:lastRowFirstColumn="0" w:lastRowLastColumn="0"/>
              <w:rPr>
                <w:rFonts w:cs="Times New Roman"/>
                <w:color w:val="auto"/>
              </w:rPr>
            </w:pPr>
            <w:r w:rsidRPr="00D02392">
              <w:rPr>
                <w:rFonts w:eastAsia="Times New Roman" w:cs="Times New Roman"/>
                <w:color w:val="000000"/>
                <w:sz w:val="22"/>
                <w:lang w:eastAsia="pt-PT"/>
              </w:rPr>
              <w:t>PORDATA</w:t>
            </w:r>
          </w:p>
        </w:tc>
      </w:tr>
      <w:tr w:rsidR="00940A47" w:rsidRPr="00CD0BE1" w14:paraId="725A2729" w14:textId="77777777" w:rsidTr="00D63BE1">
        <w:trPr>
          <w:trHeight w:val="170"/>
        </w:trPr>
        <w:tc>
          <w:tcPr>
            <w:cnfStyle w:val="001000000000" w:firstRow="0" w:lastRow="0" w:firstColumn="1" w:lastColumn="0" w:oddVBand="0" w:evenVBand="0" w:oddHBand="0" w:evenHBand="0" w:firstRowFirstColumn="0" w:firstRowLastColumn="0" w:lastRowFirstColumn="0" w:lastRowLastColumn="0"/>
            <w:tcW w:w="3969" w:type="dxa"/>
          </w:tcPr>
          <w:p w14:paraId="274A5B84" w14:textId="73545C7F" w:rsidR="00940A47" w:rsidRPr="009C561F" w:rsidRDefault="009C561F" w:rsidP="00650920">
            <w:pPr>
              <w:tabs>
                <w:tab w:val="left" w:pos="1843"/>
              </w:tabs>
              <w:spacing w:before="60" w:after="60" w:line="276" w:lineRule="auto"/>
              <w:ind w:left="77" w:right="23" w:hanging="77"/>
              <w:rPr>
                <w:rFonts w:cs="Times New Roman"/>
                <w:b w:val="0"/>
              </w:rPr>
            </w:pPr>
            <w:r w:rsidRPr="009C561F">
              <w:rPr>
                <w:rFonts w:eastAsia="Times New Roman" w:cs="Times New Roman"/>
                <w:color w:val="auto"/>
                <w:sz w:val="22"/>
                <w:lang w:eastAsia="pt-PT"/>
              </w:rPr>
              <w:t>População</w:t>
            </w:r>
            <w:r w:rsidR="00940A47" w:rsidRPr="009C561F">
              <w:rPr>
                <w:rFonts w:eastAsia="Times New Roman" w:cs="Times New Roman"/>
                <w:color w:val="FF0000"/>
                <w:sz w:val="22"/>
                <w:lang w:eastAsia="pt-PT"/>
              </w:rPr>
              <w:t xml:space="preserve"> </w:t>
            </w:r>
            <w:r w:rsidR="00C20BC9">
              <w:rPr>
                <w:rFonts w:eastAsia="Times New Roman" w:cs="Times New Roman"/>
                <w:color w:val="000000"/>
                <w:sz w:val="22"/>
                <w:lang w:eastAsia="pt-PT"/>
              </w:rPr>
              <w:t xml:space="preserve">Residente </w:t>
            </w:r>
            <w:r w:rsidR="00C85FEE">
              <w:rPr>
                <w:rFonts w:eastAsia="Times New Roman" w:cs="Times New Roman"/>
                <w:b w:val="0"/>
                <w:color w:val="000000"/>
                <w:sz w:val="22"/>
                <w:lang w:eastAsia="pt-PT"/>
              </w:rPr>
              <w:t>(PR)</w:t>
            </w:r>
          </w:p>
        </w:tc>
        <w:tc>
          <w:tcPr>
            <w:tcW w:w="5245" w:type="dxa"/>
          </w:tcPr>
          <w:p w14:paraId="494A3B4D" w14:textId="202D9F53" w:rsidR="00940A47" w:rsidRPr="00D8317E" w:rsidRDefault="00940A47" w:rsidP="00650920">
            <w:pPr>
              <w:tabs>
                <w:tab w:val="left" w:pos="1843"/>
              </w:tabs>
              <w:spacing w:before="60" w:after="60" w:line="276" w:lineRule="auto"/>
              <w:ind w:left="77" w:right="23" w:hanging="77"/>
              <w:cnfStyle w:val="000000000000" w:firstRow="0" w:lastRow="0" w:firstColumn="0" w:lastColumn="0" w:oddVBand="0" w:evenVBand="0" w:oddHBand="0" w:evenHBand="0" w:firstRowFirstColumn="0" w:firstRowLastColumn="0" w:lastRowFirstColumn="0" w:lastRowLastColumn="0"/>
              <w:rPr>
                <w:rFonts w:cs="Times New Roman"/>
                <w:color w:val="auto"/>
              </w:rPr>
            </w:pPr>
            <w:r w:rsidRPr="00D02392">
              <w:rPr>
                <w:rFonts w:eastAsia="Times New Roman" w:cs="Times New Roman"/>
                <w:color w:val="000000"/>
                <w:sz w:val="22"/>
                <w:lang w:eastAsia="pt-PT"/>
              </w:rPr>
              <w:t>INE</w:t>
            </w:r>
            <w:r w:rsidR="00FE52D0">
              <w:rPr>
                <w:rFonts w:eastAsia="Times New Roman" w:cs="Times New Roman"/>
                <w:color w:val="000000"/>
                <w:sz w:val="22"/>
                <w:lang w:eastAsia="pt-PT"/>
              </w:rPr>
              <w:t xml:space="preserve"> - Instituto Nacional de Estatística</w:t>
            </w:r>
          </w:p>
        </w:tc>
      </w:tr>
      <w:tr w:rsidR="00940A47" w:rsidRPr="00CD0BE1" w14:paraId="34241A42" w14:textId="77777777" w:rsidTr="00CF1D64">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3969" w:type="dxa"/>
            <w:shd w:val="clear" w:color="auto" w:fill="E7E6E6" w:themeFill="background2"/>
          </w:tcPr>
          <w:p w14:paraId="6FD5A06D" w14:textId="5ED8E728" w:rsidR="00940A47" w:rsidRPr="009C561F" w:rsidRDefault="0044016B" w:rsidP="00650920">
            <w:pPr>
              <w:tabs>
                <w:tab w:val="left" w:pos="1843"/>
              </w:tabs>
              <w:spacing w:before="60" w:after="60" w:line="276" w:lineRule="auto"/>
              <w:ind w:left="77" w:right="23" w:hanging="77"/>
              <w:rPr>
                <w:rFonts w:cs="Times New Roman"/>
                <w:b w:val="0"/>
              </w:rPr>
            </w:pPr>
            <w:r>
              <w:rPr>
                <w:rFonts w:eastAsia="Times New Roman" w:cs="Times New Roman"/>
                <w:color w:val="auto"/>
                <w:sz w:val="22"/>
                <w:lang w:eastAsia="pt-PT"/>
              </w:rPr>
              <w:t xml:space="preserve">Taxa de </w:t>
            </w:r>
            <w:r w:rsidR="009C561F" w:rsidRPr="009C561F">
              <w:rPr>
                <w:rFonts w:eastAsia="Times New Roman" w:cs="Times New Roman"/>
                <w:color w:val="auto"/>
                <w:sz w:val="22"/>
                <w:lang w:eastAsia="pt-PT"/>
              </w:rPr>
              <w:t>População Idosa</w:t>
            </w:r>
            <w:r w:rsidR="00940A47" w:rsidRPr="009C561F">
              <w:rPr>
                <w:rFonts w:eastAsia="Times New Roman" w:cs="Times New Roman"/>
                <w:color w:val="auto"/>
                <w:sz w:val="22"/>
                <w:lang w:eastAsia="pt-PT"/>
              </w:rPr>
              <w:t xml:space="preserve"> </w:t>
            </w:r>
            <w:r w:rsidR="009C561F" w:rsidRPr="001D58A2">
              <w:rPr>
                <w:rFonts w:eastAsia="Times New Roman" w:cs="Times New Roman"/>
                <w:b w:val="0"/>
                <w:color w:val="auto"/>
                <w:sz w:val="22"/>
                <w:lang w:eastAsia="pt-PT"/>
              </w:rPr>
              <w:t>(</w:t>
            </w:r>
            <w:proofErr w:type="spellStart"/>
            <w:r w:rsidR="009C561F" w:rsidRPr="001D58A2">
              <w:rPr>
                <w:rFonts w:eastAsia="Times New Roman" w:cs="Times New Roman"/>
                <w:b w:val="0"/>
                <w:color w:val="auto"/>
                <w:sz w:val="22"/>
                <w:lang w:eastAsia="pt-PT"/>
              </w:rPr>
              <w:t>TxPI</w:t>
            </w:r>
            <w:proofErr w:type="spellEnd"/>
            <w:r w:rsidR="009C561F" w:rsidRPr="001D58A2">
              <w:rPr>
                <w:rFonts w:eastAsia="Times New Roman" w:cs="Times New Roman"/>
                <w:b w:val="0"/>
                <w:color w:val="auto"/>
                <w:sz w:val="22"/>
                <w:lang w:eastAsia="pt-PT"/>
              </w:rPr>
              <w:t>)</w:t>
            </w:r>
          </w:p>
        </w:tc>
        <w:tc>
          <w:tcPr>
            <w:tcW w:w="5245" w:type="dxa"/>
            <w:shd w:val="clear" w:color="auto" w:fill="E7E6E6" w:themeFill="background2"/>
          </w:tcPr>
          <w:p w14:paraId="35568C06" w14:textId="536C5EE0" w:rsidR="00940A47" w:rsidRPr="00D8317E" w:rsidRDefault="00940A47" w:rsidP="00650920">
            <w:pPr>
              <w:tabs>
                <w:tab w:val="left" w:pos="1843"/>
              </w:tabs>
              <w:spacing w:before="60" w:after="60" w:line="276" w:lineRule="auto"/>
              <w:ind w:left="77" w:right="23" w:hanging="77"/>
              <w:cnfStyle w:val="000000100000" w:firstRow="0" w:lastRow="0" w:firstColumn="0" w:lastColumn="0" w:oddVBand="0" w:evenVBand="0" w:oddHBand="1" w:evenHBand="0" w:firstRowFirstColumn="0" w:firstRowLastColumn="0" w:lastRowFirstColumn="0" w:lastRowLastColumn="0"/>
              <w:rPr>
                <w:rFonts w:cs="Times New Roman"/>
                <w:color w:val="auto"/>
              </w:rPr>
            </w:pPr>
            <w:r w:rsidRPr="00D02392">
              <w:rPr>
                <w:rFonts w:eastAsia="Times New Roman" w:cs="Times New Roman"/>
                <w:color w:val="000000"/>
                <w:sz w:val="22"/>
                <w:lang w:eastAsia="pt-PT"/>
              </w:rPr>
              <w:t>PORDATA</w:t>
            </w:r>
          </w:p>
        </w:tc>
      </w:tr>
      <w:tr w:rsidR="0044016B" w:rsidRPr="00CD0BE1" w14:paraId="02B1EDA5" w14:textId="77777777" w:rsidTr="00D63BE1">
        <w:trPr>
          <w:trHeight w:val="170"/>
        </w:trPr>
        <w:tc>
          <w:tcPr>
            <w:cnfStyle w:val="001000000000" w:firstRow="0" w:lastRow="0" w:firstColumn="1" w:lastColumn="0" w:oddVBand="0" w:evenVBand="0" w:oddHBand="0" w:evenHBand="0" w:firstRowFirstColumn="0" w:firstRowLastColumn="0" w:lastRowFirstColumn="0" w:lastRowLastColumn="0"/>
            <w:tcW w:w="3969" w:type="dxa"/>
          </w:tcPr>
          <w:p w14:paraId="2B8627C2" w14:textId="7EF68464" w:rsidR="0044016B" w:rsidRDefault="0044016B" w:rsidP="00650920">
            <w:pPr>
              <w:tabs>
                <w:tab w:val="left" w:pos="1843"/>
              </w:tabs>
              <w:spacing w:before="60" w:after="60" w:line="276" w:lineRule="auto"/>
              <w:ind w:left="77" w:right="23" w:hanging="77"/>
              <w:rPr>
                <w:rFonts w:eastAsia="Times New Roman" w:cs="Times New Roman"/>
                <w:sz w:val="22"/>
                <w:lang w:eastAsia="pt-PT"/>
              </w:rPr>
            </w:pPr>
            <w:r w:rsidRPr="0044016B">
              <w:rPr>
                <w:rFonts w:eastAsia="Times New Roman" w:cs="Times New Roman"/>
                <w:color w:val="auto"/>
                <w:sz w:val="22"/>
                <w:lang w:eastAsia="pt-PT"/>
              </w:rPr>
              <w:t xml:space="preserve">Taxa de Desemprego </w:t>
            </w:r>
            <w:r w:rsidRPr="001D58A2">
              <w:rPr>
                <w:rFonts w:eastAsia="Times New Roman" w:cs="Times New Roman"/>
                <w:b w:val="0"/>
                <w:color w:val="auto"/>
                <w:sz w:val="22"/>
                <w:lang w:eastAsia="pt-PT"/>
              </w:rPr>
              <w:t>(</w:t>
            </w:r>
            <w:proofErr w:type="spellStart"/>
            <w:r w:rsidRPr="001D58A2">
              <w:rPr>
                <w:rFonts w:eastAsia="Times New Roman" w:cs="Times New Roman"/>
                <w:b w:val="0"/>
                <w:color w:val="auto"/>
                <w:sz w:val="22"/>
                <w:lang w:eastAsia="pt-PT"/>
              </w:rPr>
              <w:t>TxD</w:t>
            </w:r>
            <w:proofErr w:type="spellEnd"/>
            <w:r w:rsidRPr="001D58A2">
              <w:rPr>
                <w:rFonts w:eastAsia="Times New Roman" w:cs="Times New Roman"/>
                <w:b w:val="0"/>
                <w:color w:val="auto"/>
                <w:sz w:val="22"/>
                <w:lang w:eastAsia="pt-PT"/>
              </w:rPr>
              <w:t>)</w:t>
            </w:r>
          </w:p>
        </w:tc>
        <w:tc>
          <w:tcPr>
            <w:tcW w:w="5245" w:type="dxa"/>
          </w:tcPr>
          <w:p w14:paraId="54B018BD" w14:textId="4BE17E21" w:rsidR="0044016B" w:rsidRPr="00D02392" w:rsidRDefault="00174012" w:rsidP="00650920">
            <w:pPr>
              <w:tabs>
                <w:tab w:val="left" w:pos="1843"/>
              </w:tabs>
              <w:spacing w:before="60" w:after="60" w:line="276" w:lineRule="auto"/>
              <w:ind w:left="77" w:right="23" w:hanging="77"/>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Pr>
                <w:rFonts w:eastAsia="Times New Roman" w:cs="Times New Roman"/>
                <w:color w:val="000000"/>
                <w:sz w:val="22"/>
                <w:lang w:eastAsia="pt-PT"/>
              </w:rPr>
              <w:t>INE – Instituto Nacional de Estatística</w:t>
            </w:r>
          </w:p>
        </w:tc>
      </w:tr>
      <w:tr w:rsidR="00940A47" w:rsidRPr="00CD0BE1" w14:paraId="09C73638" w14:textId="77777777" w:rsidTr="00CF1D64">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3969" w:type="dxa"/>
            <w:tcBorders>
              <w:bottom w:val="double" w:sz="4" w:space="0" w:color="auto"/>
            </w:tcBorders>
            <w:shd w:val="clear" w:color="auto" w:fill="E7E6E6" w:themeFill="background2"/>
          </w:tcPr>
          <w:p w14:paraId="1A24064E" w14:textId="058E2B53" w:rsidR="00940A47" w:rsidRPr="009C561F" w:rsidRDefault="003F5A09" w:rsidP="00650920">
            <w:pPr>
              <w:tabs>
                <w:tab w:val="left" w:pos="1843"/>
              </w:tabs>
              <w:spacing w:before="60" w:after="60" w:line="276" w:lineRule="auto"/>
              <w:ind w:left="77" w:right="23" w:hanging="77"/>
              <w:rPr>
                <w:rFonts w:cs="Times New Roman"/>
                <w:b w:val="0"/>
              </w:rPr>
            </w:pPr>
            <w:r>
              <w:rPr>
                <w:rFonts w:eastAsia="Times New Roman" w:cs="Times New Roman"/>
                <w:color w:val="000000"/>
                <w:sz w:val="22"/>
                <w:lang w:eastAsia="pt-PT"/>
              </w:rPr>
              <w:t xml:space="preserve">Percentagem de Abstenção </w:t>
            </w:r>
            <w:r w:rsidRPr="001D58A2">
              <w:rPr>
                <w:rFonts w:eastAsia="Times New Roman" w:cs="Times New Roman"/>
                <w:b w:val="0"/>
                <w:color w:val="000000"/>
                <w:sz w:val="22"/>
                <w:lang w:eastAsia="pt-PT"/>
              </w:rPr>
              <w:t>(PA)</w:t>
            </w:r>
          </w:p>
        </w:tc>
        <w:tc>
          <w:tcPr>
            <w:tcW w:w="5245" w:type="dxa"/>
            <w:tcBorders>
              <w:bottom w:val="double" w:sz="4" w:space="0" w:color="auto"/>
            </w:tcBorders>
            <w:shd w:val="clear" w:color="auto" w:fill="E7E6E6" w:themeFill="background2"/>
          </w:tcPr>
          <w:p w14:paraId="5506E2E9" w14:textId="66AA6FE9" w:rsidR="00940A47" w:rsidRPr="00D8317E" w:rsidRDefault="00940A47" w:rsidP="00650920">
            <w:pPr>
              <w:tabs>
                <w:tab w:val="left" w:pos="1843"/>
              </w:tabs>
              <w:spacing w:before="60" w:after="60" w:line="276" w:lineRule="auto"/>
              <w:ind w:left="77" w:right="23" w:hanging="77"/>
              <w:cnfStyle w:val="000000100000" w:firstRow="0" w:lastRow="0" w:firstColumn="0" w:lastColumn="0" w:oddVBand="0" w:evenVBand="0" w:oddHBand="1" w:evenHBand="0" w:firstRowFirstColumn="0" w:firstRowLastColumn="0" w:lastRowFirstColumn="0" w:lastRowLastColumn="0"/>
              <w:rPr>
                <w:rFonts w:cs="Times New Roman"/>
                <w:color w:val="auto"/>
              </w:rPr>
            </w:pPr>
            <w:r w:rsidRPr="00D02392">
              <w:rPr>
                <w:rFonts w:eastAsia="Times New Roman" w:cs="Times New Roman"/>
                <w:color w:val="000000"/>
                <w:sz w:val="22"/>
                <w:lang w:eastAsia="pt-PT"/>
              </w:rPr>
              <w:t>PORDATA</w:t>
            </w:r>
          </w:p>
        </w:tc>
      </w:tr>
    </w:tbl>
    <w:p w14:paraId="698C1710" w14:textId="7FE50DB8" w:rsidR="00BA62F8" w:rsidRDefault="00940A47" w:rsidP="00B14AAE">
      <w:pPr>
        <w:spacing w:before="240" w:line="360" w:lineRule="auto"/>
        <w:jc w:val="both"/>
        <w:rPr>
          <w:rFonts w:cs="Times New Roman"/>
        </w:rPr>
      </w:pPr>
      <w:r>
        <w:rPr>
          <w:rFonts w:cs="Times New Roman"/>
        </w:rPr>
        <w:t>Como se pode constatar a maioria das variáveis</w:t>
      </w:r>
      <w:r w:rsidR="00BA62F8">
        <w:rPr>
          <w:rFonts w:cs="Times New Roman"/>
        </w:rPr>
        <w:t xml:space="preserve"> foi recolhida do sítio PORDATA</w:t>
      </w:r>
      <w:r>
        <w:rPr>
          <w:rFonts w:cs="Times New Roman"/>
        </w:rPr>
        <w:t xml:space="preserve"> </w:t>
      </w:r>
      <w:r w:rsidR="00BA62F8">
        <w:rPr>
          <w:rFonts w:cs="Times New Roman"/>
        </w:rPr>
        <w:t xml:space="preserve">que é um espaço </w:t>
      </w:r>
      <w:r w:rsidR="00FA49BF">
        <w:rPr>
          <w:rFonts w:cs="Times New Roman"/>
        </w:rPr>
        <w:t xml:space="preserve">onde estão disponíveis informações relativas a </w:t>
      </w:r>
      <w:r w:rsidR="00EF640A">
        <w:rPr>
          <w:rFonts w:cs="Times New Roman"/>
        </w:rPr>
        <w:t xml:space="preserve">países </w:t>
      </w:r>
      <w:proofErr w:type="gramStart"/>
      <w:r w:rsidR="00FA49BF">
        <w:rPr>
          <w:rFonts w:cs="Times New Roman"/>
        </w:rPr>
        <w:t>Europ</w:t>
      </w:r>
      <w:r w:rsidR="00EF640A">
        <w:rPr>
          <w:rFonts w:cs="Times New Roman"/>
        </w:rPr>
        <w:t>eus</w:t>
      </w:r>
      <w:proofErr w:type="gramEnd"/>
      <w:r w:rsidR="00FA49BF">
        <w:rPr>
          <w:rFonts w:cs="Times New Roman"/>
        </w:rPr>
        <w:t>, através de bases de dados, sobre vários temas, como a população, educação, entre outros</w:t>
      </w:r>
      <w:r w:rsidR="00BA62F8" w:rsidRPr="00FA49BF">
        <w:rPr>
          <w:rFonts w:cs="Times New Roman"/>
        </w:rPr>
        <w:t>.</w:t>
      </w:r>
    </w:p>
    <w:p w14:paraId="127E7FB5" w14:textId="2B236761" w:rsidR="00515E34" w:rsidRDefault="005A0C54" w:rsidP="00BA62F8">
      <w:pPr>
        <w:spacing w:before="120" w:line="360" w:lineRule="auto"/>
        <w:jc w:val="both"/>
        <w:rPr>
          <w:rFonts w:cs="Times New Roman"/>
        </w:rPr>
      </w:pPr>
      <w:r>
        <w:rPr>
          <w:rFonts w:cs="Times New Roman"/>
        </w:rPr>
        <w:t xml:space="preserve">O índice de transparência municipal é disponibilizado no </w:t>
      </w:r>
      <w:r w:rsidR="0061399D">
        <w:rPr>
          <w:rFonts w:cs="Times New Roman"/>
        </w:rPr>
        <w:t>sítio</w:t>
      </w:r>
      <w:r>
        <w:rPr>
          <w:rFonts w:cs="Times New Roman"/>
        </w:rPr>
        <w:t xml:space="preserve"> da TIAC</w:t>
      </w:r>
      <w:r w:rsidR="00CB0DF2">
        <w:rPr>
          <w:rFonts w:cs="Times New Roman"/>
        </w:rPr>
        <w:t>, Transparência e Integridade – Associação Cívica, só estando</w:t>
      </w:r>
      <w:r>
        <w:rPr>
          <w:rFonts w:cs="Times New Roman"/>
        </w:rPr>
        <w:t xml:space="preserve"> disponível para os anos de 2013 a 2017, motivo pelo qual o este es</w:t>
      </w:r>
      <w:r w:rsidR="00CB0DF2">
        <w:rPr>
          <w:rFonts w:cs="Times New Roman"/>
        </w:rPr>
        <w:t>tudo tem por base esses anos nesta aná</w:t>
      </w:r>
      <w:r>
        <w:rPr>
          <w:rFonts w:cs="Times New Roman"/>
        </w:rPr>
        <w:t>lise. Para todas as variáveis incluídas neste trabalho os dad</w:t>
      </w:r>
      <w:r w:rsidR="00515E34">
        <w:rPr>
          <w:rFonts w:cs="Times New Roman"/>
        </w:rPr>
        <w:t xml:space="preserve">os extraídos referem-se aos anos 2013 a 2017, ou seja, </w:t>
      </w:r>
      <w:r>
        <w:rPr>
          <w:rFonts w:cs="Times New Roman"/>
        </w:rPr>
        <w:t>a 5 anos de</w:t>
      </w:r>
      <w:r w:rsidR="00515E34">
        <w:rPr>
          <w:rFonts w:cs="Times New Roman"/>
        </w:rPr>
        <w:t xml:space="preserve"> estudo.</w:t>
      </w:r>
    </w:p>
    <w:p w14:paraId="4F7321DA" w14:textId="15523598" w:rsidR="00B90A88" w:rsidRDefault="00620431" w:rsidP="00B90A88">
      <w:pPr>
        <w:pStyle w:val="Ttulo2"/>
        <w:numPr>
          <w:ilvl w:val="1"/>
          <w:numId w:val="2"/>
        </w:numPr>
        <w:spacing w:before="360" w:after="240" w:line="360" w:lineRule="auto"/>
        <w:ind w:left="1077"/>
      </w:pPr>
      <w:bookmarkStart w:id="69" w:name="_Toc66624208"/>
      <w:r>
        <w:t xml:space="preserve">Hipóteses e </w:t>
      </w:r>
      <w:r w:rsidR="00AA641F">
        <w:t>m</w:t>
      </w:r>
      <w:r w:rsidR="00E062DB">
        <w:t>etodologia</w:t>
      </w:r>
      <w:bookmarkEnd w:id="69"/>
      <w:r w:rsidR="00E062DB">
        <w:t xml:space="preserve"> </w:t>
      </w:r>
    </w:p>
    <w:p w14:paraId="6C408B59" w14:textId="4080C954" w:rsidR="004C34C3" w:rsidRDefault="004C34C3" w:rsidP="00620431">
      <w:pPr>
        <w:spacing w:line="360" w:lineRule="auto"/>
        <w:jc w:val="both"/>
        <w:rPr>
          <w:rFonts w:cs="Times New Roman"/>
        </w:rPr>
      </w:pPr>
      <w:bookmarkStart w:id="70" w:name="_Hlk56259487"/>
      <w:r w:rsidRPr="004C34C3">
        <w:rPr>
          <w:rFonts w:cs="Times New Roman"/>
        </w:rPr>
        <w:t xml:space="preserve">As variáveis utilizadas encontram-se organizadas, de acordo com a </w:t>
      </w:r>
      <w:r w:rsidR="00617F06">
        <w:rPr>
          <w:rFonts w:cs="Times New Roman"/>
        </w:rPr>
        <w:t>r</w:t>
      </w:r>
      <w:r w:rsidRPr="004C34C3">
        <w:rPr>
          <w:rFonts w:cs="Times New Roman"/>
        </w:rPr>
        <w:t>e</w:t>
      </w:r>
      <w:r w:rsidR="00617F06">
        <w:rPr>
          <w:rFonts w:cs="Times New Roman"/>
        </w:rPr>
        <w:t>visão de l</w:t>
      </w:r>
      <w:r w:rsidRPr="004C34C3">
        <w:rPr>
          <w:rFonts w:cs="Times New Roman"/>
        </w:rPr>
        <w:t xml:space="preserve">iteratura, em cinco fatores: político, desempenho e dimensão orçamental, sociodemográfico, situação </w:t>
      </w:r>
      <w:r w:rsidRPr="004C34C3">
        <w:rPr>
          <w:rFonts w:cs="Times New Roman"/>
        </w:rPr>
        <w:lastRenderedPageBreak/>
        <w:t>económica e en</w:t>
      </w:r>
      <w:r w:rsidRPr="007051A5">
        <w:rPr>
          <w:rFonts w:cs="Times New Roman"/>
        </w:rPr>
        <w:t>volvimento político, que serviram de base à formulação das hipóteses que seguidamente se apresentam</w:t>
      </w:r>
      <w:bookmarkEnd w:id="70"/>
      <w:r w:rsidRPr="007051A5">
        <w:rPr>
          <w:rFonts w:cs="Times New Roman"/>
        </w:rPr>
        <w:t>.</w:t>
      </w:r>
    </w:p>
    <w:p w14:paraId="64BC2B20" w14:textId="787F71DB" w:rsidR="00620431" w:rsidRPr="00620431" w:rsidRDefault="00620431" w:rsidP="00620431">
      <w:pPr>
        <w:spacing w:line="360" w:lineRule="auto"/>
        <w:jc w:val="both"/>
        <w:rPr>
          <w:rFonts w:cs="Times New Roman"/>
        </w:rPr>
      </w:pPr>
      <w:r w:rsidRPr="00620431">
        <w:rPr>
          <w:rFonts w:cs="Times New Roman"/>
        </w:rPr>
        <w:t>Segundo a teoria da agência os formuladores e gestores políticos não apresentam os mesmos interesses</w:t>
      </w:r>
      <w:r w:rsidR="005B55BD">
        <w:rPr>
          <w:rFonts w:cs="Times New Roman"/>
        </w:rPr>
        <w:t xml:space="preserve"> relativ</w:t>
      </w:r>
      <w:r w:rsidR="006D0635">
        <w:rPr>
          <w:rFonts w:cs="Times New Roman"/>
        </w:rPr>
        <w:t>amente</w:t>
      </w:r>
      <w:r w:rsidR="005B55BD">
        <w:rPr>
          <w:rFonts w:cs="Times New Roman"/>
        </w:rPr>
        <w:t xml:space="preserve"> ao nível de transparência </w:t>
      </w:r>
      <w:r w:rsidRPr="00620431">
        <w:rPr>
          <w:rFonts w:cs="Times New Roman"/>
        </w:rPr>
        <w:t>que os cidadãos</w:t>
      </w:r>
      <w:r w:rsidR="003A579C">
        <w:rPr>
          <w:rFonts w:cs="Times New Roman"/>
        </w:rPr>
        <w:t>,</w:t>
      </w:r>
      <w:r w:rsidR="005B55BD">
        <w:rPr>
          <w:rFonts w:cs="Times New Roman"/>
        </w:rPr>
        <w:t xml:space="preserve"> devendo, por isso, </w:t>
      </w:r>
      <w:r w:rsidRPr="00620431">
        <w:rPr>
          <w:rFonts w:cs="Times New Roman"/>
        </w:rPr>
        <w:t xml:space="preserve">ser responsabilizados pelas suas </w:t>
      </w:r>
      <w:r w:rsidR="005B55BD">
        <w:rPr>
          <w:rFonts w:cs="Times New Roman"/>
        </w:rPr>
        <w:t>opções</w:t>
      </w:r>
      <w:r w:rsidRPr="00620431">
        <w:rPr>
          <w:rFonts w:cs="Times New Roman"/>
        </w:rPr>
        <w:t>. Nesta sequência,</w:t>
      </w:r>
      <w:r w:rsidR="00914954">
        <w:rPr>
          <w:rFonts w:cs="Times New Roman"/>
        </w:rPr>
        <w:t xml:space="preserve"> a ideologia do partido político e a </w:t>
      </w:r>
      <w:r w:rsidR="007051A5">
        <w:rPr>
          <w:rFonts w:cs="Times New Roman"/>
        </w:rPr>
        <w:t xml:space="preserve">competição </w:t>
      </w:r>
      <w:r w:rsidR="00914954">
        <w:rPr>
          <w:rFonts w:cs="Times New Roman"/>
        </w:rPr>
        <w:t xml:space="preserve">política são apresentadas como potenciais </w:t>
      </w:r>
      <w:r w:rsidR="005B55BD">
        <w:rPr>
          <w:rFonts w:cs="Times New Roman"/>
        </w:rPr>
        <w:t>determinantes</w:t>
      </w:r>
      <w:r w:rsidR="00914954">
        <w:rPr>
          <w:rFonts w:cs="Times New Roman"/>
        </w:rPr>
        <w:t xml:space="preserve"> do nível de transparência municipal e estão enquadradas no fator político segundo a </w:t>
      </w:r>
      <w:r w:rsidR="005B55BD">
        <w:rPr>
          <w:rFonts w:cs="Times New Roman"/>
        </w:rPr>
        <w:t>maioria dos estudos e de acordo com a revisão da literatura</w:t>
      </w:r>
      <w:r w:rsidR="00914954">
        <w:rPr>
          <w:rFonts w:cs="Times New Roman"/>
        </w:rPr>
        <w:t>.</w:t>
      </w:r>
      <w:r w:rsidRPr="00620431">
        <w:rPr>
          <w:rFonts w:cs="Times New Roman"/>
        </w:rPr>
        <w:t xml:space="preserve"> </w:t>
      </w:r>
    </w:p>
    <w:p w14:paraId="493363BB" w14:textId="563950A8" w:rsidR="00DC73A4" w:rsidRDefault="005B55BD" w:rsidP="00620431">
      <w:pPr>
        <w:spacing w:line="360" w:lineRule="auto"/>
        <w:jc w:val="both"/>
        <w:rPr>
          <w:rFonts w:cs="Times New Roman"/>
        </w:rPr>
      </w:pPr>
      <w:r>
        <w:rPr>
          <w:rFonts w:cs="Times New Roman"/>
        </w:rPr>
        <w:t xml:space="preserve">A este respeito, </w:t>
      </w:r>
      <w:r w:rsidR="00620431" w:rsidRPr="00620431">
        <w:rPr>
          <w:rFonts w:cs="Times New Roman"/>
        </w:rPr>
        <w:t xml:space="preserve">Piotrowski e Van Ryzin (2007) baseados em Ferejohn (1999) referenciam a ideologia política como uma determinante do </w:t>
      </w:r>
      <w:r w:rsidR="00C20BC9">
        <w:rPr>
          <w:rFonts w:cs="Times New Roman"/>
        </w:rPr>
        <w:t>ITM</w:t>
      </w:r>
      <w:r w:rsidR="00620431" w:rsidRPr="00620431">
        <w:rPr>
          <w:rFonts w:cs="Times New Roman"/>
        </w:rPr>
        <w:t xml:space="preserve">. Ferejohn (1999) afirma que se o objetivo do partido político, neste caso, governo de esquerda, for a expansão do setor público, o mesmo deverá implementar níveis mais altos de transparência de forma a que os eleitores permitam que o governo controle os seus recursos. Guillamón </w:t>
      </w:r>
      <w:r w:rsidR="00620431" w:rsidRPr="00C20BC9">
        <w:rPr>
          <w:rFonts w:cs="Times New Roman"/>
          <w:i/>
          <w:iCs/>
        </w:rPr>
        <w:t>et al</w:t>
      </w:r>
      <w:r w:rsidR="00DC73A4">
        <w:rPr>
          <w:rFonts w:cs="Times New Roman"/>
        </w:rPr>
        <w:t>.</w:t>
      </w:r>
      <w:r w:rsidR="00620431" w:rsidRPr="00620431">
        <w:rPr>
          <w:rFonts w:cs="Times New Roman"/>
        </w:rPr>
        <w:t xml:space="preserve"> (2011) vem, através de um estudo, confirmar este modelo, argumentando que os partidos de esquerda são mais transparentes que os de di</w:t>
      </w:r>
      <w:r>
        <w:rPr>
          <w:rFonts w:cs="Times New Roman"/>
        </w:rPr>
        <w:t>reita por serem motivados pela</w:t>
      </w:r>
      <w:r w:rsidR="00620431" w:rsidRPr="00620431">
        <w:rPr>
          <w:rFonts w:cs="Times New Roman"/>
        </w:rPr>
        <w:t xml:space="preserve"> ambição de expandir o setor público. Este autor acrescenta, ainda, que os governos de esquerda </w:t>
      </w:r>
      <w:r w:rsidR="00DC73A4" w:rsidRPr="00620431">
        <w:rPr>
          <w:rFonts w:cs="Times New Roman"/>
        </w:rPr>
        <w:t>se mostram</w:t>
      </w:r>
      <w:r w:rsidR="00620431" w:rsidRPr="00620431">
        <w:rPr>
          <w:rFonts w:cs="Times New Roman"/>
        </w:rPr>
        <w:t xml:space="preserve"> mais preocupados em facilitar o acesso à informação financeira. Desta forma, formula-se a primeira hipótese em estudo: </w:t>
      </w:r>
    </w:p>
    <w:p w14:paraId="21CF4CB5" w14:textId="383A24CA" w:rsidR="00620431" w:rsidRPr="00620431" w:rsidRDefault="00DC73A4" w:rsidP="00620431">
      <w:pPr>
        <w:spacing w:line="360" w:lineRule="auto"/>
        <w:jc w:val="both"/>
        <w:rPr>
          <w:rFonts w:cs="Times New Roman"/>
        </w:rPr>
      </w:pPr>
      <w:r>
        <w:rPr>
          <w:rFonts w:cs="Times New Roman"/>
        </w:rPr>
        <w:t>H1: O</w:t>
      </w:r>
      <w:r w:rsidR="00F23EA6">
        <w:rPr>
          <w:rFonts w:cs="Times New Roman"/>
        </w:rPr>
        <w:t xml:space="preserve"> </w:t>
      </w:r>
      <w:r w:rsidR="00620431" w:rsidRPr="0044016B">
        <w:rPr>
          <w:rFonts w:cs="Times New Roman"/>
        </w:rPr>
        <w:t xml:space="preserve">nível </w:t>
      </w:r>
      <w:r w:rsidR="00620431" w:rsidRPr="00620431">
        <w:rPr>
          <w:rFonts w:cs="Times New Roman"/>
        </w:rPr>
        <w:t>de transparência aumenta se a ideologia de partido for de esquerda.</w:t>
      </w:r>
    </w:p>
    <w:p w14:paraId="73E1A2E7" w14:textId="77777777" w:rsidR="008018AB" w:rsidRDefault="005B55BD" w:rsidP="00620431">
      <w:pPr>
        <w:spacing w:line="360" w:lineRule="auto"/>
        <w:jc w:val="both"/>
        <w:rPr>
          <w:rFonts w:cs="Times New Roman"/>
        </w:rPr>
      </w:pPr>
      <w:r>
        <w:rPr>
          <w:rFonts w:cs="Times New Roman"/>
        </w:rPr>
        <w:t xml:space="preserve">Em relação à competição política, </w:t>
      </w:r>
      <w:r w:rsidR="00620431" w:rsidRPr="00620431">
        <w:rPr>
          <w:rFonts w:cs="Times New Roman"/>
        </w:rPr>
        <w:t xml:space="preserve">Alcaraz-Quiles </w:t>
      </w:r>
      <w:r w:rsidR="00620431" w:rsidRPr="00620431">
        <w:rPr>
          <w:rFonts w:cs="Times New Roman"/>
          <w:i/>
        </w:rPr>
        <w:t>et al.</w:t>
      </w:r>
      <w:r w:rsidR="00620431" w:rsidRPr="00620431">
        <w:rPr>
          <w:rFonts w:cs="Times New Roman"/>
        </w:rPr>
        <w:t xml:space="preserve"> (2014), baseado em </w:t>
      </w:r>
      <w:proofErr w:type="spellStart"/>
      <w:r w:rsidR="00620431" w:rsidRPr="00620431">
        <w:rPr>
          <w:rFonts w:cs="Times New Roman"/>
        </w:rPr>
        <w:t>Roubini</w:t>
      </w:r>
      <w:proofErr w:type="spellEnd"/>
      <w:r w:rsidR="00620431" w:rsidRPr="00620431">
        <w:rPr>
          <w:rFonts w:cs="Times New Roman"/>
        </w:rPr>
        <w:t xml:space="preserve"> e </w:t>
      </w:r>
      <w:proofErr w:type="spellStart"/>
      <w:r w:rsidR="00620431" w:rsidRPr="00620431">
        <w:rPr>
          <w:rFonts w:cs="Times New Roman"/>
        </w:rPr>
        <w:t>Sachs</w:t>
      </w:r>
      <w:proofErr w:type="spellEnd"/>
      <w:r w:rsidR="00620431" w:rsidRPr="00620431">
        <w:rPr>
          <w:rFonts w:cs="Times New Roman"/>
        </w:rPr>
        <w:t xml:space="preserve"> (1989), argumenta que o nível de transparência num município pode estar relacionado com o modelo do governo, isto é, governos de coligação são mais pressionados para serem transparentes do que governos com maioria absoluta. Deste modo, em governos onde existe maior competição política, provavelmente, existirá maior motivação governamental para publicação de informações sobre tomadas de decisões e ações realizadas promovendo um maior nível de transparência.</w:t>
      </w:r>
      <w:r>
        <w:rPr>
          <w:rFonts w:cs="Times New Roman"/>
        </w:rPr>
        <w:t xml:space="preserve"> Em linha com estes estudos, formula-se</w:t>
      </w:r>
      <w:r w:rsidR="00620431" w:rsidRPr="00620431">
        <w:rPr>
          <w:rFonts w:cs="Times New Roman"/>
        </w:rPr>
        <w:t xml:space="preserve"> a segunda hipótese: </w:t>
      </w:r>
    </w:p>
    <w:p w14:paraId="28BE8CAE" w14:textId="0900D3B0" w:rsidR="00620431" w:rsidRPr="00620431" w:rsidRDefault="003378D5" w:rsidP="00620431">
      <w:pPr>
        <w:spacing w:line="360" w:lineRule="auto"/>
        <w:jc w:val="both"/>
        <w:rPr>
          <w:rFonts w:cs="Times New Roman"/>
        </w:rPr>
      </w:pPr>
      <w:r>
        <w:rPr>
          <w:rFonts w:cs="Times New Roman"/>
        </w:rPr>
        <w:t xml:space="preserve">H2: </w:t>
      </w:r>
      <w:r w:rsidR="00620431" w:rsidRPr="00620431">
        <w:rPr>
          <w:rFonts w:cs="Times New Roman"/>
        </w:rPr>
        <w:t xml:space="preserve">Maior competição política </w:t>
      </w:r>
      <w:r w:rsidR="00B62F98">
        <w:rPr>
          <w:rFonts w:cs="Times New Roman"/>
        </w:rPr>
        <w:t>está relacionada com maior</w:t>
      </w:r>
      <w:r w:rsidR="00620431" w:rsidRPr="00620431">
        <w:rPr>
          <w:rFonts w:cs="Times New Roman"/>
        </w:rPr>
        <w:t xml:space="preserve"> transparência. </w:t>
      </w:r>
    </w:p>
    <w:p w14:paraId="4330ACD1" w14:textId="514B2B2A" w:rsidR="005B55BD" w:rsidRPr="00620431" w:rsidRDefault="005B55BD" w:rsidP="005B55BD">
      <w:pPr>
        <w:spacing w:line="360" w:lineRule="auto"/>
        <w:jc w:val="both"/>
        <w:rPr>
          <w:rFonts w:cs="Times New Roman"/>
        </w:rPr>
      </w:pPr>
      <w:r>
        <w:rPr>
          <w:rFonts w:cs="Times New Roman"/>
        </w:rPr>
        <w:t>O desempenho orçamental e a</w:t>
      </w:r>
      <w:r w:rsidRPr="00620431">
        <w:rPr>
          <w:rFonts w:cs="Times New Roman"/>
        </w:rPr>
        <w:t xml:space="preserve"> dimensão </w:t>
      </w:r>
      <w:r w:rsidR="00F65F4E">
        <w:rPr>
          <w:rFonts w:cs="Times New Roman"/>
        </w:rPr>
        <w:t xml:space="preserve">do orçamento </w:t>
      </w:r>
      <w:r w:rsidR="00B62F98">
        <w:rPr>
          <w:rFonts w:cs="Times New Roman"/>
        </w:rPr>
        <w:t>são</w:t>
      </w:r>
      <w:r w:rsidR="00EF2C5E">
        <w:rPr>
          <w:rFonts w:cs="Times New Roman"/>
        </w:rPr>
        <w:t xml:space="preserve"> o</w:t>
      </w:r>
      <w:r w:rsidR="00B62F98">
        <w:rPr>
          <w:rFonts w:cs="Times New Roman"/>
        </w:rPr>
        <w:t>s</w:t>
      </w:r>
      <w:r w:rsidR="00EF2C5E">
        <w:rPr>
          <w:rFonts w:cs="Times New Roman"/>
        </w:rPr>
        <w:t xml:space="preserve"> fator</w:t>
      </w:r>
      <w:r w:rsidR="00B62F98">
        <w:rPr>
          <w:rFonts w:cs="Times New Roman"/>
        </w:rPr>
        <w:t>es</w:t>
      </w:r>
      <w:r w:rsidR="00EF2C5E">
        <w:rPr>
          <w:rFonts w:cs="Times New Roman"/>
        </w:rPr>
        <w:t xml:space="preserve"> onde estão incluídas </w:t>
      </w:r>
      <w:r>
        <w:rPr>
          <w:rFonts w:cs="Times New Roman"/>
        </w:rPr>
        <w:t xml:space="preserve">duas variáveis </w:t>
      </w:r>
      <w:r w:rsidRPr="00620431">
        <w:rPr>
          <w:rFonts w:cs="Times New Roman"/>
        </w:rPr>
        <w:t xml:space="preserve">consideradas como potenciais determinantes para explicar </w:t>
      </w:r>
      <w:r w:rsidR="0044016B">
        <w:rPr>
          <w:rFonts w:cs="Times New Roman"/>
        </w:rPr>
        <w:t>o índice</w:t>
      </w:r>
      <w:r w:rsidRPr="00620431">
        <w:rPr>
          <w:rFonts w:cs="Times New Roman"/>
        </w:rPr>
        <w:t xml:space="preserve"> de transparência como </w:t>
      </w:r>
      <w:r w:rsidR="00EF2C5E">
        <w:rPr>
          <w:rFonts w:cs="Times New Roman"/>
        </w:rPr>
        <w:t xml:space="preserve">indicadores de cariz orçamental: o valor do endividamento e </w:t>
      </w:r>
      <w:r w:rsidR="003F5A09">
        <w:rPr>
          <w:rFonts w:cs="Times New Roman"/>
        </w:rPr>
        <w:t xml:space="preserve">a </w:t>
      </w:r>
      <w:r w:rsidR="00203D7D">
        <w:rPr>
          <w:rFonts w:cs="Times New Roman"/>
        </w:rPr>
        <w:t xml:space="preserve">despesa efetiva </w:t>
      </w:r>
      <w:r w:rsidR="00203D7D" w:rsidRPr="00506E82">
        <w:rPr>
          <w:rFonts w:cs="Times New Roman"/>
          <w:i/>
          <w:iCs/>
        </w:rPr>
        <w:t>per capita</w:t>
      </w:r>
      <w:r w:rsidR="00EF2C5E">
        <w:rPr>
          <w:rFonts w:cs="Times New Roman"/>
        </w:rPr>
        <w:t>.</w:t>
      </w:r>
    </w:p>
    <w:p w14:paraId="5E231679" w14:textId="77777777" w:rsidR="003378D5" w:rsidRDefault="00620431" w:rsidP="00620431">
      <w:pPr>
        <w:spacing w:line="360" w:lineRule="auto"/>
        <w:jc w:val="both"/>
        <w:rPr>
          <w:rFonts w:cs="Times New Roman"/>
        </w:rPr>
      </w:pPr>
      <w:r w:rsidRPr="00620431">
        <w:rPr>
          <w:rFonts w:cs="Times New Roman"/>
        </w:rPr>
        <w:lastRenderedPageBreak/>
        <w:t>Segundo Guillamón</w:t>
      </w:r>
      <w:r w:rsidR="00C20BC9">
        <w:rPr>
          <w:rFonts w:cs="Times New Roman"/>
        </w:rPr>
        <w:t xml:space="preserve"> </w:t>
      </w:r>
      <w:r w:rsidR="00C20BC9" w:rsidRPr="00C20BC9">
        <w:rPr>
          <w:rFonts w:cs="Times New Roman"/>
          <w:i/>
          <w:iCs/>
        </w:rPr>
        <w:t>et al.</w:t>
      </w:r>
      <w:r w:rsidRPr="00620431">
        <w:rPr>
          <w:rFonts w:cs="Times New Roman"/>
        </w:rPr>
        <w:t xml:space="preserve"> (2011) a acumulação de dívida geralmente está relacionada com a transparência fiscal, não concluindo nenhum impacto favorável ou desfavorável do endividamento e a transparência. Já Bolívar </w:t>
      </w:r>
      <w:r w:rsidRPr="00620431">
        <w:rPr>
          <w:rFonts w:cs="Times New Roman"/>
          <w:i/>
        </w:rPr>
        <w:t>et al.</w:t>
      </w:r>
      <w:r w:rsidRPr="00620431">
        <w:rPr>
          <w:rFonts w:cs="Times New Roman"/>
        </w:rPr>
        <w:t xml:space="preserve"> (2013) argumentam que quando um município apresenta níveis de endividamento mais elevados, ou seja, quando se acentuam as dificuldades financeiras, os mesmos apresentam uma maior necessidade para a divulgação de relatórios que refletiam essa mesma situação financeira da organização, deste modo, apresentando maior transparência. </w:t>
      </w:r>
      <w:r w:rsidR="00DE744C">
        <w:rPr>
          <w:rFonts w:cs="Times New Roman"/>
        </w:rPr>
        <w:t xml:space="preserve">Através destas conclusões </w:t>
      </w:r>
      <w:r w:rsidR="003224AB">
        <w:rPr>
          <w:rFonts w:cs="Times New Roman"/>
        </w:rPr>
        <w:t>explanadas</w:t>
      </w:r>
      <w:r w:rsidR="00DE744C">
        <w:rPr>
          <w:rFonts w:cs="Times New Roman"/>
        </w:rPr>
        <w:t xml:space="preserve">, não se consegue indicar qual o sentido esperado da </w:t>
      </w:r>
      <w:r w:rsidR="00F65F4E">
        <w:rPr>
          <w:rFonts w:cs="Times New Roman"/>
        </w:rPr>
        <w:t>influência</w:t>
      </w:r>
      <w:r w:rsidR="00DE744C">
        <w:rPr>
          <w:rFonts w:cs="Times New Roman"/>
        </w:rPr>
        <w:t xml:space="preserve"> </w:t>
      </w:r>
      <w:r w:rsidR="003224AB">
        <w:rPr>
          <w:rFonts w:cs="Times New Roman"/>
        </w:rPr>
        <w:t xml:space="preserve">do </w:t>
      </w:r>
      <w:r w:rsidR="009C561F">
        <w:rPr>
          <w:rFonts w:cs="Times New Roman"/>
        </w:rPr>
        <w:t xml:space="preserve">valor </w:t>
      </w:r>
      <w:r w:rsidR="003224AB">
        <w:rPr>
          <w:rFonts w:cs="Times New Roman"/>
        </w:rPr>
        <w:t xml:space="preserve">de endividamento na transparência. </w:t>
      </w:r>
      <w:r w:rsidRPr="00620431">
        <w:rPr>
          <w:rFonts w:cs="Times New Roman"/>
        </w:rPr>
        <w:t xml:space="preserve">Desta forma, a terceira hipótese é: </w:t>
      </w:r>
    </w:p>
    <w:p w14:paraId="5996003A" w14:textId="29A21A6C" w:rsidR="00620431" w:rsidRPr="00620431" w:rsidRDefault="003378D5" w:rsidP="00620431">
      <w:pPr>
        <w:spacing w:line="360" w:lineRule="auto"/>
        <w:jc w:val="both"/>
        <w:rPr>
          <w:rFonts w:cs="Times New Roman"/>
        </w:rPr>
      </w:pPr>
      <w:r>
        <w:rPr>
          <w:rFonts w:cs="Times New Roman"/>
        </w:rPr>
        <w:t>H3: O</w:t>
      </w:r>
      <w:r w:rsidR="00620431" w:rsidRPr="00620431">
        <w:rPr>
          <w:rFonts w:cs="Times New Roman"/>
        </w:rPr>
        <w:t xml:space="preserve"> </w:t>
      </w:r>
      <w:r w:rsidR="009C561F">
        <w:rPr>
          <w:rFonts w:cs="Times New Roman"/>
        </w:rPr>
        <w:t>valor</w:t>
      </w:r>
      <w:r w:rsidR="009C561F" w:rsidRPr="00620431">
        <w:rPr>
          <w:rFonts w:cs="Times New Roman"/>
        </w:rPr>
        <w:t xml:space="preserve"> </w:t>
      </w:r>
      <w:r w:rsidR="00620431" w:rsidRPr="00620431">
        <w:rPr>
          <w:rFonts w:cs="Times New Roman"/>
        </w:rPr>
        <w:t>de endividam</w:t>
      </w:r>
      <w:r w:rsidR="00EF2C5E">
        <w:rPr>
          <w:rFonts w:cs="Times New Roman"/>
        </w:rPr>
        <w:t>ento influ</w:t>
      </w:r>
      <w:r w:rsidR="002E54FD">
        <w:rPr>
          <w:rFonts w:cs="Times New Roman"/>
        </w:rPr>
        <w:t>e</w:t>
      </w:r>
      <w:r w:rsidR="00EF2C5E">
        <w:rPr>
          <w:rFonts w:cs="Times New Roman"/>
        </w:rPr>
        <w:t xml:space="preserve">ncia a transparência. </w:t>
      </w:r>
    </w:p>
    <w:p w14:paraId="6A58CA5A" w14:textId="7734E0EE" w:rsidR="003378D5" w:rsidRDefault="003378D5" w:rsidP="00620431">
      <w:pPr>
        <w:spacing w:line="360" w:lineRule="auto"/>
        <w:jc w:val="both"/>
        <w:rPr>
          <w:rFonts w:cs="Times New Roman"/>
        </w:rPr>
      </w:pPr>
      <w:r>
        <w:rPr>
          <w:rFonts w:cs="Times New Roman"/>
        </w:rPr>
        <w:t>Relativamente à</w:t>
      </w:r>
      <w:r w:rsidR="003F5A09">
        <w:rPr>
          <w:rFonts w:cs="Times New Roman"/>
        </w:rPr>
        <w:t xml:space="preserve"> </w:t>
      </w:r>
      <w:r w:rsidR="00203D7D">
        <w:rPr>
          <w:rFonts w:cs="Times New Roman"/>
        </w:rPr>
        <w:t xml:space="preserve">despesa efetiva </w:t>
      </w:r>
      <w:r w:rsidR="00203D7D" w:rsidRPr="00506E82">
        <w:rPr>
          <w:rFonts w:cs="Times New Roman"/>
          <w:i/>
          <w:iCs/>
        </w:rPr>
        <w:t>per capita</w:t>
      </w:r>
      <w:r w:rsidR="00620431" w:rsidRPr="00620431">
        <w:rPr>
          <w:rFonts w:cs="Times New Roman"/>
        </w:rPr>
        <w:t xml:space="preserve">, não foi criada nenhuma relação proporcional ou inversa </w:t>
      </w:r>
      <w:r>
        <w:rPr>
          <w:rFonts w:cs="Times New Roman"/>
        </w:rPr>
        <w:t>com</w:t>
      </w:r>
      <w:r w:rsidR="00620431" w:rsidRPr="00620431">
        <w:rPr>
          <w:rFonts w:cs="Times New Roman"/>
        </w:rPr>
        <w:t xml:space="preserve"> </w:t>
      </w:r>
      <w:r w:rsidR="0044016B">
        <w:rPr>
          <w:rFonts w:cs="Times New Roman"/>
        </w:rPr>
        <w:t>o índice</w:t>
      </w:r>
      <w:r w:rsidR="00620431" w:rsidRPr="00620431">
        <w:rPr>
          <w:rFonts w:cs="Times New Roman"/>
        </w:rPr>
        <w:t xml:space="preserve"> de transparência</w:t>
      </w:r>
      <w:r w:rsidR="0044016B">
        <w:rPr>
          <w:rFonts w:cs="Times New Roman"/>
        </w:rPr>
        <w:t xml:space="preserve"> municipal</w:t>
      </w:r>
      <w:r>
        <w:rPr>
          <w:rFonts w:cs="Times New Roman"/>
        </w:rPr>
        <w:t xml:space="preserve"> uma vez que os autores chegaram a conclusões diferentes sobre aquela relação </w:t>
      </w:r>
      <w:bookmarkStart w:id="71" w:name="_Hlk64557637"/>
      <w:r>
        <w:rPr>
          <w:rFonts w:cs="Times New Roman"/>
        </w:rPr>
        <w:t>(</w:t>
      </w:r>
      <w:r w:rsidR="00620431" w:rsidRPr="00620431">
        <w:rPr>
          <w:rFonts w:cs="Times New Roman"/>
        </w:rPr>
        <w:t xml:space="preserve">La Porte </w:t>
      </w:r>
      <w:r w:rsidR="00620431" w:rsidRPr="00620431">
        <w:rPr>
          <w:rFonts w:cs="Times New Roman"/>
          <w:i/>
        </w:rPr>
        <w:t>et al</w:t>
      </w:r>
      <w:r>
        <w:rPr>
          <w:rFonts w:cs="Times New Roman"/>
          <w:i/>
        </w:rPr>
        <w:t>.,</w:t>
      </w:r>
      <w:bookmarkEnd w:id="71"/>
      <w:r w:rsidR="00620431" w:rsidRPr="00620431">
        <w:rPr>
          <w:rFonts w:cs="Times New Roman"/>
        </w:rPr>
        <w:t>2002</w:t>
      </w:r>
      <w:r>
        <w:rPr>
          <w:rFonts w:cs="Times New Roman"/>
        </w:rPr>
        <w:t>; Alesina &amp; Angeletos, 2005)</w:t>
      </w:r>
      <w:r w:rsidR="00620431" w:rsidRPr="00620431">
        <w:rPr>
          <w:rFonts w:cs="Times New Roman"/>
        </w:rPr>
        <w:t xml:space="preserve"> </w:t>
      </w:r>
      <w:bookmarkStart w:id="72" w:name="_Hlk54115893"/>
      <w:r>
        <w:rPr>
          <w:rFonts w:cs="Times New Roman"/>
        </w:rPr>
        <w:t>Assim, estabelece-se a seguinte h</w:t>
      </w:r>
      <w:r w:rsidRPr="00620431">
        <w:rPr>
          <w:rFonts w:cs="Times New Roman"/>
        </w:rPr>
        <w:t>ipótese:</w:t>
      </w:r>
    </w:p>
    <w:p w14:paraId="6A939F70" w14:textId="6C7ACBC0" w:rsidR="00620431" w:rsidRPr="00620431" w:rsidRDefault="003378D5" w:rsidP="00620431">
      <w:pPr>
        <w:spacing w:line="360" w:lineRule="auto"/>
        <w:jc w:val="both"/>
        <w:rPr>
          <w:rFonts w:cs="Times New Roman"/>
        </w:rPr>
      </w:pPr>
      <w:r>
        <w:rPr>
          <w:rFonts w:cs="Times New Roman"/>
        </w:rPr>
        <w:t xml:space="preserve">H4: A despesa efetiva </w:t>
      </w:r>
      <w:r w:rsidRPr="00506E82">
        <w:rPr>
          <w:rFonts w:cs="Times New Roman"/>
          <w:i/>
          <w:iCs/>
        </w:rPr>
        <w:t>per capita</w:t>
      </w:r>
      <w:r w:rsidRPr="00620431">
        <w:rPr>
          <w:rFonts w:cs="Times New Roman"/>
        </w:rPr>
        <w:t xml:space="preserve"> influencia o nível de transparência</w:t>
      </w:r>
      <w:r>
        <w:rPr>
          <w:rFonts w:cs="Times New Roman"/>
        </w:rPr>
        <w:t>.</w:t>
      </w:r>
    </w:p>
    <w:bookmarkEnd w:id="72"/>
    <w:p w14:paraId="74D6228B" w14:textId="77777777" w:rsidR="003378D5" w:rsidRDefault="00EF2C5E" w:rsidP="00620431">
      <w:pPr>
        <w:spacing w:line="360" w:lineRule="auto"/>
        <w:jc w:val="both"/>
        <w:rPr>
          <w:rFonts w:cs="Times New Roman"/>
        </w:rPr>
      </w:pPr>
      <w:r>
        <w:rPr>
          <w:rFonts w:cs="Times New Roman"/>
        </w:rPr>
        <w:t>Considerando, agora, as conclusões dos estudos em relação às variáveis organizadas pela literatura em</w:t>
      </w:r>
      <w:r w:rsidRPr="00620431">
        <w:rPr>
          <w:rFonts w:cs="Times New Roman"/>
        </w:rPr>
        <w:t xml:space="preserve"> fator</w:t>
      </w:r>
      <w:r>
        <w:rPr>
          <w:rFonts w:cs="Times New Roman"/>
        </w:rPr>
        <w:t>es sociodemográfico</w:t>
      </w:r>
      <w:r w:rsidR="00373919">
        <w:rPr>
          <w:rFonts w:cs="Times New Roman"/>
        </w:rPr>
        <w:t xml:space="preserve">s, </w:t>
      </w:r>
      <w:r w:rsidR="00F65F4E">
        <w:rPr>
          <w:rFonts w:cs="Times New Roman"/>
        </w:rPr>
        <w:t xml:space="preserve">população residente </w:t>
      </w:r>
      <w:r w:rsidR="00373919">
        <w:rPr>
          <w:rFonts w:cs="Times New Roman"/>
        </w:rPr>
        <w:t xml:space="preserve">e </w:t>
      </w:r>
      <w:r w:rsidR="00F65F4E">
        <w:rPr>
          <w:rFonts w:cs="Times New Roman"/>
        </w:rPr>
        <w:t>taxa de população idosa</w:t>
      </w:r>
      <w:r w:rsidR="00373919">
        <w:rPr>
          <w:rFonts w:cs="Times New Roman"/>
        </w:rPr>
        <w:t>, t</w:t>
      </w:r>
      <w:r w:rsidR="002E54FD">
        <w:rPr>
          <w:rFonts w:cs="Times New Roman"/>
        </w:rPr>
        <w:t>e</w:t>
      </w:r>
      <w:r w:rsidR="00373919">
        <w:rPr>
          <w:rFonts w:cs="Times New Roman"/>
        </w:rPr>
        <w:t>m-se s</w:t>
      </w:r>
      <w:r w:rsidR="00620431" w:rsidRPr="00620431">
        <w:rPr>
          <w:rFonts w:cs="Times New Roman"/>
        </w:rPr>
        <w:t xml:space="preserve">egundo Guillamón </w:t>
      </w:r>
      <w:r w:rsidR="00620431" w:rsidRPr="00620431">
        <w:rPr>
          <w:rFonts w:cs="Times New Roman"/>
          <w:i/>
        </w:rPr>
        <w:t>et al</w:t>
      </w:r>
      <w:r w:rsidR="00620431" w:rsidRPr="00620431">
        <w:rPr>
          <w:rFonts w:cs="Times New Roman"/>
        </w:rPr>
        <w:t xml:space="preserve"> (2011), a população do município tem impacto positivo e significativo na transparência do mesmo, ou seja, o nível de transparência aumenta com a dimensão da população conduzindo, assim, à formulação da quinta hipótese: </w:t>
      </w:r>
    </w:p>
    <w:p w14:paraId="1B7D7AAA" w14:textId="42A5FEC0" w:rsidR="003378D5" w:rsidRDefault="003378D5" w:rsidP="00620431">
      <w:pPr>
        <w:spacing w:line="360" w:lineRule="auto"/>
        <w:jc w:val="both"/>
        <w:rPr>
          <w:rFonts w:cs="Times New Roman"/>
        </w:rPr>
      </w:pPr>
      <w:r>
        <w:rPr>
          <w:rFonts w:cs="Times New Roman"/>
        </w:rPr>
        <w:t>H5: Q</w:t>
      </w:r>
      <w:r w:rsidR="00620431" w:rsidRPr="00620431">
        <w:rPr>
          <w:rFonts w:cs="Times New Roman"/>
        </w:rPr>
        <w:t>uanto maior a população residente mai</w:t>
      </w:r>
      <w:r w:rsidR="00F86FA4">
        <w:rPr>
          <w:rFonts w:cs="Times New Roman"/>
        </w:rPr>
        <w:t>or é o nível de</w:t>
      </w:r>
      <w:r w:rsidR="00620431" w:rsidRPr="00620431">
        <w:rPr>
          <w:rFonts w:cs="Times New Roman"/>
        </w:rPr>
        <w:t xml:space="preserve"> transparência. </w:t>
      </w:r>
    </w:p>
    <w:p w14:paraId="296EF8DC" w14:textId="5020F5AB" w:rsidR="00620431" w:rsidRPr="00620431" w:rsidRDefault="00620431" w:rsidP="00620431">
      <w:pPr>
        <w:spacing w:line="360" w:lineRule="auto"/>
        <w:jc w:val="both"/>
        <w:rPr>
          <w:rFonts w:cs="Times New Roman"/>
        </w:rPr>
      </w:pPr>
      <w:r w:rsidRPr="00620431">
        <w:rPr>
          <w:rFonts w:cs="Times New Roman"/>
        </w:rPr>
        <w:t>Os mesmos autores apresentam duas razões para basear a sua argumentação. Em primeiro, por norma, um município com maior população exige maiores quantidades de recursos públicos enfrentando maiores pressões para gestão da mesma por parte da sociedade. Em segundo, defende que práticas transparentes estão associadas a recursos matérias e humanos que t</w:t>
      </w:r>
      <w:r w:rsidR="002E54FD">
        <w:rPr>
          <w:rFonts w:cs="Times New Roman"/>
        </w:rPr>
        <w:t>ê</w:t>
      </w:r>
      <w:r w:rsidRPr="00620431">
        <w:rPr>
          <w:rFonts w:cs="Times New Roman"/>
        </w:rPr>
        <w:t xml:space="preserve">m </w:t>
      </w:r>
      <w:proofErr w:type="gramStart"/>
      <w:r w:rsidRPr="00620431">
        <w:rPr>
          <w:rFonts w:cs="Times New Roman"/>
        </w:rPr>
        <w:t>que</w:t>
      </w:r>
      <w:proofErr w:type="gramEnd"/>
      <w:r w:rsidRPr="00620431">
        <w:rPr>
          <w:rFonts w:cs="Times New Roman"/>
        </w:rPr>
        <w:t xml:space="preserve"> ser suficientes no caso de municípios de grandes dimensões. Ainda no mesmo entendimento, Caamanõ-Alegre </w:t>
      </w:r>
      <w:r w:rsidRPr="00620431">
        <w:rPr>
          <w:rFonts w:cs="Times New Roman"/>
          <w:i/>
        </w:rPr>
        <w:t>et al</w:t>
      </w:r>
      <w:r w:rsidRPr="00620431">
        <w:rPr>
          <w:rFonts w:cs="Times New Roman"/>
        </w:rPr>
        <w:t xml:space="preserve"> (2013), acrescenta que num município com maior número de residentes existe uma tendência para que haja um número maior de trabalhadores municipais favorecendo o cumprimento dos requisitos de transparência. </w:t>
      </w:r>
    </w:p>
    <w:p w14:paraId="61920E75" w14:textId="77777777" w:rsidR="003378D5" w:rsidRDefault="00620431" w:rsidP="00620431">
      <w:pPr>
        <w:spacing w:line="360" w:lineRule="auto"/>
        <w:jc w:val="both"/>
        <w:rPr>
          <w:rFonts w:cs="Times New Roman"/>
        </w:rPr>
      </w:pPr>
      <w:r w:rsidRPr="00620431">
        <w:rPr>
          <w:rFonts w:cs="Times New Roman"/>
        </w:rPr>
        <w:lastRenderedPageBreak/>
        <w:t xml:space="preserve">De acordo com o estudo de Esteller-Moré e Otero (2012) existe uma relação proporcional entre a população idosa e o </w:t>
      </w:r>
      <w:r w:rsidR="0044016B">
        <w:rPr>
          <w:rFonts w:cs="Times New Roman"/>
        </w:rPr>
        <w:t>índice de transparência municipal</w:t>
      </w:r>
      <w:r w:rsidRPr="00620431">
        <w:rPr>
          <w:rFonts w:cs="Times New Roman"/>
        </w:rPr>
        <w:t xml:space="preserve">, ou seja, num município onde a taxa de população idosa é maior assume-se que o mesmo apresentará maior nível de transparência baseado no pressuposto que os idosos tendem a ser mais participativos e mais exigentes relativamente à obtenção da informação governamental. Deste modo, a sexta hipótese é: </w:t>
      </w:r>
    </w:p>
    <w:p w14:paraId="214DD1B6" w14:textId="752AE1FD" w:rsidR="00620431" w:rsidRPr="00620431" w:rsidRDefault="003378D5" w:rsidP="00620431">
      <w:pPr>
        <w:spacing w:line="360" w:lineRule="auto"/>
        <w:jc w:val="both"/>
        <w:rPr>
          <w:rFonts w:cs="Times New Roman"/>
        </w:rPr>
      </w:pPr>
      <w:r>
        <w:rPr>
          <w:rFonts w:cs="Times New Roman"/>
        </w:rPr>
        <w:t>H6: Q</w:t>
      </w:r>
      <w:r w:rsidR="00620431" w:rsidRPr="00620431">
        <w:rPr>
          <w:rFonts w:cs="Times New Roman"/>
        </w:rPr>
        <w:t>uanto maior a taxa de população idosa maior o nível de transparência.</w:t>
      </w:r>
    </w:p>
    <w:p w14:paraId="7E14D7B5" w14:textId="77777777" w:rsidR="003378D5" w:rsidRDefault="00620431" w:rsidP="00620431">
      <w:pPr>
        <w:spacing w:line="360" w:lineRule="auto"/>
        <w:jc w:val="both"/>
        <w:rPr>
          <w:rFonts w:cs="Times New Roman"/>
        </w:rPr>
      </w:pPr>
      <w:r w:rsidRPr="00620431">
        <w:rPr>
          <w:rFonts w:cs="Times New Roman"/>
        </w:rPr>
        <w:t>De seguida</w:t>
      </w:r>
      <w:r w:rsidR="00F86FA4">
        <w:rPr>
          <w:rFonts w:cs="Times New Roman"/>
        </w:rPr>
        <w:t>,</w:t>
      </w:r>
      <w:r w:rsidRPr="00620431">
        <w:rPr>
          <w:rFonts w:cs="Times New Roman"/>
        </w:rPr>
        <w:t xml:space="preserve"> enquadrada no fator de situação económica, apresenta-se a sétima hipótese: </w:t>
      </w:r>
    </w:p>
    <w:p w14:paraId="71E2606B" w14:textId="092CA9BD" w:rsidR="003378D5" w:rsidRDefault="003378D5" w:rsidP="00620431">
      <w:pPr>
        <w:spacing w:line="360" w:lineRule="auto"/>
        <w:jc w:val="both"/>
        <w:rPr>
          <w:rFonts w:cs="Times New Roman"/>
        </w:rPr>
      </w:pPr>
      <w:r>
        <w:rPr>
          <w:rFonts w:cs="Times New Roman"/>
        </w:rPr>
        <w:t>H7: Q</w:t>
      </w:r>
      <w:r w:rsidR="00620431" w:rsidRPr="00620431">
        <w:rPr>
          <w:rFonts w:cs="Times New Roman"/>
        </w:rPr>
        <w:t xml:space="preserve">uanto maior o nível de desemprego maior </w:t>
      </w:r>
      <w:r w:rsidR="00F86FA4">
        <w:rPr>
          <w:rFonts w:cs="Times New Roman"/>
        </w:rPr>
        <w:t xml:space="preserve">é </w:t>
      </w:r>
      <w:r w:rsidR="00620431" w:rsidRPr="00620431">
        <w:rPr>
          <w:rFonts w:cs="Times New Roman"/>
        </w:rPr>
        <w:t xml:space="preserve">o nível de transparência. </w:t>
      </w:r>
    </w:p>
    <w:p w14:paraId="4172F907" w14:textId="5EE77E3A" w:rsidR="00620431" w:rsidRPr="00620431" w:rsidRDefault="00620431" w:rsidP="00620431">
      <w:pPr>
        <w:spacing w:line="360" w:lineRule="auto"/>
        <w:jc w:val="both"/>
        <w:rPr>
          <w:rFonts w:cs="Times New Roman"/>
        </w:rPr>
      </w:pPr>
      <w:r w:rsidRPr="00620431">
        <w:rPr>
          <w:rFonts w:cs="Times New Roman"/>
        </w:rPr>
        <w:t xml:space="preserve">Uma das variáveis </w:t>
      </w:r>
      <w:r w:rsidR="000A3876" w:rsidRPr="00620431">
        <w:rPr>
          <w:rFonts w:cs="Times New Roman"/>
        </w:rPr>
        <w:t>selecionada</w:t>
      </w:r>
      <w:r w:rsidR="002E54FD">
        <w:rPr>
          <w:rFonts w:cs="Times New Roman"/>
        </w:rPr>
        <w:t>s</w:t>
      </w:r>
      <w:r w:rsidRPr="00620431">
        <w:rPr>
          <w:rFonts w:cs="Times New Roman"/>
        </w:rPr>
        <w:t xml:space="preserve"> para explicar </w:t>
      </w:r>
      <w:r w:rsidR="00F65F4E">
        <w:rPr>
          <w:rFonts w:cs="Times New Roman"/>
        </w:rPr>
        <w:t>o índice de</w:t>
      </w:r>
      <w:r w:rsidR="00F65F4E" w:rsidRPr="00620431">
        <w:rPr>
          <w:rFonts w:cs="Times New Roman"/>
        </w:rPr>
        <w:t xml:space="preserve"> </w:t>
      </w:r>
      <w:r w:rsidRPr="00620431">
        <w:rPr>
          <w:rFonts w:cs="Times New Roman"/>
        </w:rPr>
        <w:t xml:space="preserve">transparência </w:t>
      </w:r>
      <w:r w:rsidR="00F65F4E">
        <w:rPr>
          <w:rFonts w:cs="Times New Roman"/>
        </w:rPr>
        <w:t>municipal</w:t>
      </w:r>
      <w:r w:rsidRPr="00620431">
        <w:rPr>
          <w:rFonts w:cs="Times New Roman"/>
        </w:rPr>
        <w:t xml:space="preserve"> é a taxa de desemprego. </w:t>
      </w:r>
      <w:r w:rsidR="00C20BC9" w:rsidRPr="00620431">
        <w:rPr>
          <w:rFonts w:cs="Times New Roman"/>
        </w:rPr>
        <w:t xml:space="preserve">Caamanõ-Alegre </w:t>
      </w:r>
      <w:r w:rsidR="00C20BC9" w:rsidRPr="00620431">
        <w:rPr>
          <w:rFonts w:cs="Times New Roman"/>
          <w:i/>
        </w:rPr>
        <w:t>et al</w:t>
      </w:r>
      <w:r w:rsidR="00C20BC9" w:rsidRPr="00620431">
        <w:rPr>
          <w:rFonts w:cs="Times New Roman"/>
        </w:rPr>
        <w:t xml:space="preserve"> (2013) afirmam o contrário aponta</w:t>
      </w:r>
      <w:r w:rsidR="00C20BC9">
        <w:rPr>
          <w:rFonts w:cs="Times New Roman"/>
        </w:rPr>
        <w:t>ndo</w:t>
      </w:r>
      <w:r w:rsidR="00C20BC9" w:rsidRPr="00620431">
        <w:rPr>
          <w:rFonts w:cs="Times New Roman"/>
        </w:rPr>
        <w:t xml:space="preserve"> que existe um efeito negativo da taxa de desemprego no nível de transparência na medida em que num governo com uma conjuntura económica mais precária, o mesmo apresenta uma maior tentação a ocultar informações e, deste modo, diminuir o nível de transparência. </w:t>
      </w:r>
      <w:r w:rsidR="00C20BC9">
        <w:rPr>
          <w:rFonts w:cs="Times New Roman"/>
        </w:rPr>
        <w:t>Contudo, s</w:t>
      </w:r>
      <w:r w:rsidRPr="00620431">
        <w:rPr>
          <w:rFonts w:cs="Times New Roman"/>
        </w:rPr>
        <w:t xml:space="preserve">e num município a taxa de desemprego for elevada significa que a população apresentará maiores necessidades sociais por parte do governo e, deste modo, o mesmo sofre uma maior pressão para a divulgação de informação, mais propriamente, de natureza social. Este argumento é estudado por Alcaraz-Quiles </w:t>
      </w:r>
      <w:r w:rsidRPr="00620431">
        <w:rPr>
          <w:rFonts w:cs="Times New Roman"/>
          <w:i/>
        </w:rPr>
        <w:t>et al.</w:t>
      </w:r>
      <w:r w:rsidRPr="00620431">
        <w:rPr>
          <w:rFonts w:cs="Times New Roman"/>
        </w:rPr>
        <w:t xml:space="preserve"> (2014) que afirma</w:t>
      </w:r>
      <w:r w:rsidR="00F86FA4">
        <w:rPr>
          <w:rFonts w:cs="Times New Roman"/>
        </w:rPr>
        <w:t>,</w:t>
      </w:r>
      <w:r w:rsidRPr="00620431">
        <w:rPr>
          <w:rFonts w:cs="Times New Roman"/>
        </w:rPr>
        <w:t xml:space="preserve"> então</w:t>
      </w:r>
      <w:r w:rsidR="00F86FA4">
        <w:rPr>
          <w:rFonts w:cs="Times New Roman"/>
        </w:rPr>
        <w:t>,</w:t>
      </w:r>
      <w:r w:rsidRPr="00620431">
        <w:rPr>
          <w:rFonts w:cs="Times New Roman"/>
        </w:rPr>
        <w:t xml:space="preserve"> que existe uma relação proporcional entre a taxa de desemprego e o </w:t>
      </w:r>
      <w:r w:rsidR="00F86FA4">
        <w:rPr>
          <w:rFonts w:cs="Times New Roman"/>
        </w:rPr>
        <w:t>ITM</w:t>
      </w:r>
      <w:r w:rsidRPr="00620431">
        <w:rPr>
          <w:rFonts w:cs="Times New Roman"/>
        </w:rPr>
        <w:t xml:space="preserve">. </w:t>
      </w:r>
    </w:p>
    <w:p w14:paraId="6C08B841" w14:textId="77777777" w:rsidR="003378D5" w:rsidRDefault="00620431" w:rsidP="00620431">
      <w:pPr>
        <w:spacing w:line="360" w:lineRule="auto"/>
        <w:jc w:val="both"/>
        <w:rPr>
          <w:rFonts w:cs="Times New Roman"/>
        </w:rPr>
      </w:pPr>
      <w:r w:rsidRPr="00620431">
        <w:rPr>
          <w:rFonts w:cs="Times New Roman"/>
        </w:rPr>
        <w:t xml:space="preserve">Por fim, com o objetivo de verificar se existe relação entre o envolvimento político dos cidadãos, através da participação eleitoral, e o </w:t>
      </w:r>
      <w:r w:rsidR="00174012">
        <w:rPr>
          <w:rFonts w:cs="Times New Roman"/>
        </w:rPr>
        <w:t>índice</w:t>
      </w:r>
      <w:r w:rsidR="0044016B" w:rsidRPr="00620431">
        <w:rPr>
          <w:rFonts w:cs="Times New Roman"/>
        </w:rPr>
        <w:t xml:space="preserve"> </w:t>
      </w:r>
      <w:r w:rsidRPr="00620431">
        <w:rPr>
          <w:rFonts w:cs="Times New Roman"/>
        </w:rPr>
        <w:t xml:space="preserve">de transparência dos diferentes municípios formulou-se a </w:t>
      </w:r>
      <w:r w:rsidR="000A3876" w:rsidRPr="00620431">
        <w:rPr>
          <w:rFonts w:cs="Times New Roman"/>
        </w:rPr>
        <w:t>última</w:t>
      </w:r>
      <w:r w:rsidRPr="00620431">
        <w:rPr>
          <w:rFonts w:cs="Times New Roman"/>
        </w:rPr>
        <w:t xml:space="preserve"> hipótese: </w:t>
      </w:r>
    </w:p>
    <w:p w14:paraId="497D8379" w14:textId="117870D5" w:rsidR="003378D5" w:rsidRDefault="003378D5" w:rsidP="00620431">
      <w:pPr>
        <w:spacing w:line="360" w:lineRule="auto"/>
        <w:jc w:val="both"/>
        <w:rPr>
          <w:rFonts w:cs="Times New Roman"/>
        </w:rPr>
      </w:pPr>
      <w:r>
        <w:rPr>
          <w:rFonts w:cs="Times New Roman"/>
        </w:rPr>
        <w:t>H8: Q</w:t>
      </w:r>
      <w:r w:rsidR="00620431" w:rsidRPr="00620431">
        <w:rPr>
          <w:rFonts w:cs="Times New Roman"/>
        </w:rPr>
        <w:t xml:space="preserve">uanto </w:t>
      </w:r>
      <w:r w:rsidR="003F5A09">
        <w:rPr>
          <w:rFonts w:cs="Times New Roman"/>
        </w:rPr>
        <w:t>menor a percentagem de abstenção</w:t>
      </w:r>
      <w:r w:rsidR="00620431" w:rsidRPr="00620431">
        <w:rPr>
          <w:rFonts w:cs="Times New Roman"/>
        </w:rPr>
        <w:t xml:space="preserve"> maior o nível de transparência. </w:t>
      </w:r>
    </w:p>
    <w:p w14:paraId="72C84713" w14:textId="7D3731C6" w:rsidR="00620431" w:rsidRPr="00620431" w:rsidRDefault="00620431" w:rsidP="00620431">
      <w:pPr>
        <w:spacing w:line="360" w:lineRule="auto"/>
        <w:jc w:val="both"/>
        <w:rPr>
          <w:rFonts w:cs="Times New Roman"/>
        </w:rPr>
      </w:pPr>
      <w:r w:rsidRPr="00620431">
        <w:rPr>
          <w:rFonts w:cs="Times New Roman"/>
        </w:rPr>
        <w:t xml:space="preserve">Esteller-Moré e Otero (2012) apresentam um estudo que incide na relação entre a percentagem de abstenção num município e o nível </w:t>
      </w:r>
      <w:r w:rsidR="005A5D51">
        <w:rPr>
          <w:rFonts w:cs="Times New Roman"/>
        </w:rPr>
        <w:t xml:space="preserve">de </w:t>
      </w:r>
      <w:r w:rsidRPr="00620431">
        <w:rPr>
          <w:rFonts w:cs="Times New Roman"/>
        </w:rPr>
        <w:t xml:space="preserve">transparência. Estes autores argumentam, baseados em Nannicini </w:t>
      </w:r>
      <w:r w:rsidRPr="00620431">
        <w:rPr>
          <w:rFonts w:cs="Times New Roman"/>
          <w:i/>
        </w:rPr>
        <w:t>et al</w:t>
      </w:r>
      <w:r w:rsidRPr="00620431">
        <w:rPr>
          <w:rFonts w:cs="Times New Roman"/>
        </w:rPr>
        <w:t xml:space="preserve"> (2010), que a transparência fiscal apresenta níveis superiores em municípios com maior capital social uma vez que nestes supõem-se que os governos sofram uma maior pressão por parte dos eleitores para a disponibilização da informação. Na mesma linha de pensamento, Esteller-Moré e Otero (2012), afirmam que se existe um maior interesse político por parte dos </w:t>
      </w:r>
      <w:r w:rsidRPr="00620431">
        <w:rPr>
          <w:rFonts w:cs="Times New Roman"/>
        </w:rPr>
        <w:lastRenderedPageBreak/>
        <w:t xml:space="preserve">cidadãos, irá existir uma maior participação eleitoral criando uma maior exigência na divulgação de informação, promovendo uma maior transparência. </w:t>
      </w:r>
    </w:p>
    <w:p w14:paraId="595EAB9B" w14:textId="0A4CD6D3" w:rsidR="003769CC" w:rsidRPr="003769CC" w:rsidRDefault="00373919" w:rsidP="003769CC">
      <w:pPr>
        <w:spacing w:line="360" w:lineRule="auto"/>
        <w:jc w:val="both"/>
        <w:rPr>
          <w:rFonts w:cs="Times New Roman"/>
        </w:rPr>
      </w:pPr>
      <w:r>
        <w:rPr>
          <w:rFonts w:cs="Times New Roman"/>
        </w:rPr>
        <w:t xml:space="preserve">Em síntese, é apresentado o </w:t>
      </w:r>
      <w:r w:rsidR="00324761">
        <w:rPr>
          <w:rFonts w:cs="Times New Roman"/>
        </w:rPr>
        <w:t>Q</w:t>
      </w:r>
      <w:r>
        <w:rPr>
          <w:rFonts w:cs="Times New Roman"/>
        </w:rPr>
        <w:t>uadro 4.3</w:t>
      </w:r>
      <w:r w:rsidR="00620431" w:rsidRPr="00620431">
        <w:rPr>
          <w:rFonts w:cs="Times New Roman"/>
        </w:rPr>
        <w:t xml:space="preserve"> com as hipóteses consideradas para este estudo, como </w:t>
      </w:r>
      <w:r>
        <w:rPr>
          <w:rFonts w:cs="Times New Roman"/>
        </w:rPr>
        <w:t>descritas anteriormente</w:t>
      </w:r>
      <w:r w:rsidR="003769CC">
        <w:rPr>
          <w:rFonts w:cs="Times New Roman"/>
        </w:rPr>
        <w:t>.</w:t>
      </w:r>
    </w:p>
    <w:p w14:paraId="2C191659" w14:textId="47D61057" w:rsidR="003769CC" w:rsidRDefault="003769CC" w:rsidP="00B14AAE">
      <w:pPr>
        <w:pStyle w:val="Legenda"/>
        <w:keepNext/>
        <w:spacing w:after="60"/>
        <w:jc w:val="center"/>
      </w:pPr>
      <w:bookmarkStart w:id="73" w:name="_Toc58853182"/>
      <w:bookmarkStart w:id="74" w:name="_Toc66624303"/>
      <w:r w:rsidRPr="003769CC">
        <w:rPr>
          <w:color w:val="auto"/>
          <w:sz w:val="24"/>
        </w:rPr>
        <w:t xml:space="preserve">Quadro </w:t>
      </w:r>
      <w:r w:rsidR="00C90AC5">
        <w:rPr>
          <w:color w:val="auto"/>
          <w:sz w:val="24"/>
        </w:rPr>
        <w:fldChar w:fldCharType="begin"/>
      </w:r>
      <w:r w:rsidR="00C90AC5">
        <w:rPr>
          <w:color w:val="auto"/>
          <w:sz w:val="24"/>
        </w:rPr>
        <w:instrText xml:space="preserve"> STYLEREF 1 \s </w:instrText>
      </w:r>
      <w:r w:rsidR="00C90AC5">
        <w:rPr>
          <w:color w:val="auto"/>
          <w:sz w:val="24"/>
        </w:rPr>
        <w:fldChar w:fldCharType="separate"/>
      </w:r>
      <w:r w:rsidR="00380A6F">
        <w:rPr>
          <w:noProof/>
          <w:color w:val="auto"/>
          <w:sz w:val="24"/>
        </w:rPr>
        <w:t>4</w:t>
      </w:r>
      <w:r w:rsidR="00C90AC5">
        <w:rPr>
          <w:color w:val="auto"/>
          <w:sz w:val="24"/>
        </w:rPr>
        <w:fldChar w:fldCharType="end"/>
      </w:r>
      <w:r w:rsidR="00C90AC5">
        <w:rPr>
          <w:color w:val="auto"/>
          <w:sz w:val="24"/>
        </w:rPr>
        <w:t>.</w:t>
      </w:r>
      <w:r w:rsidR="00C90AC5">
        <w:rPr>
          <w:color w:val="auto"/>
          <w:sz w:val="24"/>
        </w:rPr>
        <w:fldChar w:fldCharType="begin"/>
      </w:r>
      <w:r w:rsidR="00C90AC5">
        <w:rPr>
          <w:color w:val="auto"/>
          <w:sz w:val="24"/>
        </w:rPr>
        <w:instrText xml:space="preserve"> SEQ Quadro \* ARABIC \s 1 </w:instrText>
      </w:r>
      <w:r w:rsidR="00C90AC5">
        <w:rPr>
          <w:color w:val="auto"/>
          <w:sz w:val="24"/>
        </w:rPr>
        <w:fldChar w:fldCharType="separate"/>
      </w:r>
      <w:r w:rsidR="00380A6F">
        <w:rPr>
          <w:noProof/>
          <w:color w:val="auto"/>
          <w:sz w:val="24"/>
        </w:rPr>
        <w:t>3</w:t>
      </w:r>
      <w:r w:rsidR="00C90AC5">
        <w:rPr>
          <w:color w:val="auto"/>
          <w:sz w:val="24"/>
        </w:rPr>
        <w:fldChar w:fldCharType="end"/>
      </w:r>
      <w:r w:rsidRPr="003769CC">
        <w:rPr>
          <w:color w:val="auto"/>
          <w:sz w:val="24"/>
        </w:rPr>
        <w:t xml:space="preserve"> -</w:t>
      </w:r>
      <w:r w:rsidRPr="003769CC">
        <w:rPr>
          <w:sz w:val="22"/>
        </w:rPr>
        <w:t xml:space="preserve"> </w:t>
      </w:r>
      <w:r w:rsidRPr="009C4354">
        <w:rPr>
          <w:b w:val="0"/>
          <w:color w:val="auto"/>
          <w:sz w:val="24"/>
        </w:rPr>
        <w:t>Hipóteses de Investigação</w:t>
      </w:r>
      <w:bookmarkEnd w:id="73"/>
      <w:bookmarkEnd w:id="74"/>
    </w:p>
    <w:tbl>
      <w:tblPr>
        <w:tblStyle w:val="SombreadoClaro-Cor3"/>
        <w:tblW w:w="5000" w:type="pct"/>
        <w:jc w:val="center"/>
        <w:tblLook w:val="04A0" w:firstRow="1" w:lastRow="0" w:firstColumn="1" w:lastColumn="0" w:noHBand="0" w:noVBand="1"/>
      </w:tblPr>
      <w:tblGrid>
        <w:gridCol w:w="2085"/>
        <w:gridCol w:w="7036"/>
      </w:tblGrid>
      <w:tr w:rsidR="00620431" w:rsidRPr="00952CC5" w14:paraId="219C034A" w14:textId="77777777" w:rsidTr="00952CC5">
        <w:trPr>
          <w:cnfStyle w:val="100000000000" w:firstRow="1" w:lastRow="0" w:firstColumn="0" w:lastColumn="0" w:oddVBand="0" w:evenVBand="0" w:oddHBand="0" w:evenHBand="0" w:firstRowFirstColumn="0" w:firstRowLastColumn="0" w:lastRowFirstColumn="0" w:lastRowLastColumn="0"/>
          <w:trHeight w:val="434"/>
          <w:jc w:val="center"/>
        </w:trPr>
        <w:tc>
          <w:tcPr>
            <w:cnfStyle w:val="001000000000" w:firstRow="0" w:lastRow="0" w:firstColumn="1" w:lastColumn="0" w:oddVBand="0" w:evenVBand="0" w:oddHBand="0" w:evenHBand="0" w:firstRowFirstColumn="0" w:firstRowLastColumn="0" w:lastRowFirstColumn="0" w:lastRowLastColumn="0"/>
            <w:tcW w:w="1143" w:type="pct"/>
            <w:tcBorders>
              <w:top w:val="double" w:sz="4" w:space="0" w:color="auto"/>
              <w:bottom w:val="single" w:sz="8" w:space="0" w:color="EDEDED" w:themeColor="accent3" w:themeTint="33"/>
            </w:tcBorders>
            <w:noWrap/>
            <w:hideMark/>
          </w:tcPr>
          <w:p w14:paraId="077B8D70" w14:textId="77777777" w:rsidR="00620431" w:rsidRPr="00952CC5" w:rsidRDefault="00620431" w:rsidP="00706EE3">
            <w:pPr>
              <w:spacing w:beforeLines="60" w:before="144" w:afterLines="60" w:after="144" w:line="276" w:lineRule="auto"/>
              <w:jc w:val="center"/>
              <w:rPr>
                <w:rFonts w:cs="Times New Roman"/>
                <w:color w:val="auto"/>
                <w:sz w:val="22"/>
                <w:lang w:eastAsia="pt-PT"/>
              </w:rPr>
            </w:pPr>
            <w:bookmarkStart w:id="75" w:name="_Hlk54113469"/>
            <w:r w:rsidRPr="00952CC5">
              <w:rPr>
                <w:rFonts w:cs="Times New Roman"/>
                <w:color w:val="auto"/>
                <w:sz w:val="22"/>
                <w:lang w:eastAsia="pt-PT"/>
              </w:rPr>
              <w:t>Hipótese 1 (H</w:t>
            </w:r>
            <w:r w:rsidRPr="00E1729C">
              <w:rPr>
                <w:rFonts w:cs="Times New Roman"/>
                <w:color w:val="auto"/>
                <w:sz w:val="22"/>
                <w:vertAlign w:val="subscript"/>
                <w:lang w:eastAsia="pt-PT"/>
              </w:rPr>
              <w:t>1</w:t>
            </w:r>
            <w:r w:rsidRPr="00952CC5">
              <w:rPr>
                <w:rFonts w:cs="Times New Roman"/>
                <w:color w:val="auto"/>
                <w:sz w:val="22"/>
                <w:lang w:eastAsia="pt-PT"/>
              </w:rPr>
              <w:t>)</w:t>
            </w:r>
          </w:p>
        </w:tc>
        <w:tc>
          <w:tcPr>
            <w:tcW w:w="3857" w:type="pct"/>
            <w:tcBorders>
              <w:top w:val="double" w:sz="4" w:space="0" w:color="auto"/>
              <w:bottom w:val="single" w:sz="8" w:space="0" w:color="EDEDED" w:themeColor="accent3" w:themeTint="33"/>
            </w:tcBorders>
            <w:hideMark/>
          </w:tcPr>
          <w:p w14:paraId="29EDC49A" w14:textId="77777777" w:rsidR="00620431" w:rsidRPr="00952CC5" w:rsidRDefault="00620431" w:rsidP="00706EE3">
            <w:pPr>
              <w:tabs>
                <w:tab w:val="left" w:pos="426"/>
              </w:tabs>
              <w:spacing w:beforeLines="60" w:before="144" w:afterLines="60" w:after="144" w:line="276" w:lineRule="auto"/>
              <w:cnfStyle w:val="100000000000" w:firstRow="1" w:lastRow="0" w:firstColumn="0" w:lastColumn="0" w:oddVBand="0" w:evenVBand="0" w:oddHBand="0" w:evenHBand="0" w:firstRowFirstColumn="0" w:firstRowLastColumn="0" w:lastRowFirstColumn="0" w:lastRowLastColumn="0"/>
              <w:rPr>
                <w:rFonts w:cs="Times New Roman"/>
                <w:b w:val="0"/>
                <w:color w:val="auto"/>
                <w:sz w:val="22"/>
                <w:lang w:eastAsia="pt-PT"/>
              </w:rPr>
            </w:pPr>
            <w:r w:rsidRPr="00952CC5">
              <w:rPr>
                <w:rFonts w:cs="Times New Roman"/>
                <w:b w:val="0"/>
                <w:iCs/>
                <w:color w:val="auto"/>
                <w:sz w:val="22"/>
                <w:lang w:eastAsia="pt-PT"/>
              </w:rPr>
              <w:t>O nível de transparência aumenta se a ideologia do partido for de esquerda</w:t>
            </w:r>
          </w:p>
        </w:tc>
      </w:tr>
      <w:tr w:rsidR="00620431" w:rsidRPr="00952CC5" w14:paraId="7EF669FF" w14:textId="77777777" w:rsidTr="00952CC5">
        <w:trPr>
          <w:cnfStyle w:val="000000100000" w:firstRow="0" w:lastRow="0" w:firstColumn="0" w:lastColumn="0" w:oddVBand="0" w:evenVBand="0" w:oddHBand="1" w:evenHBand="0" w:firstRowFirstColumn="0" w:firstRowLastColumn="0" w:lastRowFirstColumn="0" w:lastRowLastColumn="0"/>
          <w:trHeight w:val="396"/>
          <w:jc w:val="center"/>
        </w:trPr>
        <w:tc>
          <w:tcPr>
            <w:cnfStyle w:val="001000000000" w:firstRow="0" w:lastRow="0" w:firstColumn="1" w:lastColumn="0" w:oddVBand="0" w:evenVBand="0" w:oddHBand="0" w:evenHBand="0" w:firstRowFirstColumn="0" w:firstRowLastColumn="0" w:lastRowFirstColumn="0" w:lastRowLastColumn="0"/>
            <w:tcW w:w="1143" w:type="pct"/>
            <w:tcBorders>
              <w:top w:val="single" w:sz="8" w:space="0" w:color="EDEDED" w:themeColor="accent3" w:themeTint="33"/>
            </w:tcBorders>
            <w:shd w:val="clear" w:color="auto" w:fill="E7E6E6" w:themeFill="background2"/>
            <w:noWrap/>
            <w:hideMark/>
          </w:tcPr>
          <w:p w14:paraId="79370253" w14:textId="77777777" w:rsidR="00620431" w:rsidRPr="00952CC5" w:rsidRDefault="00620431" w:rsidP="00706EE3">
            <w:pPr>
              <w:spacing w:beforeLines="60" w:before="144" w:afterLines="60" w:after="144" w:line="276" w:lineRule="auto"/>
              <w:jc w:val="center"/>
              <w:rPr>
                <w:rFonts w:cs="Times New Roman"/>
                <w:iCs/>
                <w:color w:val="auto"/>
                <w:sz w:val="22"/>
                <w:lang w:eastAsia="pt-PT"/>
              </w:rPr>
            </w:pPr>
            <w:r w:rsidRPr="00952CC5">
              <w:rPr>
                <w:rFonts w:cs="Times New Roman"/>
                <w:color w:val="auto"/>
                <w:sz w:val="22"/>
                <w:lang w:eastAsia="pt-PT"/>
              </w:rPr>
              <w:t>Hipótese 2 (H</w:t>
            </w:r>
            <w:r w:rsidRPr="00E1729C">
              <w:rPr>
                <w:rFonts w:cs="Times New Roman"/>
                <w:color w:val="auto"/>
                <w:sz w:val="22"/>
                <w:vertAlign w:val="subscript"/>
                <w:lang w:eastAsia="pt-PT"/>
              </w:rPr>
              <w:t>2</w:t>
            </w:r>
            <w:r w:rsidRPr="00952CC5">
              <w:rPr>
                <w:rFonts w:cs="Times New Roman"/>
                <w:color w:val="auto"/>
                <w:sz w:val="22"/>
                <w:lang w:eastAsia="pt-PT"/>
              </w:rPr>
              <w:t>)</w:t>
            </w:r>
          </w:p>
        </w:tc>
        <w:tc>
          <w:tcPr>
            <w:tcW w:w="3857" w:type="pct"/>
            <w:tcBorders>
              <w:top w:val="single" w:sz="8" w:space="0" w:color="EDEDED" w:themeColor="accent3" w:themeTint="33"/>
            </w:tcBorders>
            <w:shd w:val="clear" w:color="auto" w:fill="E7E6E6" w:themeFill="background2"/>
            <w:hideMark/>
          </w:tcPr>
          <w:p w14:paraId="4E611F31" w14:textId="06C1FD77" w:rsidR="00620431" w:rsidRPr="00952CC5" w:rsidRDefault="00620431" w:rsidP="00706EE3">
            <w:pPr>
              <w:spacing w:beforeLines="60" w:before="144" w:afterLines="60" w:after="144" w:line="276" w:lineRule="auto"/>
              <w:cnfStyle w:val="000000100000" w:firstRow="0" w:lastRow="0" w:firstColumn="0" w:lastColumn="0" w:oddVBand="0" w:evenVBand="0" w:oddHBand="1" w:evenHBand="0" w:firstRowFirstColumn="0" w:firstRowLastColumn="0" w:lastRowFirstColumn="0" w:lastRowLastColumn="0"/>
              <w:rPr>
                <w:rFonts w:cs="Times New Roman"/>
                <w:color w:val="auto"/>
                <w:sz w:val="22"/>
                <w:lang w:eastAsia="pt-PT"/>
              </w:rPr>
            </w:pPr>
            <w:r w:rsidRPr="00952CC5">
              <w:rPr>
                <w:rFonts w:cs="Times New Roman"/>
                <w:color w:val="auto"/>
                <w:sz w:val="22"/>
                <w:lang w:eastAsia="pt-PT"/>
              </w:rPr>
              <w:t>Maior competição política maior nível de transparência</w:t>
            </w:r>
          </w:p>
        </w:tc>
      </w:tr>
      <w:tr w:rsidR="00620431" w:rsidRPr="00952CC5" w14:paraId="5AF52602" w14:textId="77777777" w:rsidTr="00952CC5">
        <w:trPr>
          <w:trHeight w:val="382"/>
          <w:jc w:val="center"/>
        </w:trPr>
        <w:tc>
          <w:tcPr>
            <w:cnfStyle w:val="001000000000" w:firstRow="0" w:lastRow="0" w:firstColumn="1" w:lastColumn="0" w:oddVBand="0" w:evenVBand="0" w:oddHBand="0" w:evenHBand="0" w:firstRowFirstColumn="0" w:firstRowLastColumn="0" w:lastRowFirstColumn="0" w:lastRowLastColumn="0"/>
            <w:tcW w:w="1143" w:type="pct"/>
            <w:noWrap/>
            <w:hideMark/>
          </w:tcPr>
          <w:p w14:paraId="4E4D5B9D" w14:textId="77777777" w:rsidR="00620431" w:rsidRPr="00952CC5" w:rsidRDefault="00620431" w:rsidP="00706EE3">
            <w:pPr>
              <w:spacing w:beforeLines="60" w:before="144" w:afterLines="60" w:after="144" w:line="276" w:lineRule="auto"/>
              <w:jc w:val="center"/>
              <w:rPr>
                <w:rFonts w:cs="Times New Roman"/>
                <w:color w:val="auto"/>
                <w:sz w:val="22"/>
                <w:lang w:eastAsia="pt-PT"/>
              </w:rPr>
            </w:pPr>
            <w:r w:rsidRPr="00952CC5">
              <w:rPr>
                <w:rFonts w:cs="Times New Roman"/>
                <w:color w:val="auto"/>
                <w:sz w:val="22"/>
                <w:lang w:eastAsia="pt-PT"/>
              </w:rPr>
              <w:t>Hipótese 3 (H</w:t>
            </w:r>
            <w:r w:rsidRPr="00E1729C">
              <w:rPr>
                <w:rFonts w:cs="Times New Roman"/>
                <w:color w:val="auto"/>
                <w:sz w:val="22"/>
                <w:vertAlign w:val="subscript"/>
                <w:lang w:eastAsia="pt-PT"/>
              </w:rPr>
              <w:t>3</w:t>
            </w:r>
            <w:r w:rsidRPr="00952CC5">
              <w:rPr>
                <w:rFonts w:cs="Times New Roman"/>
                <w:color w:val="auto"/>
                <w:sz w:val="22"/>
                <w:lang w:eastAsia="pt-PT"/>
              </w:rPr>
              <w:t>)</w:t>
            </w:r>
          </w:p>
        </w:tc>
        <w:tc>
          <w:tcPr>
            <w:tcW w:w="3857" w:type="pct"/>
            <w:hideMark/>
          </w:tcPr>
          <w:p w14:paraId="08C0792B" w14:textId="452A1800" w:rsidR="00620431" w:rsidRPr="00952CC5" w:rsidRDefault="00620431" w:rsidP="00706EE3">
            <w:pPr>
              <w:tabs>
                <w:tab w:val="left" w:pos="426"/>
              </w:tabs>
              <w:spacing w:beforeLines="60" w:before="144" w:afterLines="60" w:after="144" w:line="276" w:lineRule="auto"/>
              <w:cnfStyle w:val="000000000000" w:firstRow="0" w:lastRow="0" w:firstColumn="0" w:lastColumn="0" w:oddVBand="0" w:evenVBand="0" w:oddHBand="0" w:evenHBand="0" w:firstRowFirstColumn="0" w:firstRowLastColumn="0" w:lastRowFirstColumn="0" w:lastRowLastColumn="0"/>
              <w:rPr>
                <w:rFonts w:cs="Times New Roman"/>
                <w:color w:val="auto"/>
                <w:sz w:val="22"/>
                <w:lang w:eastAsia="pt-PT"/>
              </w:rPr>
            </w:pPr>
            <w:r w:rsidRPr="00952CC5">
              <w:rPr>
                <w:rFonts w:cs="Times New Roman"/>
                <w:color w:val="auto"/>
                <w:sz w:val="22"/>
                <w:lang w:eastAsia="pt-PT"/>
              </w:rPr>
              <w:t xml:space="preserve">O </w:t>
            </w:r>
            <w:r w:rsidR="009C561F" w:rsidRPr="00952CC5">
              <w:rPr>
                <w:rFonts w:cs="Times New Roman"/>
                <w:color w:val="auto"/>
                <w:sz w:val="22"/>
                <w:lang w:eastAsia="pt-PT"/>
              </w:rPr>
              <w:t xml:space="preserve">valor </w:t>
            </w:r>
            <w:r w:rsidRPr="00952CC5">
              <w:rPr>
                <w:rFonts w:cs="Times New Roman"/>
                <w:color w:val="auto"/>
                <w:sz w:val="22"/>
                <w:lang w:eastAsia="pt-PT"/>
              </w:rPr>
              <w:t>de endividamento influencia a transparência</w:t>
            </w:r>
          </w:p>
        </w:tc>
      </w:tr>
      <w:tr w:rsidR="00620431" w:rsidRPr="00952CC5" w14:paraId="545B1654" w14:textId="77777777" w:rsidTr="00952CC5">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1143" w:type="pct"/>
            <w:shd w:val="clear" w:color="auto" w:fill="E7E6E6" w:themeFill="background2"/>
            <w:noWrap/>
          </w:tcPr>
          <w:p w14:paraId="09C00E32" w14:textId="77777777" w:rsidR="00620431" w:rsidRPr="00952CC5" w:rsidRDefault="00620431" w:rsidP="00706EE3">
            <w:pPr>
              <w:spacing w:beforeLines="60" w:before="144" w:afterLines="60" w:after="144" w:line="276" w:lineRule="auto"/>
              <w:jc w:val="center"/>
              <w:rPr>
                <w:rFonts w:cs="Times New Roman"/>
                <w:color w:val="auto"/>
                <w:sz w:val="22"/>
                <w:lang w:eastAsia="pt-PT"/>
              </w:rPr>
            </w:pPr>
            <w:r w:rsidRPr="00952CC5">
              <w:rPr>
                <w:rFonts w:cs="Times New Roman"/>
                <w:color w:val="auto"/>
                <w:sz w:val="22"/>
                <w:lang w:eastAsia="pt-PT"/>
              </w:rPr>
              <w:t>Hipótese 4 (H</w:t>
            </w:r>
            <w:r w:rsidRPr="00E1729C">
              <w:rPr>
                <w:rFonts w:cs="Times New Roman"/>
                <w:color w:val="auto"/>
                <w:sz w:val="22"/>
                <w:vertAlign w:val="subscript"/>
                <w:lang w:eastAsia="pt-PT"/>
              </w:rPr>
              <w:t>4</w:t>
            </w:r>
            <w:r w:rsidRPr="00952CC5">
              <w:rPr>
                <w:rFonts w:cs="Times New Roman"/>
                <w:color w:val="auto"/>
                <w:sz w:val="22"/>
                <w:lang w:eastAsia="pt-PT"/>
              </w:rPr>
              <w:t>)</w:t>
            </w:r>
          </w:p>
        </w:tc>
        <w:tc>
          <w:tcPr>
            <w:tcW w:w="3857" w:type="pct"/>
            <w:shd w:val="clear" w:color="auto" w:fill="E7E6E6" w:themeFill="background2"/>
          </w:tcPr>
          <w:p w14:paraId="27ED441F" w14:textId="0E375772" w:rsidR="00620431" w:rsidRPr="00952CC5" w:rsidRDefault="003F5A09" w:rsidP="00706EE3">
            <w:pPr>
              <w:spacing w:beforeLines="60" w:before="144" w:afterLines="60" w:after="144" w:line="276" w:lineRule="auto"/>
              <w:cnfStyle w:val="000000100000" w:firstRow="0" w:lastRow="0" w:firstColumn="0" w:lastColumn="0" w:oddVBand="0" w:evenVBand="0" w:oddHBand="1" w:evenHBand="0" w:firstRowFirstColumn="0" w:firstRowLastColumn="0" w:lastRowFirstColumn="0" w:lastRowLastColumn="0"/>
              <w:rPr>
                <w:rFonts w:cs="Times New Roman"/>
                <w:color w:val="auto"/>
                <w:sz w:val="22"/>
                <w:lang w:eastAsia="pt-PT"/>
              </w:rPr>
            </w:pPr>
            <w:r w:rsidRPr="00952CC5">
              <w:rPr>
                <w:rFonts w:cs="Times New Roman"/>
                <w:color w:val="auto"/>
                <w:sz w:val="22"/>
                <w:lang w:eastAsia="pt-PT"/>
              </w:rPr>
              <w:t xml:space="preserve">A </w:t>
            </w:r>
            <w:r w:rsidR="00203D7D">
              <w:rPr>
                <w:rFonts w:cs="Times New Roman"/>
                <w:color w:val="auto"/>
                <w:sz w:val="22"/>
                <w:lang w:eastAsia="pt-PT"/>
              </w:rPr>
              <w:t xml:space="preserve">despesa efetiva </w:t>
            </w:r>
            <w:r w:rsidR="00203D7D" w:rsidRPr="00506E82">
              <w:rPr>
                <w:rFonts w:cs="Times New Roman"/>
                <w:i/>
                <w:iCs/>
                <w:color w:val="auto"/>
                <w:sz w:val="22"/>
                <w:lang w:eastAsia="pt-PT"/>
              </w:rPr>
              <w:t>per capita</w:t>
            </w:r>
            <w:r w:rsidR="00620431" w:rsidRPr="00952CC5">
              <w:rPr>
                <w:rFonts w:cs="Times New Roman"/>
                <w:color w:val="auto"/>
                <w:sz w:val="22"/>
                <w:lang w:eastAsia="pt-PT"/>
              </w:rPr>
              <w:t xml:space="preserve"> influencia o nível de transparência</w:t>
            </w:r>
          </w:p>
        </w:tc>
      </w:tr>
      <w:tr w:rsidR="00620431" w:rsidRPr="00952CC5" w14:paraId="1FD73D3F" w14:textId="77777777" w:rsidTr="00952CC5">
        <w:trPr>
          <w:trHeight w:val="512"/>
          <w:jc w:val="center"/>
        </w:trPr>
        <w:tc>
          <w:tcPr>
            <w:cnfStyle w:val="001000000000" w:firstRow="0" w:lastRow="0" w:firstColumn="1" w:lastColumn="0" w:oddVBand="0" w:evenVBand="0" w:oddHBand="0" w:evenHBand="0" w:firstRowFirstColumn="0" w:firstRowLastColumn="0" w:lastRowFirstColumn="0" w:lastRowLastColumn="0"/>
            <w:tcW w:w="1143" w:type="pct"/>
            <w:noWrap/>
          </w:tcPr>
          <w:p w14:paraId="45746FC7" w14:textId="77777777" w:rsidR="00620431" w:rsidRPr="00952CC5" w:rsidRDefault="00620431" w:rsidP="00706EE3">
            <w:pPr>
              <w:spacing w:beforeLines="60" w:before="144" w:afterLines="60" w:after="144" w:line="276" w:lineRule="auto"/>
              <w:jc w:val="center"/>
              <w:rPr>
                <w:rFonts w:cs="Times New Roman"/>
                <w:color w:val="auto"/>
                <w:sz w:val="22"/>
                <w:lang w:eastAsia="pt-PT"/>
              </w:rPr>
            </w:pPr>
            <w:r w:rsidRPr="00952CC5">
              <w:rPr>
                <w:rFonts w:cs="Times New Roman"/>
                <w:color w:val="auto"/>
                <w:sz w:val="22"/>
                <w:lang w:eastAsia="pt-PT"/>
              </w:rPr>
              <w:t>Hipótese 5 (H</w:t>
            </w:r>
            <w:r w:rsidRPr="00E1729C">
              <w:rPr>
                <w:rFonts w:cs="Times New Roman"/>
                <w:color w:val="auto"/>
                <w:sz w:val="22"/>
                <w:vertAlign w:val="subscript"/>
                <w:lang w:eastAsia="pt-PT"/>
              </w:rPr>
              <w:t>5</w:t>
            </w:r>
            <w:r w:rsidRPr="00952CC5">
              <w:rPr>
                <w:rFonts w:cs="Times New Roman"/>
                <w:color w:val="auto"/>
                <w:sz w:val="22"/>
                <w:lang w:eastAsia="pt-PT"/>
              </w:rPr>
              <w:t>)</w:t>
            </w:r>
          </w:p>
        </w:tc>
        <w:tc>
          <w:tcPr>
            <w:tcW w:w="3857" w:type="pct"/>
          </w:tcPr>
          <w:p w14:paraId="1EF10847" w14:textId="77777777" w:rsidR="00620431" w:rsidRPr="00952CC5" w:rsidRDefault="00620431" w:rsidP="00706EE3">
            <w:pPr>
              <w:tabs>
                <w:tab w:val="left" w:pos="426"/>
              </w:tabs>
              <w:spacing w:beforeLines="60" w:before="144" w:afterLines="60" w:after="144" w:line="276" w:lineRule="auto"/>
              <w:cnfStyle w:val="000000000000" w:firstRow="0" w:lastRow="0" w:firstColumn="0" w:lastColumn="0" w:oddVBand="0" w:evenVBand="0" w:oddHBand="0" w:evenHBand="0" w:firstRowFirstColumn="0" w:firstRowLastColumn="0" w:lastRowFirstColumn="0" w:lastRowLastColumn="0"/>
              <w:rPr>
                <w:rFonts w:cs="Times New Roman"/>
                <w:color w:val="auto"/>
                <w:sz w:val="22"/>
                <w:lang w:eastAsia="pt-PT"/>
              </w:rPr>
            </w:pPr>
            <w:r w:rsidRPr="00952CC5">
              <w:rPr>
                <w:rFonts w:cs="Times New Roman"/>
                <w:color w:val="auto"/>
                <w:sz w:val="22"/>
                <w:lang w:eastAsia="pt-PT"/>
              </w:rPr>
              <w:t>Quanto maior a população residente maior nível de transparência</w:t>
            </w:r>
          </w:p>
        </w:tc>
      </w:tr>
      <w:tr w:rsidR="00620431" w:rsidRPr="00952CC5" w14:paraId="27A1EA7A" w14:textId="77777777" w:rsidTr="00952CC5">
        <w:trPr>
          <w:cnfStyle w:val="000000100000" w:firstRow="0" w:lastRow="0" w:firstColumn="0" w:lastColumn="0" w:oddVBand="0" w:evenVBand="0" w:oddHBand="1" w:evenHBand="0" w:firstRowFirstColumn="0" w:firstRowLastColumn="0" w:lastRowFirstColumn="0" w:lastRowLastColumn="0"/>
          <w:trHeight w:val="364"/>
          <w:jc w:val="center"/>
        </w:trPr>
        <w:tc>
          <w:tcPr>
            <w:cnfStyle w:val="001000000000" w:firstRow="0" w:lastRow="0" w:firstColumn="1" w:lastColumn="0" w:oddVBand="0" w:evenVBand="0" w:oddHBand="0" w:evenHBand="0" w:firstRowFirstColumn="0" w:firstRowLastColumn="0" w:lastRowFirstColumn="0" w:lastRowLastColumn="0"/>
            <w:tcW w:w="1143" w:type="pct"/>
            <w:shd w:val="clear" w:color="auto" w:fill="E7E6E6" w:themeFill="background2"/>
            <w:noWrap/>
          </w:tcPr>
          <w:p w14:paraId="1F556F3B" w14:textId="77777777" w:rsidR="00620431" w:rsidRPr="00952CC5" w:rsidRDefault="00620431" w:rsidP="00706EE3">
            <w:pPr>
              <w:spacing w:beforeLines="60" w:before="144" w:afterLines="60" w:after="144" w:line="276" w:lineRule="auto"/>
              <w:jc w:val="center"/>
              <w:rPr>
                <w:rFonts w:cs="Times New Roman"/>
                <w:color w:val="auto"/>
                <w:sz w:val="22"/>
                <w:lang w:eastAsia="pt-PT"/>
              </w:rPr>
            </w:pPr>
            <w:r w:rsidRPr="00952CC5">
              <w:rPr>
                <w:rFonts w:cs="Times New Roman"/>
                <w:color w:val="auto"/>
                <w:sz w:val="22"/>
                <w:lang w:eastAsia="pt-PT"/>
              </w:rPr>
              <w:t>Hipótese 6 (H</w:t>
            </w:r>
            <w:r w:rsidRPr="00E1729C">
              <w:rPr>
                <w:rFonts w:cs="Times New Roman"/>
                <w:color w:val="auto"/>
                <w:sz w:val="22"/>
                <w:vertAlign w:val="subscript"/>
                <w:lang w:eastAsia="pt-PT"/>
              </w:rPr>
              <w:t>6</w:t>
            </w:r>
            <w:r w:rsidRPr="00952CC5">
              <w:rPr>
                <w:rFonts w:cs="Times New Roman"/>
                <w:color w:val="auto"/>
                <w:sz w:val="22"/>
                <w:lang w:eastAsia="pt-PT"/>
              </w:rPr>
              <w:t>)</w:t>
            </w:r>
          </w:p>
        </w:tc>
        <w:tc>
          <w:tcPr>
            <w:tcW w:w="3857" w:type="pct"/>
            <w:shd w:val="clear" w:color="auto" w:fill="E7E6E6" w:themeFill="background2"/>
          </w:tcPr>
          <w:p w14:paraId="2B990001" w14:textId="77777777" w:rsidR="00620431" w:rsidRPr="00952CC5" w:rsidRDefault="00620431" w:rsidP="00706EE3">
            <w:pPr>
              <w:spacing w:beforeLines="60" w:before="144" w:afterLines="60" w:after="144" w:line="276" w:lineRule="auto"/>
              <w:cnfStyle w:val="000000100000" w:firstRow="0" w:lastRow="0" w:firstColumn="0" w:lastColumn="0" w:oddVBand="0" w:evenVBand="0" w:oddHBand="1" w:evenHBand="0" w:firstRowFirstColumn="0" w:firstRowLastColumn="0" w:lastRowFirstColumn="0" w:lastRowLastColumn="0"/>
              <w:rPr>
                <w:rFonts w:cs="Times New Roman"/>
                <w:color w:val="auto"/>
                <w:sz w:val="22"/>
                <w:lang w:eastAsia="pt-PT"/>
              </w:rPr>
            </w:pPr>
            <w:r w:rsidRPr="00952CC5">
              <w:rPr>
                <w:rFonts w:cs="Times New Roman"/>
                <w:color w:val="auto"/>
                <w:sz w:val="22"/>
                <w:lang w:eastAsia="pt-PT"/>
              </w:rPr>
              <w:t>Maior taxa de população idosa maior o nível de transparência</w:t>
            </w:r>
          </w:p>
        </w:tc>
      </w:tr>
      <w:tr w:rsidR="00620431" w:rsidRPr="00952CC5" w14:paraId="0AE901D1" w14:textId="77777777" w:rsidTr="000752A1">
        <w:trPr>
          <w:trHeight w:val="454"/>
          <w:jc w:val="center"/>
        </w:trPr>
        <w:tc>
          <w:tcPr>
            <w:cnfStyle w:val="001000000000" w:firstRow="0" w:lastRow="0" w:firstColumn="1" w:lastColumn="0" w:oddVBand="0" w:evenVBand="0" w:oddHBand="0" w:evenHBand="0" w:firstRowFirstColumn="0" w:firstRowLastColumn="0" w:lastRowFirstColumn="0" w:lastRowLastColumn="0"/>
            <w:tcW w:w="1143" w:type="pct"/>
            <w:noWrap/>
            <w:hideMark/>
          </w:tcPr>
          <w:p w14:paraId="09AD0212" w14:textId="77777777" w:rsidR="00620431" w:rsidRPr="00952CC5" w:rsidRDefault="00620431" w:rsidP="00706EE3">
            <w:pPr>
              <w:spacing w:beforeLines="60" w:before="144" w:afterLines="60" w:after="144" w:line="276" w:lineRule="auto"/>
              <w:jc w:val="center"/>
              <w:rPr>
                <w:rFonts w:cs="Times New Roman"/>
                <w:color w:val="auto"/>
                <w:sz w:val="22"/>
                <w:lang w:eastAsia="pt-PT"/>
              </w:rPr>
            </w:pPr>
            <w:r w:rsidRPr="00952CC5">
              <w:rPr>
                <w:rFonts w:cs="Times New Roman"/>
                <w:color w:val="auto"/>
                <w:sz w:val="22"/>
                <w:lang w:eastAsia="pt-PT"/>
              </w:rPr>
              <w:t>Hipótese 7 (H</w:t>
            </w:r>
            <w:r w:rsidRPr="00380C56">
              <w:rPr>
                <w:rFonts w:cs="Times New Roman"/>
                <w:color w:val="auto"/>
                <w:sz w:val="22"/>
                <w:vertAlign w:val="subscript"/>
                <w:lang w:eastAsia="pt-PT"/>
              </w:rPr>
              <w:t>7</w:t>
            </w:r>
            <w:r w:rsidRPr="00952CC5">
              <w:rPr>
                <w:rFonts w:cs="Times New Roman"/>
                <w:color w:val="auto"/>
                <w:sz w:val="22"/>
                <w:lang w:eastAsia="pt-PT"/>
              </w:rPr>
              <w:t>)</w:t>
            </w:r>
          </w:p>
        </w:tc>
        <w:tc>
          <w:tcPr>
            <w:tcW w:w="3857" w:type="pct"/>
          </w:tcPr>
          <w:p w14:paraId="4D352569" w14:textId="77777777" w:rsidR="00620431" w:rsidRPr="00952CC5" w:rsidRDefault="00620431" w:rsidP="00706EE3">
            <w:pPr>
              <w:tabs>
                <w:tab w:val="left" w:pos="426"/>
              </w:tabs>
              <w:spacing w:beforeLines="60" w:before="144" w:afterLines="60" w:after="144" w:line="276" w:lineRule="auto"/>
              <w:cnfStyle w:val="000000000000" w:firstRow="0" w:lastRow="0" w:firstColumn="0" w:lastColumn="0" w:oddVBand="0" w:evenVBand="0" w:oddHBand="0" w:evenHBand="0" w:firstRowFirstColumn="0" w:firstRowLastColumn="0" w:lastRowFirstColumn="0" w:lastRowLastColumn="0"/>
              <w:rPr>
                <w:rFonts w:cs="Times New Roman"/>
                <w:color w:val="auto"/>
                <w:sz w:val="22"/>
                <w:lang w:eastAsia="pt-PT"/>
              </w:rPr>
            </w:pPr>
            <w:r w:rsidRPr="00952CC5">
              <w:rPr>
                <w:rFonts w:cs="Times New Roman"/>
                <w:color w:val="auto"/>
                <w:sz w:val="22"/>
                <w:lang w:eastAsia="pt-PT"/>
              </w:rPr>
              <w:t>Quanto maior o nível de desemprego maior o nível de transparência</w:t>
            </w:r>
          </w:p>
        </w:tc>
      </w:tr>
      <w:tr w:rsidR="00620431" w:rsidRPr="00952CC5" w14:paraId="4851A088" w14:textId="77777777" w:rsidTr="00221957">
        <w:trPr>
          <w:cnfStyle w:val="000000100000" w:firstRow="0" w:lastRow="0" w:firstColumn="0" w:lastColumn="0" w:oddVBand="0" w:evenVBand="0" w:oddHBand="1" w:evenHBand="0" w:firstRowFirstColumn="0" w:firstRowLastColumn="0" w:lastRowFirstColumn="0" w:lastRowLastColumn="0"/>
          <w:trHeight w:val="466"/>
          <w:jc w:val="center"/>
        </w:trPr>
        <w:tc>
          <w:tcPr>
            <w:cnfStyle w:val="001000000000" w:firstRow="0" w:lastRow="0" w:firstColumn="1" w:lastColumn="0" w:oddVBand="0" w:evenVBand="0" w:oddHBand="0" w:evenHBand="0" w:firstRowFirstColumn="0" w:firstRowLastColumn="0" w:lastRowFirstColumn="0" w:lastRowLastColumn="0"/>
            <w:tcW w:w="1143" w:type="pct"/>
            <w:tcBorders>
              <w:bottom w:val="double" w:sz="4" w:space="0" w:color="auto"/>
            </w:tcBorders>
            <w:shd w:val="clear" w:color="auto" w:fill="E7E6E6" w:themeFill="background2"/>
            <w:noWrap/>
            <w:hideMark/>
          </w:tcPr>
          <w:p w14:paraId="27F76C25" w14:textId="77777777" w:rsidR="00620431" w:rsidRPr="00952CC5" w:rsidRDefault="00620431" w:rsidP="00706EE3">
            <w:pPr>
              <w:spacing w:beforeLines="60" w:before="144" w:afterLines="60" w:after="144" w:line="276" w:lineRule="auto"/>
              <w:jc w:val="center"/>
              <w:rPr>
                <w:rFonts w:cs="Times New Roman"/>
                <w:iCs/>
                <w:color w:val="auto"/>
                <w:sz w:val="22"/>
                <w:lang w:eastAsia="pt-PT"/>
              </w:rPr>
            </w:pPr>
            <w:r w:rsidRPr="00952CC5">
              <w:rPr>
                <w:rFonts w:cs="Times New Roman"/>
                <w:color w:val="auto"/>
                <w:sz w:val="22"/>
                <w:lang w:eastAsia="pt-PT"/>
              </w:rPr>
              <w:t>Hipótese 8 (H</w:t>
            </w:r>
            <w:r w:rsidRPr="009B098D">
              <w:rPr>
                <w:rFonts w:cs="Times New Roman"/>
                <w:color w:val="auto"/>
                <w:sz w:val="22"/>
                <w:vertAlign w:val="subscript"/>
                <w:lang w:eastAsia="pt-PT"/>
              </w:rPr>
              <w:t>8</w:t>
            </w:r>
            <w:r w:rsidRPr="00952CC5">
              <w:rPr>
                <w:rFonts w:cs="Times New Roman"/>
                <w:color w:val="auto"/>
                <w:sz w:val="22"/>
                <w:lang w:eastAsia="pt-PT"/>
              </w:rPr>
              <w:t>)</w:t>
            </w:r>
          </w:p>
        </w:tc>
        <w:tc>
          <w:tcPr>
            <w:tcW w:w="3857" w:type="pct"/>
            <w:tcBorders>
              <w:bottom w:val="double" w:sz="4" w:space="0" w:color="auto"/>
            </w:tcBorders>
            <w:shd w:val="clear" w:color="auto" w:fill="E7E6E6" w:themeFill="background2"/>
          </w:tcPr>
          <w:p w14:paraId="59FC8A47" w14:textId="0025045D" w:rsidR="00620431" w:rsidRPr="00952CC5" w:rsidRDefault="00620431" w:rsidP="00706EE3">
            <w:pPr>
              <w:keepNext/>
              <w:spacing w:beforeLines="60" w:before="144" w:afterLines="60" w:after="144" w:line="276" w:lineRule="auto"/>
              <w:cnfStyle w:val="000000100000" w:firstRow="0" w:lastRow="0" w:firstColumn="0" w:lastColumn="0" w:oddVBand="0" w:evenVBand="0" w:oddHBand="1" w:evenHBand="0" w:firstRowFirstColumn="0" w:firstRowLastColumn="0" w:lastRowFirstColumn="0" w:lastRowLastColumn="0"/>
              <w:rPr>
                <w:rFonts w:cs="Times New Roman"/>
                <w:color w:val="auto"/>
                <w:sz w:val="22"/>
                <w:lang w:eastAsia="pt-PT"/>
              </w:rPr>
            </w:pPr>
            <w:r w:rsidRPr="00952CC5">
              <w:rPr>
                <w:rFonts w:cs="Times New Roman"/>
                <w:bCs/>
                <w:color w:val="auto"/>
                <w:sz w:val="22"/>
              </w:rPr>
              <w:t xml:space="preserve">Quanto </w:t>
            </w:r>
            <w:r w:rsidR="003F5A09" w:rsidRPr="00952CC5">
              <w:rPr>
                <w:rFonts w:cs="Times New Roman"/>
                <w:bCs/>
                <w:color w:val="auto"/>
                <w:sz w:val="22"/>
              </w:rPr>
              <w:t xml:space="preserve">menor a percentagem de abstenção </w:t>
            </w:r>
            <w:r w:rsidRPr="00952CC5">
              <w:rPr>
                <w:rFonts w:cs="Times New Roman"/>
                <w:bCs/>
                <w:color w:val="auto"/>
                <w:sz w:val="22"/>
              </w:rPr>
              <w:t>maior o nível de transparência</w:t>
            </w:r>
          </w:p>
        </w:tc>
      </w:tr>
    </w:tbl>
    <w:bookmarkEnd w:id="75"/>
    <w:p w14:paraId="1D715417" w14:textId="71270AED" w:rsidR="00FE52D0" w:rsidRDefault="003E6F9B" w:rsidP="00B14AAE">
      <w:pPr>
        <w:spacing w:before="240" w:after="240" w:line="360" w:lineRule="auto"/>
        <w:jc w:val="both"/>
      </w:pPr>
      <w:r>
        <w:rPr>
          <w:rFonts w:cs="Times New Roman"/>
        </w:rPr>
        <w:t>Para a p</w:t>
      </w:r>
      <w:r w:rsidR="002E54FD">
        <w:rPr>
          <w:rFonts w:cs="Times New Roman"/>
        </w:rPr>
        <w:t>ros</w:t>
      </w:r>
      <w:r>
        <w:rPr>
          <w:rFonts w:cs="Times New Roman"/>
        </w:rPr>
        <w:t>secução d</w:t>
      </w:r>
      <w:r w:rsidR="005A5D51">
        <w:rPr>
          <w:rFonts w:cs="Times New Roman"/>
        </w:rPr>
        <w:t xml:space="preserve">a análise dos </w:t>
      </w:r>
      <w:r w:rsidR="00BA7A88">
        <w:rPr>
          <w:rFonts w:cs="Times New Roman"/>
        </w:rPr>
        <w:t>determinantes que podem afetar o nível de tran</w:t>
      </w:r>
      <w:r w:rsidR="002510E2">
        <w:rPr>
          <w:rFonts w:cs="Times New Roman"/>
        </w:rPr>
        <w:t>sparência municipal</w:t>
      </w:r>
      <w:r w:rsidR="00881F70">
        <w:rPr>
          <w:rFonts w:cs="Times New Roman"/>
        </w:rPr>
        <w:t xml:space="preserve"> e das hipóteses formuladas</w:t>
      </w:r>
      <w:r w:rsidR="002510E2">
        <w:rPr>
          <w:rFonts w:cs="Times New Roman"/>
        </w:rPr>
        <w:t>,</w:t>
      </w:r>
      <w:r>
        <w:rPr>
          <w:rFonts w:cs="Times New Roman"/>
        </w:rPr>
        <w:t xml:space="preserve"> recorreu-se</w:t>
      </w:r>
      <w:r w:rsidR="002510E2">
        <w:rPr>
          <w:rFonts w:cs="Times New Roman"/>
        </w:rPr>
        <w:t xml:space="preserve"> </w:t>
      </w:r>
      <w:r>
        <w:rPr>
          <w:rFonts w:cs="Times New Roman"/>
        </w:rPr>
        <w:t xml:space="preserve">a uma metodologia quantitativa tendo em </w:t>
      </w:r>
      <w:r w:rsidR="00892154">
        <w:rPr>
          <w:rFonts w:cs="Times New Roman"/>
        </w:rPr>
        <w:t>consideração o</w:t>
      </w:r>
      <w:r>
        <w:rPr>
          <w:rFonts w:cs="Times New Roman"/>
        </w:rPr>
        <w:t xml:space="preserve"> tipo de dados de que dispomos.</w:t>
      </w:r>
      <w:r w:rsidR="00FE52D0">
        <w:rPr>
          <w:rFonts w:cs="Times New Roman"/>
        </w:rPr>
        <w:t xml:space="preserve"> Este tipo de dados são de natureza quantitativa e, de acordo com</w:t>
      </w:r>
      <w:r w:rsidR="00892154">
        <w:rPr>
          <w:rFonts w:cs="Times New Roman"/>
        </w:rPr>
        <w:t xml:space="preserve"> </w:t>
      </w:r>
      <w:r w:rsidR="00FE52D0">
        <w:rPr>
          <w:rFonts w:cs="Times New Roman"/>
        </w:rPr>
        <w:t>Guimarães (2008, p. 20)</w:t>
      </w:r>
      <w:r w:rsidR="005A5D51">
        <w:rPr>
          <w:rFonts w:cs="Times New Roman"/>
        </w:rPr>
        <w:t>,</w:t>
      </w:r>
      <w:r w:rsidR="00FE52D0">
        <w:rPr>
          <w:rFonts w:cs="Times New Roman"/>
        </w:rPr>
        <w:t xml:space="preserve"> estes apresentam </w:t>
      </w:r>
      <w:r w:rsidR="00FE52D0">
        <w:t>números resultantes de uma contagem ou mensuração.</w:t>
      </w:r>
    </w:p>
    <w:p w14:paraId="3EB78E09" w14:textId="4A44D9D1" w:rsidR="00812AD1" w:rsidRDefault="00812AD1" w:rsidP="00BA7A88">
      <w:pPr>
        <w:spacing w:line="360" w:lineRule="auto"/>
        <w:jc w:val="both"/>
        <w:rPr>
          <w:rFonts w:cs="Times New Roman"/>
        </w:rPr>
      </w:pPr>
      <w:r>
        <w:rPr>
          <w:rFonts w:cs="Times New Roman"/>
        </w:rPr>
        <w:t xml:space="preserve">O ITM é a variável que se pretende explicar e as restantes variáveis </w:t>
      </w:r>
      <w:r w:rsidR="00D8317E">
        <w:rPr>
          <w:rFonts w:cs="Times New Roman"/>
        </w:rPr>
        <w:t>I</w:t>
      </w:r>
      <w:r>
        <w:rPr>
          <w:rFonts w:cs="Times New Roman"/>
        </w:rPr>
        <w:t xml:space="preserve">PP, </w:t>
      </w:r>
      <w:r w:rsidR="006B27AE">
        <w:rPr>
          <w:rFonts w:cs="Times New Roman"/>
        </w:rPr>
        <w:t>C</w:t>
      </w:r>
      <w:r>
        <w:rPr>
          <w:rFonts w:cs="Times New Roman"/>
        </w:rPr>
        <w:t>P, VEnd,</w:t>
      </w:r>
      <w:r w:rsidR="00203D7D">
        <w:rPr>
          <w:rFonts w:cs="Times New Roman"/>
        </w:rPr>
        <w:t xml:space="preserve"> DE,</w:t>
      </w:r>
      <w:r>
        <w:rPr>
          <w:rFonts w:cs="Times New Roman"/>
        </w:rPr>
        <w:t xml:space="preserve"> PR, </w:t>
      </w:r>
      <w:proofErr w:type="spellStart"/>
      <w:r w:rsidR="001878EF">
        <w:rPr>
          <w:rFonts w:cs="Times New Roman"/>
        </w:rPr>
        <w:t>Tx</w:t>
      </w:r>
      <w:r>
        <w:rPr>
          <w:rFonts w:cs="Times New Roman"/>
        </w:rPr>
        <w:t>PI</w:t>
      </w:r>
      <w:proofErr w:type="spellEnd"/>
      <w:r>
        <w:rPr>
          <w:rFonts w:cs="Times New Roman"/>
        </w:rPr>
        <w:t xml:space="preserve">, </w:t>
      </w:r>
      <w:proofErr w:type="spellStart"/>
      <w:r>
        <w:rPr>
          <w:rFonts w:cs="Times New Roman"/>
        </w:rPr>
        <w:t>TxD</w:t>
      </w:r>
      <w:proofErr w:type="spellEnd"/>
      <w:r>
        <w:rPr>
          <w:rFonts w:cs="Times New Roman"/>
        </w:rPr>
        <w:t xml:space="preserve"> e PA as utilizadas </w:t>
      </w:r>
      <w:r w:rsidR="00620431">
        <w:rPr>
          <w:rFonts w:cs="Times New Roman"/>
        </w:rPr>
        <w:t xml:space="preserve">por serem consideradas na literatura como potenciais </w:t>
      </w:r>
      <w:r w:rsidR="004978CC">
        <w:rPr>
          <w:rFonts w:cs="Times New Roman"/>
        </w:rPr>
        <w:t>variáveis que influenciam a transparência dos municípios portugueses</w:t>
      </w:r>
      <w:r>
        <w:rPr>
          <w:rFonts w:cs="Times New Roman"/>
        </w:rPr>
        <w:t xml:space="preserve">. </w:t>
      </w:r>
    </w:p>
    <w:p w14:paraId="637BC2B0" w14:textId="38BD2F98" w:rsidR="00373919" w:rsidRDefault="00D552F8" w:rsidP="00865D13">
      <w:pPr>
        <w:spacing w:before="240" w:line="360" w:lineRule="auto"/>
        <w:jc w:val="both"/>
        <w:rPr>
          <w:rFonts w:cs="Times New Roman"/>
        </w:rPr>
      </w:pPr>
      <w:r>
        <w:rPr>
          <w:rFonts w:cs="Times New Roman"/>
        </w:rPr>
        <w:t xml:space="preserve">Segundo </w:t>
      </w:r>
      <w:r w:rsidR="00C872F3">
        <w:rPr>
          <w:rFonts w:cs="Times New Roman"/>
        </w:rPr>
        <w:t xml:space="preserve">Reis </w:t>
      </w:r>
      <w:r w:rsidR="00C872F3" w:rsidRPr="00C872F3">
        <w:rPr>
          <w:rFonts w:cs="Times New Roman"/>
          <w:i/>
          <w:iCs/>
        </w:rPr>
        <w:t>et al.</w:t>
      </w:r>
      <w:r w:rsidR="00C872F3">
        <w:rPr>
          <w:rFonts w:cs="Times New Roman"/>
        </w:rPr>
        <w:t xml:space="preserve"> (1999, p.</w:t>
      </w:r>
      <w:r w:rsidR="005A5D51">
        <w:rPr>
          <w:rFonts w:cs="Times New Roman"/>
        </w:rPr>
        <w:t xml:space="preserve"> </w:t>
      </w:r>
      <w:r w:rsidR="00C872F3">
        <w:rPr>
          <w:rFonts w:cs="Times New Roman"/>
        </w:rPr>
        <w:t>19)</w:t>
      </w:r>
      <w:r>
        <w:rPr>
          <w:rFonts w:cs="Times New Roman"/>
        </w:rPr>
        <w:t xml:space="preserve"> </w:t>
      </w:r>
      <w:r w:rsidR="00C872F3">
        <w:rPr>
          <w:rFonts w:cs="Times New Roman"/>
        </w:rPr>
        <w:t>um universo</w:t>
      </w:r>
      <w:r>
        <w:rPr>
          <w:rFonts w:cs="Times New Roman"/>
        </w:rPr>
        <w:t xml:space="preserve"> </w:t>
      </w:r>
      <w:r w:rsidR="005A5D51">
        <w:rPr>
          <w:rFonts w:cs="Times New Roman"/>
        </w:rPr>
        <w:t xml:space="preserve">é o </w:t>
      </w:r>
      <w:r>
        <w:rPr>
          <w:rFonts w:cs="Times New Roman"/>
        </w:rPr>
        <w:t>«</w:t>
      </w:r>
      <w:r w:rsidR="00C872F3">
        <w:rPr>
          <w:rFonts w:cs="Times New Roman"/>
        </w:rPr>
        <w:t>conjunto de unidades com características comuns</w:t>
      </w:r>
      <w:r>
        <w:t xml:space="preserve">.» </w:t>
      </w:r>
      <w:r w:rsidR="00E4532B">
        <w:rPr>
          <w:rFonts w:cs="Times New Roman"/>
        </w:rPr>
        <w:t>O universo</w:t>
      </w:r>
      <w:r w:rsidR="00812AD1">
        <w:rPr>
          <w:rFonts w:cs="Times New Roman"/>
        </w:rPr>
        <w:t xml:space="preserve"> considerad</w:t>
      </w:r>
      <w:r w:rsidR="00E4532B">
        <w:rPr>
          <w:rFonts w:cs="Times New Roman"/>
        </w:rPr>
        <w:t>o</w:t>
      </w:r>
      <w:r>
        <w:rPr>
          <w:rFonts w:cs="Times New Roman"/>
        </w:rPr>
        <w:t xml:space="preserve"> neste estudo</w:t>
      </w:r>
      <w:r w:rsidR="00812AD1">
        <w:rPr>
          <w:rFonts w:cs="Times New Roman"/>
        </w:rPr>
        <w:t xml:space="preserve"> diz respeito </w:t>
      </w:r>
      <w:r w:rsidR="00E72F2D">
        <w:rPr>
          <w:rFonts w:cs="Times New Roman"/>
        </w:rPr>
        <w:t>a todos os municípios portugueses (308), n</w:t>
      </w:r>
      <w:r w:rsidR="00812AD1">
        <w:rPr>
          <w:rFonts w:cs="Times New Roman"/>
        </w:rPr>
        <w:t>os</w:t>
      </w:r>
      <w:r w:rsidR="00BA7A88">
        <w:rPr>
          <w:rFonts w:cs="Times New Roman"/>
        </w:rPr>
        <w:t xml:space="preserve"> anos 2013 a 2017</w:t>
      </w:r>
      <w:r w:rsidR="002510E2">
        <w:rPr>
          <w:rFonts w:cs="Times New Roman"/>
        </w:rPr>
        <w:t>.</w:t>
      </w:r>
      <w:r w:rsidR="00865D13">
        <w:rPr>
          <w:rFonts w:cs="Times New Roman"/>
        </w:rPr>
        <w:t xml:space="preserve"> O número total de observações para os 5 anos do estudo é de 1540 (308*5). </w:t>
      </w:r>
      <w:r w:rsidR="00B059F9">
        <w:rPr>
          <w:rFonts w:cs="Times New Roman"/>
        </w:rPr>
        <w:t>Refira-se que</w:t>
      </w:r>
      <w:r w:rsidR="00865D13">
        <w:rPr>
          <w:rFonts w:cs="Times New Roman"/>
        </w:rPr>
        <w:t xml:space="preserve"> o número de municípios </w:t>
      </w:r>
      <w:r w:rsidR="002E54FD">
        <w:rPr>
          <w:rFonts w:cs="Times New Roman"/>
        </w:rPr>
        <w:t xml:space="preserve">se </w:t>
      </w:r>
      <w:r w:rsidR="0027162E">
        <w:rPr>
          <w:rFonts w:cs="Times New Roman"/>
        </w:rPr>
        <w:t>mantém</w:t>
      </w:r>
      <w:r w:rsidR="00865D13">
        <w:rPr>
          <w:rFonts w:cs="Times New Roman"/>
        </w:rPr>
        <w:t xml:space="preserve"> constante para cada ano em estudo. </w:t>
      </w:r>
    </w:p>
    <w:p w14:paraId="039EC6F6" w14:textId="233058BE" w:rsidR="00373919" w:rsidRDefault="00812AD1" w:rsidP="00BA7A88">
      <w:pPr>
        <w:spacing w:line="360" w:lineRule="auto"/>
        <w:jc w:val="both"/>
        <w:rPr>
          <w:rFonts w:cs="Times New Roman"/>
        </w:rPr>
      </w:pPr>
      <w:r>
        <w:rPr>
          <w:rFonts w:cs="Times New Roman"/>
        </w:rPr>
        <w:lastRenderedPageBreak/>
        <w:t>Com base nestas</w:t>
      </w:r>
      <w:r w:rsidR="006E1F9C">
        <w:rPr>
          <w:rFonts w:cs="Times New Roman"/>
        </w:rPr>
        <w:t xml:space="preserve"> </w:t>
      </w:r>
      <w:r w:rsidR="00C872F3">
        <w:rPr>
          <w:rFonts w:cs="Times New Roman"/>
        </w:rPr>
        <w:t>hipóteses procedeu</w:t>
      </w:r>
      <w:r>
        <w:rPr>
          <w:rFonts w:cs="Times New Roman"/>
        </w:rPr>
        <w:t xml:space="preserve">-se à </w:t>
      </w:r>
      <w:r w:rsidR="00892154">
        <w:rPr>
          <w:rFonts w:cs="Times New Roman"/>
        </w:rPr>
        <w:t>análise</w:t>
      </w:r>
      <w:r>
        <w:rPr>
          <w:rFonts w:cs="Times New Roman"/>
        </w:rPr>
        <w:t xml:space="preserve"> descr</w:t>
      </w:r>
      <w:r w:rsidR="00620431">
        <w:rPr>
          <w:rFonts w:cs="Times New Roman"/>
        </w:rPr>
        <w:t xml:space="preserve">itiva, </w:t>
      </w:r>
      <w:r w:rsidR="00620431" w:rsidRPr="00113C7F">
        <w:rPr>
          <w:rFonts w:cs="Times New Roman"/>
        </w:rPr>
        <w:t>análise de correlação e</w:t>
      </w:r>
      <w:r w:rsidR="00620431">
        <w:rPr>
          <w:rFonts w:cs="Times New Roman"/>
        </w:rPr>
        <w:t xml:space="preserve"> à regressão linear múltipla com dados em painel ou dados longitudinais das variáveis</w:t>
      </w:r>
      <w:r w:rsidR="005A5D51">
        <w:rPr>
          <w:rFonts w:cs="Times New Roman"/>
        </w:rPr>
        <w:t xml:space="preserve"> em estudo: ITM,</w:t>
      </w:r>
      <w:r w:rsidR="00620431">
        <w:rPr>
          <w:rFonts w:cs="Times New Roman"/>
        </w:rPr>
        <w:t xml:space="preserve"> </w:t>
      </w:r>
      <w:r w:rsidR="00D8317E">
        <w:rPr>
          <w:rFonts w:cs="Times New Roman"/>
        </w:rPr>
        <w:t>I</w:t>
      </w:r>
      <w:r w:rsidR="00620431">
        <w:rPr>
          <w:rFonts w:cs="Times New Roman"/>
        </w:rPr>
        <w:t xml:space="preserve">PP, </w:t>
      </w:r>
      <w:r w:rsidR="006B27AE">
        <w:rPr>
          <w:rFonts w:cs="Times New Roman"/>
        </w:rPr>
        <w:t>C</w:t>
      </w:r>
      <w:r w:rsidR="00620431">
        <w:rPr>
          <w:rFonts w:cs="Times New Roman"/>
        </w:rPr>
        <w:t>P, VEnd,</w:t>
      </w:r>
      <w:r w:rsidR="00203D7D">
        <w:rPr>
          <w:rFonts w:cs="Times New Roman"/>
        </w:rPr>
        <w:t xml:space="preserve"> DE</w:t>
      </w:r>
      <w:r w:rsidR="00620431">
        <w:rPr>
          <w:rFonts w:cs="Times New Roman"/>
        </w:rPr>
        <w:t xml:space="preserve"> PR, </w:t>
      </w:r>
      <w:proofErr w:type="spellStart"/>
      <w:r w:rsidR="001878EF">
        <w:rPr>
          <w:rFonts w:cs="Times New Roman"/>
        </w:rPr>
        <w:t>Tx</w:t>
      </w:r>
      <w:r w:rsidR="00620431">
        <w:rPr>
          <w:rFonts w:cs="Times New Roman"/>
        </w:rPr>
        <w:t>PI</w:t>
      </w:r>
      <w:proofErr w:type="spellEnd"/>
      <w:r w:rsidR="00620431">
        <w:rPr>
          <w:rFonts w:cs="Times New Roman"/>
        </w:rPr>
        <w:t xml:space="preserve">, </w:t>
      </w:r>
      <w:proofErr w:type="spellStart"/>
      <w:r w:rsidR="00620431">
        <w:rPr>
          <w:rFonts w:cs="Times New Roman"/>
        </w:rPr>
        <w:t>TxD</w:t>
      </w:r>
      <w:proofErr w:type="spellEnd"/>
      <w:r w:rsidR="00620431">
        <w:rPr>
          <w:rFonts w:cs="Times New Roman"/>
        </w:rPr>
        <w:t xml:space="preserve"> e PA.</w:t>
      </w:r>
    </w:p>
    <w:p w14:paraId="2B69705A" w14:textId="15C1B31E" w:rsidR="00725DB1" w:rsidRDefault="00725DB1" w:rsidP="00C067A3">
      <w:pPr>
        <w:spacing w:before="240" w:line="360" w:lineRule="auto"/>
        <w:jc w:val="both"/>
        <w:rPr>
          <w:rFonts w:cs="Times New Roman"/>
        </w:rPr>
      </w:pPr>
      <w:r>
        <w:rPr>
          <w:rFonts w:cs="Times New Roman"/>
        </w:rPr>
        <w:t xml:space="preserve">O facto de cada município se repetir cinco vezes na base de dados em estudo, uma por ano, </w:t>
      </w:r>
      <w:r w:rsidR="00453110">
        <w:rPr>
          <w:rFonts w:cs="Times New Roman"/>
        </w:rPr>
        <w:t>levou à opção de modelos de regressão linear múltipla com dados em painel</w:t>
      </w:r>
      <w:r w:rsidR="005E77F3">
        <w:rPr>
          <w:rFonts w:cs="Times New Roman"/>
        </w:rPr>
        <w:t xml:space="preserve"> pois</w:t>
      </w:r>
      <w:r w:rsidR="00453110">
        <w:rPr>
          <w:rFonts w:cs="Times New Roman"/>
        </w:rPr>
        <w:t xml:space="preserve"> </w:t>
      </w:r>
      <w:r>
        <w:rPr>
          <w:rFonts w:cs="Times New Roman"/>
        </w:rPr>
        <w:t>cada observação não pode ser considerada um município</w:t>
      </w:r>
      <w:r w:rsidR="00C067A3">
        <w:rPr>
          <w:rFonts w:cs="Times New Roman"/>
        </w:rPr>
        <w:t>.</w:t>
      </w:r>
    </w:p>
    <w:p w14:paraId="0C1A194E" w14:textId="5C62668F" w:rsidR="000349C8" w:rsidRDefault="00373919" w:rsidP="00CE3559">
      <w:pPr>
        <w:spacing w:line="360" w:lineRule="auto"/>
        <w:jc w:val="both"/>
        <w:rPr>
          <w:rFonts w:cs="Times New Roman"/>
        </w:rPr>
      </w:pPr>
      <w:r w:rsidRPr="00892154">
        <w:rPr>
          <w:rFonts w:cs="Times New Roman"/>
        </w:rPr>
        <w:t>Segundo Martinho (2009, p. 87), o objeto do estudo estatístico «pode ser o de estimar uma determinada grandeza ou testar uma certa hipótese […] acerca de toda uma população, com base muitas vezes numa pequena parte, a amostra. Ao inferir-se para a população as propriedades estudadas na amostra, entra-se na estatística indutiva ou inferência estatística»</w:t>
      </w:r>
      <w:r w:rsidR="005A5D51">
        <w:rPr>
          <w:rFonts w:cs="Times New Roman"/>
        </w:rPr>
        <w:t>.</w:t>
      </w:r>
      <w:r>
        <w:rPr>
          <w:rFonts w:cs="Times New Roman"/>
        </w:rPr>
        <w:t xml:space="preserve"> </w:t>
      </w:r>
    </w:p>
    <w:p w14:paraId="63FD7F5F" w14:textId="0138E1FD" w:rsidR="00151643" w:rsidRPr="003E7975" w:rsidRDefault="00151643" w:rsidP="00193467">
      <w:pPr>
        <w:pStyle w:val="Ttulo2"/>
        <w:numPr>
          <w:ilvl w:val="1"/>
          <w:numId w:val="2"/>
        </w:numPr>
        <w:spacing w:before="360" w:after="240"/>
        <w:ind w:left="1077"/>
      </w:pPr>
      <w:bookmarkStart w:id="76" w:name="_Toc37792569"/>
      <w:bookmarkStart w:id="77" w:name="_Toc66624209"/>
      <w:r w:rsidRPr="003E7975">
        <w:t>A</w:t>
      </w:r>
      <w:r w:rsidR="00555466" w:rsidRPr="003E7975">
        <w:t>nálise</w:t>
      </w:r>
      <w:r w:rsidR="00C11E39">
        <w:t xml:space="preserve"> e discussão de resultados</w:t>
      </w:r>
      <w:bookmarkEnd w:id="76"/>
      <w:bookmarkEnd w:id="77"/>
    </w:p>
    <w:p w14:paraId="54E1A981" w14:textId="3512AA7E" w:rsidR="00D700C5" w:rsidRPr="00E40AF1" w:rsidRDefault="00D700C5" w:rsidP="003E7975">
      <w:pPr>
        <w:pStyle w:val="Ttulo2"/>
        <w:numPr>
          <w:ilvl w:val="2"/>
          <w:numId w:val="2"/>
        </w:numPr>
        <w:spacing w:line="360" w:lineRule="auto"/>
        <w:rPr>
          <w:rFonts w:eastAsiaTheme="minorEastAsia"/>
          <w:sz w:val="24"/>
          <w:szCs w:val="24"/>
        </w:rPr>
      </w:pPr>
      <w:bookmarkStart w:id="78" w:name="_Toc66624210"/>
      <w:r w:rsidRPr="00E40AF1">
        <w:rPr>
          <w:rFonts w:eastAsiaTheme="minorEastAsia"/>
          <w:sz w:val="24"/>
          <w:szCs w:val="24"/>
        </w:rPr>
        <w:t xml:space="preserve">Estatística </w:t>
      </w:r>
      <w:r w:rsidR="00AA641F">
        <w:rPr>
          <w:rFonts w:eastAsiaTheme="minorEastAsia"/>
          <w:sz w:val="24"/>
          <w:szCs w:val="24"/>
        </w:rPr>
        <w:t>d</w:t>
      </w:r>
      <w:r w:rsidRPr="00E40AF1">
        <w:rPr>
          <w:rFonts w:eastAsiaTheme="minorEastAsia"/>
          <w:sz w:val="24"/>
          <w:szCs w:val="24"/>
        </w:rPr>
        <w:t>escritiva</w:t>
      </w:r>
      <w:bookmarkEnd w:id="78"/>
    </w:p>
    <w:p w14:paraId="16E96FC7" w14:textId="0963E5D8" w:rsidR="000752A1" w:rsidRPr="003224AB" w:rsidRDefault="000752A1" w:rsidP="000752A1">
      <w:pPr>
        <w:spacing w:line="360" w:lineRule="auto"/>
        <w:jc w:val="both"/>
        <w:rPr>
          <w:rFonts w:cs="Times New Roman"/>
        </w:rPr>
      </w:pPr>
      <w:r>
        <w:t xml:space="preserve">Para a análise dos dados quantitativos, </w:t>
      </w:r>
      <w:r w:rsidR="002A6B1F" w:rsidRPr="00DC3DB8">
        <w:t>optou-se por começar pelo uso</w:t>
      </w:r>
      <w:r w:rsidR="002A6B1F">
        <w:t xml:space="preserve"> </w:t>
      </w:r>
      <w:r>
        <w:t xml:space="preserve">da estatística descritiva, que se baseia na </w:t>
      </w:r>
      <w:r w:rsidR="001269EA">
        <w:t xml:space="preserve">examinação </w:t>
      </w:r>
      <w:r>
        <w:t xml:space="preserve">dos dados e criação de ferramentas de </w:t>
      </w:r>
      <w:r w:rsidR="00C00290">
        <w:t>análise</w:t>
      </w:r>
      <w:r>
        <w:t xml:space="preserve">, tais como gráficos e tabelas </w:t>
      </w:r>
      <w:r w:rsidRPr="003224AB">
        <w:rPr>
          <w:rFonts w:cs="Times New Roman"/>
        </w:rPr>
        <w:t>(</w:t>
      </w:r>
      <w:proofErr w:type="spellStart"/>
      <w:r w:rsidRPr="003224AB">
        <w:rPr>
          <w:rFonts w:cs="Times New Roman"/>
        </w:rPr>
        <w:t>Huot</w:t>
      </w:r>
      <w:proofErr w:type="spellEnd"/>
      <w:r w:rsidRPr="003224AB">
        <w:rPr>
          <w:rFonts w:cs="Times New Roman"/>
        </w:rPr>
        <w:t>, 2002;</w:t>
      </w:r>
      <w:r w:rsidR="001515D2">
        <w:rPr>
          <w:rFonts w:cs="Times New Roman"/>
        </w:rPr>
        <w:t xml:space="preserve"> </w:t>
      </w:r>
      <w:r w:rsidRPr="003224AB">
        <w:rPr>
          <w:rFonts w:cs="Times New Roman"/>
        </w:rPr>
        <w:t xml:space="preserve">Reis </w:t>
      </w:r>
      <w:r w:rsidRPr="00C20BC9">
        <w:rPr>
          <w:rFonts w:cs="Times New Roman"/>
          <w:i/>
          <w:iCs/>
        </w:rPr>
        <w:t>et al</w:t>
      </w:r>
      <w:r w:rsidRPr="003224AB">
        <w:rPr>
          <w:rFonts w:cs="Times New Roman"/>
        </w:rPr>
        <w:t>., 1996).</w:t>
      </w:r>
    </w:p>
    <w:p w14:paraId="5B63E4FE" w14:textId="70397C5B" w:rsidR="00FA49BF" w:rsidRPr="000752A1" w:rsidRDefault="000752A1" w:rsidP="007D768F">
      <w:pPr>
        <w:spacing w:line="360" w:lineRule="auto"/>
        <w:jc w:val="both"/>
      </w:pPr>
      <w:r>
        <w:t xml:space="preserve"> </w:t>
      </w:r>
      <w:r w:rsidR="00FA49BF" w:rsidRPr="00FA49BF">
        <w:rPr>
          <w:rFonts w:cs="Times New Roman"/>
        </w:rPr>
        <w:t>De acordo com Silva (2004, p. 4), a estatística descritiva «compreende o conjunto de métodos estatísticos para resumir e descrever as características proeminentes de conjuntos de dados referentes a observações de fenómenos particulares de uma classe de fenómenos</w:t>
      </w:r>
      <w:r w:rsidR="00FA49BF">
        <w:rPr>
          <w:sz w:val="23"/>
          <w:szCs w:val="23"/>
        </w:rPr>
        <w:t>».</w:t>
      </w:r>
    </w:p>
    <w:p w14:paraId="3FEC0079" w14:textId="05970297" w:rsidR="007D768F" w:rsidRDefault="007D768F" w:rsidP="007D768F">
      <w:pPr>
        <w:spacing w:line="360" w:lineRule="auto"/>
        <w:jc w:val="both"/>
        <w:rPr>
          <w:rFonts w:cs="Times New Roman"/>
        </w:rPr>
      </w:pPr>
      <w:r>
        <w:rPr>
          <w:rFonts w:cs="Times New Roman"/>
        </w:rPr>
        <w:t xml:space="preserve">É, através desta, que </w:t>
      </w:r>
      <w:r w:rsidR="00C11845">
        <w:rPr>
          <w:rFonts w:cs="Times New Roman"/>
        </w:rPr>
        <w:t>a informação apresentada,</w:t>
      </w:r>
      <w:r>
        <w:rPr>
          <w:rFonts w:cs="Times New Roman"/>
        </w:rPr>
        <w:t xml:space="preserve"> com</w:t>
      </w:r>
      <w:r w:rsidR="00C11845">
        <w:rPr>
          <w:rFonts w:cs="Times New Roman"/>
        </w:rPr>
        <w:t>o</w:t>
      </w:r>
      <w:r>
        <w:rPr>
          <w:rFonts w:cs="Times New Roman"/>
        </w:rPr>
        <w:t xml:space="preserve"> </w:t>
      </w:r>
      <w:r w:rsidR="00C11845">
        <w:rPr>
          <w:rFonts w:cs="Times New Roman"/>
        </w:rPr>
        <w:t>medidas de tendência central e de</w:t>
      </w:r>
      <w:r>
        <w:rPr>
          <w:rFonts w:cs="Times New Roman"/>
        </w:rPr>
        <w:t xml:space="preserve"> dispersão de dados, como: valor máximo, valor mínimo, contagens, soma dos valores, média, moda, mediana, variância e desvio-padrão,</w:t>
      </w:r>
      <w:r w:rsidR="00C11845">
        <w:rPr>
          <w:rFonts w:cs="Times New Roman"/>
        </w:rPr>
        <w:t xml:space="preserve"> se torna mais clara e explícita.</w:t>
      </w:r>
      <w:r>
        <w:rPr>
          <w:rFonts w:cs="Times New Roman"/>
        </w:rPr>
        <w:t xml:space="preserve"> </w:t>
      </w:r>
    </w:p>
    <w:p w14:paraId="3CEAE612" w14:textId="0B004A9C" w:rsidR="0043154B" w:rsidRDefault="009E29DB" w:rsidP="009E29DB">
      <w:pPr>
        <w:spacing w:line="360" w:lineRule="auto"/>
        <w:jc w:val="both"/>
        <w:rPr>
          <w:rFonts w:cs="Times New Roman"/>
        </w:rPr>
      </w:pPr>
      <w:bookmarkStart w:id="79" w:name="_Toc38553148"/>
      <w:r w:rsidRPr="003425E2">
        <w:rPr>
          <w:rFonts w:cs="Times New Roman"/>
        </w:rPr>
        <w:t xml:space="preserve">Naturalmente, iniciou-se a análise de dados pelo cálculo de algumas estatísticas descritivas do ITM para os 308 municípios portugueses nos 5 anos considerados, tal como apresentado na </w:t>
      </w:r>
      <w:r w:rsidR="00C04D22">
        <w:rPr>
          <w:rFonts w:cs="Times New Roman"/>
        </w:rPr>
        <w:t>T</w:t>
      </w:r>
      <w:r w:rsidRPr="003425E2">
        <w:rPr>
          <w:rFonts w:cs="Times New Roman"/>
        </w:rPr>
        <w:t>abela 4.1.</w:t>
      </w:r>
    </w:p>
    <w:p w14:paraId="22379238" w14:textId="33DFCE16" w:rsidR="002079A9" w:rsidRDefault="002079A9" w:rsidP="009E29DB">
      <w:pPr>
        <w:spacing w:line="360" w:lineRule="auto"/>
        <w:jc w:val="both"/>
        <w:rPr>
          <w:rFonts w:cs="Times New Roman"/>
        </w:rPr>
      </w:pPr>
    </w:p>
    <w:p w14:paraId="2BF20340" w14:textId="77777777" w:rsidR="00706EE3" w:rsidRDefault="00706EE3" w:rsidP="009E29DB">
      <w:pPr>
        <w:spacing w:line="360" w:lineRule="auto"/>
        <w:jc w:val="both"/>
        <w:rPr>
          <w:rFonts w:cs="Times New Roman"/>
        </w:rPr>
      </w:pPr>
    </w:p>
    <w:p w14:paraId="51E922F3" w14:textId="77777777" w:rsidR="002079A9" w:rsidRPr="003425E2" w:rsidRDefault="002079A9" w:rsidP="009E29DB">
      <w:pPr>
        <w:spacing w:line="360" w:lineRule="auto"/>
        <w:jc w:val="both"/>
        <w:rPr>
          <w:rFonts w:cs="Times New Roman"/>
        </w:rPr>
      </w:pPr>
    </w:p>
    <w:p w14:paraId="5673F387" w14:textId="0C7F28EF" w:rsidR="009E29DB" w:rsidRPr="00E528AA" w:rsidRDefault="000C436B" w:rsidP="00697B1B">
      <w:pPr>
        <w:spacing w:after="60"/>
        <w:jc w:val="center"/>
        <w:rPr>
          <w:rFonts w:cs="Times New Roman"/>
          <w:color w:val="FF0000"/>
        </w:rPr>
      </w:pPr>
      <w:bookmarkStart w:id="80" w:name="_Toc58853161"/>
      <w:bookmarkStart w:id="81" w:name="_Toc66624250"/>
      <w:r w:rsidRPr="00077002">
        <w:rPr>
          <w:b/>
        </w:rPr>
        <w:lastRenderedPageBreak/>
        <w:t xml:space="preserve">Tabela </w:t>
      </w:r>
      <w:r w:rsidR="00843BFC">
        <w:rPr>
          <w:b/>
        </w:rPr>
        <w:fldChar w:fldCharType="begin"/>
      </w:r>
      <w:r w:rsidR="00843BFC">
        <w:rPr>
          <w:b/>
        </w:rPr>
        <w:instrText xml:space="preserve"> STYLEREF 1 \s </w:instrText>
      </w:r>
      <w:r w:rsidR="00843BFC">
        <w:rPr>
          <w:b/>
        </w:rPr>
        <w:fldChar w:fldCharType="separate"/>
      </w:r>
      <w:r w:rsidR="00380A6F">
        <w:rPr>
          <w:b/>
          <w:noProof/>
        </w:rPr>
        <w:t>4</w:t>
      </w:r>
      <w:r w:rsidR="00843BFC">
        <w:rPr>
          <w:b/>
        </w:rPr>
        <w:fldChar w:fldCharType="end"/>
      </w:r>
      <w:r w:rsidR="00843BFC">
        <w:rPr>
          <w:b/>
        </w:rPr>
        <w:t>.</w:t>
      </w:r>
      <w:r w:rsidR="00843BFC">
        <w:rPr>
          <w:b/>
        </w:rPr>
        <w:fldChar w:fldCharType="begin"/>
      </w:r>
      <w:r w:rsidR="00843BFC">
        <w:rPr>
          <w:b/>
        </w:rPr>
        <w:instrText xml:space="preserve"> SEQ Tabela \* ARABIC \s 1 </w:instrText>
      </w:r>
      <w:r w:rsidR="00843BFC">
        <w:rPr>
          <w:b/>
        </w:rPr>
        <w:fldChar w:fldCharType="separate"/>
      </w:r>
      <w:r w:rsidR="00380A6F">
        <w:rPr>
          <w:b/>
          <w:noProof/>
        </w:rPr>
        <w:t>1</w:t>
      </w:r>
      <w:r w:rsidR="00843BFC">
        <w:rPr>
          <w:b/>
        </w:rPr>
        <w:fldChar w:fldCharType="end"/>
      </w:r>
      <w:r w:rsidRPr="00077002">
        <w:rPr>
          <w:b/>
        </w:rPr>
        <w:t xml:space="preserve"> –</w:t>
      </w:r>
      <w:r w:rsidRPr="009C4354">
        <w:t xml:space="preserve"> </w:t>
      </w:r>
      <w:r w:rsidR="007C747F" w:rsidRPr="009C4354">
        <w:t xml:space="preserve">Medidas estatísticas </w:t>
      </w:r>
      <w:r w:rsidR="009E29DB" w:rsidRPr="003425E2">
        <w:rPr>
          <w:rFonts w:cs="Times New Roman"/>
        </w:rPr>
        <w:t>do índice de transparência municipal</w:t>
      </w:r>
      <w:bookmarkEnd w:id="80"/>
      <w:bookmarkEnd w:id="81"/>
    </w:p>
    <w:tbl>
      <w:tblPr>
        <w:tblW w:w="552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694"/>
        <w:gridCol w:w="1168"/>
        <w:gridCol w:w="1667"/>
      </w:tblGrid>
      <w:tr w:rsidR="009E29DB" w:rsidRPr="00E528AA" w14:paraId="28E37008" w14:textId="77777777" w:rsidTr="003425E2">
        <w:trPr>
          <w:cantSplit/>
          <w:jc w:val="center"/>
        </w:trPr>
        <w:tc>
          <w:tcPr>
            <w:tcW w:w="5524" w:type="dxa"/>
            <w:gridSpan w:val="3"/>
            <w:tcBorders>
              <w:top w:val="double" w:sz="8" w:space="0" w:color="000000"/>
              <w:left w:val="nil"/>
              <w:bottom w:val="single" w:sz="16" w:space="0" w:color="000000"/>
              <w:right w:val="nil"/>
            </w:tcBorders>
            <w:shd w:val="clear" w:color="auto" w:fill="FFFFFF"/>
            <w:vAlign w:val="bottom"/>
          </w:tcPr>
          <w:p w14:paraId="3952646D" w14:textId="0E3C7266" w:rsidR="009E29DB" w:rsidRPr="003425E2" w:rsidRDefault="003425E2" w:rsidP="009C5227">
            <w:pPr>
              <w:autoSpaceDE w:val="0"/>
              <w:autoSpaceDN w:val="0"/>
              <w:adjustRightInd w:val="0"/>
              <w:spacing w:after="0" w:line="276" w:lineRule="auto"/>
              <w:jc w:val="center"/>
              <w:rPr>
                <w:rFonts w:asciiTheme="majorBidi" w:hAnsiTheme="majorBidi" w:cstheme="majorBidi"/>
                <w:sz w:val="22"/>
              </w:rPr>
            </w:pPr>
            <w:r w:rsidRPr="003425E2">
              <w:rPr>
                <w:rFonts w:asciiTheme="majorBidi" w:hAnsiTheme="majorBidi" w:cstheme="majorBidi"/>
                <w:sz w:val="22"/>
              </w:rPr>
              <w:t>I</w:t>
            </w:r>
            <w:r w:rsidR="009E29DB" w:rsidRPr="003425E2">
              <w:rPr>
                <w:rFonts w:asciiTheme="majorBidi" w:hAnsiTheme="majorBidi" w:cstheme="majorBidi"/>
                <w:sz w:val="22"/>
              </w:rPr>
              <w:t xml:space="preserve">TM </w:t>
            </w:r>
          </w:p>
        </w:tc>
      </w:tr>
      <w:tr w:rsidR="009E29DB" w:rsidRPr="00E528AA" w14:paraId="7D3AC890" w14:textId="77777777" w:rsidTr="003425E2">
        <w:trPr>
          <w:cantSplit/>
          <w:jc w:val="center"/>
        </w:trPr>
        <w:tc>
          <w:tcPr>
            <w:tcW w:w="2694" w:type="dxa"/>
            <w:tcBorders>
              <w:top w:val="single" w:sz="4" w:space="0" w:color="auto"/>
              <w:left w:val="nil"/>
              <w:bottom w:val="single" w:sz="4" w:space="0" w:color="auto"/>
              <w:right w:val="nil"/>
            </w:tcBorders>
            <w:shd w:val="clear" w:color="auto" w:fill="FFFFFF"/>
          </w:tcPr>
          <w:p w14:paraId="384DB2DB" w14:textId="77777777" w:rsidR="009E29DB" w:rsidRPr="003425E2" w:rsidRDefault="009E29DB" w:rsidP="009C5227">
            <w:pPr>
              <w:autoSpaceDE w:val="0"/>
              <w:autoSpaceDN w:val="0"/>
              <w:adjustRightInd w:val="0"/>
              <w:spacing w:after="0" w:line="276" w:lineRule="auto"/>
              <w:ind w:left="60" w:right="60"/>
              <w:rPr>
                <w:rFonts w:asciiTheme="majorBidi" w:hAnsiTheme="majorBidi" w:cstheme="majorBidi"/>
                <w:sz w:val="22"/>
              </w:rPr>
            </w:pPr>
          </w:p>
        </w:tc>
        <w:tc>
          <w:tcPr>
            <w:tcW w:w="1168" w:type="dxa"/>
            <w:tcBorders>
              <w:top w:val="single" w:sz="4" w:space="0" w:color="auto"/>
              <w:left w:val="nil"/>
              <w:bottom w:val="single" w:sz="4" w:space="0" w:color="auto"/>
              <w:right w:val="nil"/>
            </w:tcBorders>
            <w:shd w:val="clear" w:color="auto" w:fill="FFFFFF"/>
            <w:vAlign w:val="bottom"/>
          </w:tcPr>
          <w:p w14:paraId="17D34E22" w14:textId="77777777" w:rsidR="009E29DB" w:rsidRPr="003425E2" w:rsidRDefault="009E29DB" w:rsidP="009C5227">
            <w:pPr>
              <w:autoSpaceDE w:val="0"/>
              <w:autoSpaceDN w:val="0"/>
              <w:adjustRightInd w:val="0"/>
              <w:spacing w:after="0" w:line="276" w:lineRule="auto"/>
              <w:ind w:left="60" w:right="60"/>
              <w:jc w:val="right"/>
              <w:rPr>
                <w:rFonts w:asciiTheme="majorBidi" w:hAnsiTheme="majorBidi" w:cstheme="majorBidi"/>
                <w:sz w:val="22"/>
              </w:rPr>
            </w:pPr>
            <w:r w:rsidRPr="003425E2">
              <w:rPr>
                <w:rFonts w:asciiTheme="majorBidi" w:hAnsiTheme="majorBidi" w:cstheme="majorBidi"/>
                <w:sz w:val="22"/>
              </w:rPr>
              <w:t>Estatística</w:t>
            </w:r>
          </w:p>
        </w:tc>
        <w:tc>
          <w:tcPr>
            <w:tcW w:w="1667" w:type="dxa"/>
            <w:tcBorders>
              <w:top w:val="single" w:sz="16" w:space="0" w:color="000000"/>
              <w:left w:val="nil"/>
              <w:bottom w:val="single" w:sz="4" w:space="0" w:color="auto"/>
              <w:right w:val="nil"/>
            </w:tcBorders>
            <w:shd w:val="clear" w:color="auto" w:fill="FFFFFF"/>
            <w:vAlign w:val="bottom"/>
          </w:tcPr>
          <w:p w14:paraId="20692846" w14:textId="77777777" w:rsidR="009E29DB" w:rsidRPr="003425E2" w:rsidRDefault="009E29DB" w:rsidP="009C5227">
            <w:pPr>
              <w:autoSpaceDE w:val="0"/>
              <w:autoSpaceDN w:val="0"/>
              <w:adjustRightInd w:val="0"/>
              <w:spacing w:after="0" w:line="276" w:lineRule="auto"/>
              <w:ind w:left="60" w:right="60"/>
              <w:jc w:val="right"/>
              <w:rPr>
                <w:rFonts w:asciiTheme="majorBidi" w:hAnsiTheme="majorBidi" w:cstheme="majorBidi"/>
                <w:sz w:val="22"/>
              </w:rPr>
            </w:pPr>
            <w:r w:rsidRPr="003425E2">
              <w:rPr>
                <w:rFonts w:asciiTheme="majorBidi" w:hAnsiTheme="majorBidi" w:cstheme="majorBidi"/>
                <w:sz w:val="22"/>
              </w:rPr>
              <w:t>Desvio Padrão</w:t>
            </w:r>
          </w:p>
        </w:tc>
      </w:tr>
      <w:tr w:rsidR="009E29DB" w:rsidRPr="00E528AA" w14:paraId="2640DA1E" w14:textId="77777777" w:rsidTr="003425E2">
        <w:trPr>
          <w:cantSplit/>
          <w:jc w:val="center"/>
        </w:trPr>
        <w:tc>
          <w:tcPr>
            <w:tcW w:w="2694" w:type="dxa"/>
            <w:tcBorders>
              <w:top w:val="single" w:sz="4" w:space="0" w:color="auto"/>
              <w:left w:val="nil"/>
              <w:bottom w:val="nil"/>
              <w:right w:val="nil"/>
            </w:tcBorders>
            <w:shd w:val="clear" w:color="auto" w:fill="FFFFFF"/>
          </w:tcPr>
          <w:p w14:paraId="532D32EC" w14:textId="77777777" w:rsidR="009E29DB" w:rsidRPr="003425E2" w:rsidRDefault="009E29DB" w:rsidP="009C5227">
            <w:pPr>
              <w:autoSpaceDE w:val="0"/>
              <w:autoSpaceDN w:val="0"/>
              <w:adjustRightInd w:val="0"/>
              <w:spacing w:after="0" w:line="276" w:lineRule="auto"/>
              <w:ind w:left="60" w:right="60"/>
              <w:rPr>
                <w:rFonts w:asciiTheme="majorBidi" w:hAnsiTheme="majorBidi" w:cstheme="majorBidi"/>
                <w:sz w:val="22"/>
              </w:rPr>
            </w:pPr>
            <w:r w:rsidRPr="003425E2">
              <w:rPr>
                <w:rFonts w:asciiTheme="majorBidi" w:hAnsiTheme="majorBidi" w:cstheme="majorBidi"/>
                <w:sz w:val="22"/>
              </w:rPr>
              <w:t>N = 1540</w:t>
            </w:r>
          </w:p>
        </w:tc>
        <w:tc>
          <w:tcPr>
            <w:tcW w:w="1168" w:type="dxa"/>
            <w:tcBorders>
              <w:top w:val="single" w:sz="4" w:space="0" w:color="auto"/>
              <w:left w:val="nil"/>
              <w:bottom w:val="nil"/>
              <w:right w:val="nil"/>
            </w:tcBorders>
            <w:shd w:val="clear" w:color="auto" w:fill="FFFFFF"/>
          </w:tcPr>
          <w:p w14:paraId="08077642" w14:textId="77777777" w:rsidR="009E29DB" w:rsidRPr="003425E2" w:rsidRDefault="009E29DB" w:rsidP="009C5227">
            <w:pPr>
              <w:autoSpaceDE w:val="0"/>
              <w:autoSpaceDN w:val="0"/>
              <w:adjustRightInd w:val="0"/>
              <w:spacing w:after="0" w:line="276" w:lineRule="auto"/>
              <w:ind w:left="60" w:right="60"/>
              <w:jc w:val="right"/>
              <w:rPr>
                <w:rFonts w:asciiTheme="majorBidi" w:hAnsiTheme="majorBidi" w:cstheme="majorBidi"/>
                <w:sz w:val="22"/>
              </w:rPr>
            </w:pPr>
          </w:p>
        </w:tc>
        <w:tc>
          <w:tcPr>
            <w:tcW w:w="1667" w:type="dxa"/>
            <w:tcBorders>
              <w:top w:val="single" w:sz="4" w:space="0" w:color="auto"/>
              <w:left w:val="nil"/>
              <w:bottom w:val="nil"/>
              <w:right w:val="nil"/>
            </w:tcBorders>
            <w:shd w:val="clear" w:color="auto" w:fill="FFFFFF"/>
          </w:tcPr>
          <w:p w14:paraId="21507262" w14:textId="77777777" w:rsidR="009E29DB" w:rsidRPr="003425E2" w:rsidRDefault="009E29DB" w:rsidP="009C5227">
            <w:pPr>
              <w:autoSpaceDE w:val="0"/>
              <w:autoSpaceDN w:val="0"/>
              <w:adjustRightInd w:val="0"/>
              <w:spacing w:after="0" w:line="276" w:lineRule="auto"/>
              <w:ind w:left="60" w:right="60"/>
              <w:jc w:val="right"/>
              <w:rPr>
                <w:rFonts w:asciiTheme="majorBidi" w:hAnsiTheme="majorBidi" w:cstheme="majorBidi"/>
                <w:sz w:val="22"/>
              </w:rPr>
            </w:pPr>
          </w:p>
        </w:tc>
      </w:tr>
      <w:tr w:rsidR="009E29DB" w:rsidRPr="00E528AA" w14:paraId="7B912A3A" w14:textId="77777777" w:rsidTr="003425E2">
        <w:trPr>
          <w:cantSplit/>
          <w:jc w:val="center"/>
        </w:trPr>
        <w:tc>
          <w:tcPr>
            <w:tcW w:w="2694" w:type="dxa"/>
            <w:tcBorders>
              <w:top w:val="nil"/>
              <w:left w:val="nil"/>
              <w:bottom w:val="nil"/>
              <w:right w:val="nil"/>
            </w:tcBorders>
            <w:shd w:val="clear" w:color="auto" w:fill="E7E6E6" w:themeFill="background2"/>
          </w:tcPr>
          <w:p w14:paraId="20FC7370" w14:textId="77777777" w:rsidR="009E29DB" w:rsidRPr="003425E2" w:rsidRDefault="009E29DB" w:rsidP="009C5227">
            <w:pPr>
              <w:autoSpaceDE w:val="0"/>
              <w:autoSpaceDN w:val="0"/>
              <w:adjustRightInd w:val="0"/>
              <w:spacing w:after="0" w:line="276" w:lineRule="auto"/>
              <w:ind w:left="60" w:right="60"/>
              <w:rPr>
                <w:rFonts w:asciiTheme="majorBidi" w:hAnsiTheme="majorBidi" w:cstheme="majorBidi"/>
                <w:sz w:val="22"/>
              </w:rPr>
            </w:pPr>
            <w:r w:rsidRPr="003425E2">
              <w:rPr>
                <w:rFonts w:asciiTheme="majorBidi" w:hAnsiTheme="majorBidi" w:cstheme="majorBidi"/>
                <w:sz w:val="22"/>
              </w:rPr>
              <w:t>Média</w:t>
            </w:r>
          </w:p>
        </w:tc>
        <w:tc>
          <w:tcPr>
            <w:tcW w:w="1168" w:type="dxa"/>
            <w:tcBorders>
              <w:top w:val="nil"/>
              <w:left w:val="nil"/>
              <w:bottom w:val="nil"/>
              <w:right w:val="nil"/>
            </w:tcBorders>
            <w:shd w:val="clear" w:color="auto" w:fill="E7E6E6" w:themeFill="background2"/>
          </w:tcPr>
          <w:p w14:paraId="0FE54E8E" w14:textId="77777777" w:rsidR="009E29DB" w:rsidRPr="003425E2" w:rsidRDefault="009E29DB" w:rsidP="009C5227">
            <w:pPr>
              <w:autoSpaceDE w:val="0"/>
              <w:autoSpaceDN w:val="0"/>
              <w:adjustRightInd w:val="0"/>
              <w:spacing w:after="0" w:line="276" w:lineRule="auto"/>
              <w:ind w:left="60" w:right="60"/>
              <w:jc w:val="right"/>
              <w:rPr>
                <w:rFonts w:asciiTheme="majorBidi" w:hAnsiTheme="majorBidi" w:cstheme="majorBidi"/>
                <w:sz w:val="22"/>
              </w:rPr>
            </w:pPr>
            <w:r w:rsidRPr="003425E2">
              <w:rPr>
                <w:rFonts w:asciiTheme="majorBidi" w:hAnsiTheme="majorBidi" w:cstheme="majorBidi"/>
                <w:sz w:val="22"/>
              </w:rPr>
              <w:t>42,8753</w:t>
            </w:r>
          </w:p>
        </w:tc>
        <w:tc>
          <w:tcPr>
            <w:tcW w:w="1667" w:type="dxa"/>
            <w:tcBorders>
              <w:top w:val="nil"/>
              <w:left w:val="nil"/>
              <w:bottom w:val="nil"/>
              <w:right w:val="nil"/>
            </w:tcBorders>
            <w:shd w:val="clear" w:color="auto" w:fill="E7E6E6" w:themeFill="background2"/>
          </w:tcPr>
          <w:p w14:paraId="6B036045" w14:textId="77777777" w:rsidR="009E29DB" w:rsidRPr="003425E2" w:rsidRDefault="009E29DB" w:rsidP="009C5227">
            <w:pPr>
              <w:autoSpaceDE w:val="0"/>
              <w:autoSpaceDN w:val="0"/>
              <w:adjustRightInd w:val="0"/>
              <w:spacing w:after="0" w:line="276" w:lineRule="auto"/>
              <w:ind w:left="60" w:right="60"/>
              <w:jc w:val="right"/>
              <w:rPr>
                <w:rFonts w:asciiTheme="majorBidi" w:hAnsiTheme="majorBidi" w:cstheme="majorBidi"/>
                <w:sz w:val="22"/>
              </w:rPr>
            </w:pPr>
            <w:r w:rsidRPr="003425E2">
              <w:rPr>
                <w:rFonts w:asciiTheme="majorBidi" w:hAnsiTheme="majorBidi" w:cstheme="majorBidi"/>
                <w:sz w:val="22"/>
              </w:rPr>
              <w:t>0,4489</w:t>
            </w:r>
          </w:p>
        </w:tc>
      </w:tr>
      <w:tr w:rsidR="009E29DB" w:rsidRPr="00E528AA" w14:paraId="627F88EB" w14:textId="77777777" w:rsidTr="003425E2">
        <w:trPr>
          <w:cantSplit/>
          <w:jc w:val="center"/>
        </w:trPr>
        <w:tc>
          <w:tcPr>
            <w:tcW w:w="2694" w:type="dxa"/>
            <w:tcBorders>
              <w:top w:val="nil"/>
              <w:left w:val="nil"/>
              <w:bottom w:val="nil"/>
              <w:right w:val="nil"/>
            </w:tcBorders>
            <w:shd w:val="clear" w:color="auto" w:fill="FFFFFF"/>
          </w:tcPr>
          <w:p w14:paraId="0B0DFA52" w14:textId="77777777" w:rsidR="009E29DB" w:rsidRPr="003425E2" w:rsidRDefault="009E29DB" w:rsidP="009C5227">
            <w:pPr>
              <w:autoSpaceDE w:val="0"/>
              <w:autoSpaceDN w:val="0"/>
              <w:adjustRightInd w:val="0"/>
              <w:spacing w:after="0" w:line="276" w:lineRule="auto"/>
              <w:ind w:left="60" w:right="60"/>
              <w:rPr>
                <w:rFonts w:asciiTheme="majorBidi" w:hAnsiTheme="majorBidi" w:cstheme="majorBidi"/>
                <w:sz w:val="22"/>
              </w:rPr>
            </w:pPr>
            <w:r w:rsidRPr="003425E2">
              <w:rPr>
                <w:rFonts w:asciiTheme="majorBidi" w:hAnsiTheme="majorBidi" w:cstheme="majorBidi"/>
                <w:sz w:val="22"/>
              </w:rPr>
              <w:t>Mediana</w:t>
            </w:r>
          </w:p>
        </w:tc>
        <w:tc>
          <w:tcPr>
            <w:tcW w:w="1168" w:type="dxa"/>
            <w:tcBorders>
              <w:top w:val="nil"/>
              <w:left w:val="nil"/>
              <w:bottom w:val="nil"/>
              <w:right w:val="nil"/>
            </w:tcBorders>
            <w:shd w:val="clear" w:color="auto" w:fill="FFFFFF"/>
          </w:tcPr>
          <w:p w14:paraId="3248CA05" w14:textId="77777777" w:rsidR="009E29DB" w:rsidRPr="003425E2" w:rsidRDefault="009E29DB" w:rsidP="009C5227">
            <w:pPr>
              <w:autoSpaceDE w:val="0"/>
              <w:autoSpaceDN w:val="0"/>
              <w:adjustRightInd w:val="0"/>
              <w:spacing w:after="0" w:line="276" w:lineRule="auto"/>
              <w:ind w:left="60" w:right="60"/>
              <w:jc w:val="right"/>
              <w:rPr>
                <w:rFonts w:asciiTheme="majorBidi" w:hAnsiTheme="majorBidi" w:cstheme="majorBidi"/>
                <w:sz w:val="22"/>
              </w:rPr>
            </w:pPr>
            <w:r w:rsidRPr="003425E2">
              <w:rPr>
                <w:rFonts w:asciiTheme="majorBidi" w:hAnsiTheme="majorBidi" w:cstheme="majorBidi"/>
                <w:sz w:val="22"/>
              </w:rPr>
              <w:t>39,6257</w:t>
            </w:r>
          </w:p>
        </w:tc>
        <w:tc>
          <w:tcPr>
            <w:tcW w:w="1667" w:type="dxa"/>
            <w:tcBorders>
              <w:top w:val="nil"/>
              <w:left w:val="nil"/>
              <w:bottom w:val="nil"/>
              <w:right w:val="nil"/>
            </w:tcBorders>
            <w:shd w:val="clear" w:color="auto" w:fill="FFFFFF"/>
            <w:vAlign w:val="center"/>
          </w:tcPr>
          <w:p w14:paraId="2D7AFE6E" w14:textId="77777777" w:rsidR="009E29DB" w:rsidRPr="003425E2" w:rsidRDefault="009E29DB" w:rsidP="009C5227">
            <w:pPr>
              <w:autoSpaceDE w:val="0"/>
              <w:autoSpaceDN w:val="0"/>
              <w:adjustRightInd w:val="0"/>
              <w:spacing w:after="0" w:line="276" w:lineRule="auto"/>
              <w:rPr>
                <w:rFonts w:asciiTheme="majorBidi" w:hAnsiTheme="majorBidi" w:cstheme="majorBidi"/>
                <w:sz w:val="22"/>
              </w:rPr>
            </w:pPr>
          </w:p>
        </w:tc>
      </w:tr>
      <w:tr w:rsidR="009E29DB" w:rsidRPr="00E528AA" w14:paraId="73FDFB12" w14:textId="77777777" w:rsidTr="003425E2">
        <w:trPr>
          <w:cantSplit/>
          <w:jc w:val="center"/>
        </w:trPr>
        <w:tc>
          <w:tcPr>
            <w:tcW w:w="2694" w:type="dxa"/>
            <w:tcBorders>
              <w:top w:val="nil"/>
              <w:left w:val="nil"/>
              <w:bottom w:val="nil"/>
              <w:right w:val="nil"/>
            </w:tcBorders>
            <w:shd w:val="clear" w:color="auto" w:fill="E7E6E6" w:themeFill="background2"/>
          </w:tcPr>
          <w:p w14:paraId="51B479BC" w14:textId="77777777" w:rsidR="009E29DB" w:rsidRPr="003425E2" w:rsidRDefault="009E29DB" w:rsidP="009C5227">
            <w:pPr>
              <w:autoSpaceDE w:val="0"/>
              <w:autoSpaceDN w:val="0"/>
              <w:adjustRightInd w:val="0"/>
              <w:spacing w:after="0" w:line="276" w:lineRule="auto"/>
              <w:ind w:left="60" w:right="60"/>
              <w:rPr>
                <w:rFonts w:asciiTheme="majorBidi" w:hAnsiTheme="majorBidi" w:cstheme="majorBidi"/>
                <w:sz w:val="22"/>
              </w:rPr>
            </w:pPr>
            <w:r w:rsidRPr="003425E2">
              <w:rPr>
                <w:rFonts w:asciiTheme="majorBidi" w:hAnsiTheme="majorBidi" w:cstheme="majorBidi"/>
                <w:sz w:val="22"/>
              </w:rPr>
              <w:t>Variância</w:t>
            </w:r>
          </w:p>
        </w:tc>
        <w:tc>
          <w:tcPr>
            <w:tcW w:w="1168" w:type="dxa"/>
            <w:tcBorders>
              <w:top w:val="nil"/>
              <w:left w:val="nil"/>
              <w:bottom w:val="nil"/>
              <w:right w:val="nil"/>
            </w:tcBorders>
            <w:shd w:val="clear" w:color="auto" w:fill="E7E6E6" w:themeFill="background2"/>
          </w:tcPr>
          <w:p w14:paraId="13AEFD63" w14:textId="77777777" w:rsidR="009E29DB" w:rsidRPr="003425E2" w:rsidRDefault="009E29DB" w:rsidP="009C5227">
            <w:pPr>
              <w:autoSpaceDE w:val="0"/>
              <w:autoSpaceDN w:val="0"/>
              <w:adjustRightInd w:val="0"/>
              <w:spacing w:after="0" w:line="276" w:lineRule="auto"/>
              <w:ind w:left="60" w:right="60"/>
              <w:jc w:val="right"/>
              <w:rPr>
                <w:rFonts w:asciiTheme="majorBidi" w:hAnsiTheme="majorBidi" w:cstheme="majorBidi"/>
                <w:sz w:val="22"/>
              </w:rPr>
            </w:pPr>
            <w:r w:rsidRPr="003425E2">
              <w:rPr>
                <w:rFonts w:asciiTheme="majorBidi" w:hAnsiTheme="majorBidi" w:cstheme="majorBidi"/>
                <w:sz w:val="22"/>
              </w:rPr>
              <w:t>310,3624</w:t>
            </w:r>
          </w:p>
        </w:tc>
        <w:tc>
          <w:tcPr>
            <w:tcW w:w="1667" w:type="dxa"/>
            <w:tcBorders>
              <w:top w:val="nil"/>
              <w:left w:val="nil"/>
              <w:bottom w:val="nil"/>
              <w:right w:val="nil"/>
            </w:tcBorders>
            <w:shd w:val="clear" w:color="auto" w:fill="E7E6E6" w:themeFill="background2"/>
            <w:vAlign w:val="center"/>
          </w:tcPr>
          <w:p w14:paraId="3B3B7B82" w14:textId="77777777" w:rsidR="009E29DB" w:rsidRPr="003425E2" w:rsidRDefault="009E29DB" w:rsidP="009C5227">
            <w:pPr>
              <w:autoSpaceDE w:val="0"/>
              <w:autoSpaceDN w:val="0"/>
              <w:adjustRightInd w:val="0"/>
              <w:spacing w:after="0" w:line="276" w:lineRule="auto"/>
              <w:rPr>
                <w:rFonts w:asciiTheme="majorBidi" w:hAnsiTheme="majorBidi" w:cstheme="majorBidi"/>
                <w:sz w:val="22"/>
              </w:rPr>
            </w:pPr>
          </w:p>
        </w:tc>
      </w:tr>
      <w:tr w:rsidR="009E29DB" w:rsidRPr="00E528AA" w14:paraId="6A2336F2" w14:textId="77777777" w:rsidTr="003425E2">
        <w:trPr>
          <w:cantSplit/>
          <w:jc w:val="center"/>
        </w:trPr>
        <w:tc>
          <w:tcPr>
            <w:tcW w:w="2694" w:type="dxa"/>
            <w:tcBorders>
              <w:top w:val="nil"/>
              <w:left w:val="nil"/>
              <w:bottom w:val="nil"/>
              <w:right w:val="nil"/>
            </w:tcBorders>
            <w:shd w:val="clear" w:color="auto" w:fill="FFFFFF"/>
          </w:tcPr>
          <w:p w14:paraId="7195E15D" w14:textId="77777777" w:rsidR="009E29DB" w:rsidRPr="003425E2" w:rsidRDefault="009E29DB" w:rsidP="009C5227">
            <w:pPr>
              <w:autoSpaceDE w:val="0"/>
              <w:autoSpaceDN w:val="0"/>
              <w:adjustRightInd w:val="0"/>
              <w:spacing w:after="0" w:line="276" w:lineRule="auto"/>
              <w:ind w:left="60" w:right="60"/>
              <w:rPr>
                <w:rFonts w:asciiTheme="majorBidi" w:hAnsiTheme="majorBidi" w:cstheme="majorBidi"/>
                <w:sz w:val="22"/>
              </w:rPr>
            </w:pPr>
            <w:r w:rsidRPr="003425E2">
              <w:rPr>
                <w:rFonts w:asciiTheme="majorBidi" w:hAnsiTheme="majorBidi" w:cstheme="majorBidi"/>
                <w:sz w:val="22"/>
              </w:rPr>
              <w:t>Erro Padrão</w:t>
            </w:r>
          </w:p>
        </w:tc>
        <w:tc>
          <w:tcPr>
            <w:tcW w:w="1168" w:type="dxa"/>
            <w:tcBorders>
              <w:top w:val="nil"/>
              <w:left w:val="nil"/>
              <w:bottom w:val="nil"/>
              <w:right w:val="nil"/>
            </w:tcBorders>
            <w:shd w:val="clear" w:color="auto" w:fill="FFFFFF"/>
          </w:tcPr>
          <w:p w14:paraId="1DF3A87F" w14:textId="77777777" w:rsidR="009E29DB" w:rsidRPr="003425E2" w:rsidRDefault="009E29DB" w:rsidP="009C5227">
            <w:pPr>
              <w:autoSpaceDE w:val="0"/>
              <w:autoSpaceDN w:val="0"/>
              <w:adjustRightInd w:val="0"/>
              <w:spacing w:after="0" w:line="276" w:lineRule="auto"/>
              <w:ind w:left="60" w:right="60"/>
              <w:jc w:val="right"/>
              <w:rPr>
                <w:rFonts w:asciiTheme="majorBidi" w:hAnsiTheme="majorBidi" w:cstheme="majorBidi"/>
                <w:sz w:val="22"/>
              </w:rPr>
            </w:pPr>
            <w:r w:rsidRPr="003425E2">
              <w:rPr>
                <w:rFonts w:asciiTheme="majorBidi" w:hAnsiTheme="majorBidi" w:cstheme="majorBidi"/>
                <w:sz w:val="22"/>
              </w:rPr>
              <w:t>17,6171</w:t>
            </w:r>
          </w:p>
        </w:tc>
        <w:tc>
          <w:tcPr>
            <w:tcW w:w="1667" w:type="dxa"/>
            <w:tcBorders>
              <w:top w:val="nil"/>
              <w:left w:val="nil"/>
              <w:bottom w:val="nil"/>
              <w:right w:val="nil"/>
            </w:tcBorders>
            <w:shd w:val="clear" w:color="auto" w:fill="FFFFFF"/>
            <w:vAlign w:val="center"/>
          </w:tcPr>
          <w:p w14:paraId="2793BF6B" w14:textId="77777777" w:rsidR="009E29DB" w:rsidRPr="003425E2" w:rsidRDefault="009E29DB" w:rsidP="009C5227">
            <w:pPr>
              <w:autoSpaceDE w:val="0"/>
              <w:autoSpaceDN w:val="0"/>
              <w:adjustRightInd w:val="0"/>
              <w:spacing w:after="0" w:line="276" w:lineRule="auto"/>
              <w:rPr>
                <w:rFonts w:asciiTheme="majorBidi" w:hAnsiTheme="majorBidi" w:cstheme="majorBidi"/>
                <w:sz w:val="22"/>
              </w:rPr>
            </w:pPr>
          </w:p>
        </w:tc>
      </w:tr>
      <w:tr w:rsidR="009E29DB" w:rsidRPr="00E528AA" w14:paraId="0026B699" w14:textId="77777777" w:rsidTr="003425E2">
        <w:trPr>
          <w:cantSplit/>
          <w:jc w:val="center"/>
        </w:trPr>
        <w:tc>
          <w:tcPr>
            <w:tcW w:w="2694" w:type="dxa"/>
            <w:tcBorders>
              <w:top w:val="nil"/>
              <w:left w:val="nil"/>
              <w:bottom w:val="nil"/>
              <w:right w:val="nil"/>
            </w:tcBorders>
            <w:shd w:val="clear" w:color="auto" w:fill="E7E6E6" w:themeFill="background2"/>
          </w:tcPr>
          <w:p w14:paraId="63FFE244" w14:textId="77777777" w:rsidR="009E29DB" w:rsidRPr="003425E2" w:rsidRDefault="009E29DB" w:rsidP="009C5227">
            <w:pPr>
              <w:autoSpaceDE w:val="0"/>
              <w:autoSpaceDN w:val="0"/>
              <w:adjustRightInd w:val="0"/>
              <w:spacing w:after="0" w:line="276" w:lineRule="auto"/>
              <w:ind w:left="60" w:right="60"/>
              <w:rPr>
                <w:rFonts w:asciiTheme="majorBidi" w:hAnsiTheme="majorBidi" w:cstheme="majorBidi"/>
                <w:sz w:val="22"/>
              </w:rPr>
            </w:pPr>
            <w:r w:rsidRPr="003425E2">
              <w:rPr>
                <w:rFonts w:asciiTheme="majorBidi" w:hAnsiTheme="majorBidi" w:cstheme="majorBidi"/>
                <w:sz w:val="22"/>
              </w:rPr>
              <w:t>Mínimo</w:t>
            </w:r>
          </w:p>
        </w:tc>
        <w:tc>
          <w:tcPr>
            <w:tcW w:w="1168" w:type="dxa"/>
            <w:tcBorders>
              <w:top w:val="nil"/>
              <w:left w:val="nil"/>
              <w:bottom w:val="nil"/>
              <w:right w:val="nil"/>
            </w:tcBorders>
            <w:shd w:val="clear" w:color="auto" w:fill="E7E6E6" w:themeFill="background2"/>
          </w:tcPr>
          <w:p w14:paraId="6A982A4F" w14:textId="77777777" w:rsidR="009E29DB" w:rsidRPr="003425E2" w:rsidRDefault="009E29DB" w:rsidP="009C5227">
            <w:pPr>
              <w:autoSpaceDE w:val="0"/>
              <w:autoSpaceDN w:val="0"/>
              <w:adjustRightInd w:val="0"/>
              <w:spacing w:after="0" w:line="276" w:lineRule="auto"/>
              <w:ind w:left="60" w:right="60"/>
              <w:jc w:val="right"/>
              <w:rPr>
                <w:rFonts w:asciiTheme="majorBidi" w:hAnsiTheme="majorBidi" w:cstheme="majorBidi"/>
                <w:sz w:val="22"/>
              </w:rPr>
            </w:pPr>
            <w:r w:rsidRPr="003425E2">
              <w:rPr>
                <w:rFonts w:asciiTheme="majorBidi" w:hAnsiTheme="majorBidi" w:cstheme="majorBidi"/>
                <w:sz w:val="22"/>
              </w:rPr>
              <w:t>0,8243</w:t>
            </w:r>
          </w:p>
        </w:tc>
        <w:tc>
          <w:tcPr>
            <w:tcW w:w="1667" w:type="dxa"/>
            <w:tcBorders>
              <w:top w:val="nil"/>
              <w:left w:val="nil"/>
              <w:bottom w:val="nil"/>
              <w:right w:val="nil"/>
            </w:tcBorders>
            <w:shd w:val="clear" w:color="auto" w:fill="E7E6E6" w:themeFill="background2"/>
            <w:vAlign w:val="center"/>
          </w:tcPr>
          <w:p w14:paraId="6A9C1035" w14:textId="77777777" w:rsidR="009E29DB" w:rsidRPr="003425E2" w:rsidRDefault="009E29DB" w:rsidP="009C5227">
            <w:pPr>
              <w:autoSpaceDE w:val="0"/>
              <w:autoSpaceDN w:val="0"/>
              <w:adjustRightInd w:val="0"/>
              <w:spacing w:after="0" w:line="276" w:lineRule="auto"/>
              <w:rPr>
                <w:rFonts w:asciiTheme="majorBidi" w:hAnsiTheme="majorBidi" w:cstheme="majorBidi"/>
                <w:sz w:val="22"/>
              </w:rPr>
            </w:pPr>
          </w:p>
        </w:tc>
      </w:tr>
      <w:tr w:rsidR="009E29DB" w:rsidRPr="00E528AA" w14:paraId="79FC3CE1" w14:textId="77777777" w:rsidTr="003425E2">
        <w:trPr>
          <w:cantSplit/>
          <w:jc w:val="center"/>
        </w:trPr>
        <w:tc>
          <w:tcPr>
            <w:tcW w:w="2694" w:type="dxa"/>
            <w:tcBorders>
              <w:top w:val="nil"/>
              <w:left w:val="nil"/>
              <w:bottom w:val="nil"/>
              <w:right w:val="nil"/>
            </w:tcBorders>
            <w:shd w:val="clear" w:color="auto" w:fill="FFFFFF"/>
          </w:tcPr>
          <w:p w14:paraId="6837A9ED" w14:textId="77777777" w:rsidR="009E29DB" w:rsidRPr="003425E2" w:rsidRDefault="009E29DB" w:rsidP="009C5227">
            <w:pPr>
              <w:autoSpaceDE w:val="0"/>
              <w:autoSpaceDN w:val="0"/>
              <w:adjustRightInd w:val="0"/>
              <w:spacing w:after="0" w:line="276" w:lineRule="auto"/>
              <w:ind w:left="60" w:right="60"/>
              <w:rPr>
                <w:rFonts w:asciiTheme="majorBidi" w:hAnsiTheme="majorBidi" w:cstheme="majorBidi"/>
                <w:sz w:val="22"/>
              </w:rPr>
            </w:pPr>
            <w:r w:rsidRPr="003425E2">
              <w:rPr>
                <w:rFonts w:asciiTheme="majorBidi" w:hAnsiTheme="majorBidi" w:cstheme="majorBidi"/>
                <w:sz w:val="22"/>
              </w:rPr>
              <w:t>Máximo</w:t>
            </w:r>
          </w:p>
        </w:tc>
        <w:tc>
          <w:tcPr>
            <w:tcW w:w="1168" w:type="dxa"/>
            <w:tcBorders>
              <w:top w:val="nil"/>
              <w:left w:val="nil"/>
              <w:bottom w:val="nil"/>
              <w:right w:val="nil"/>
            </w:tcBorders>
            <w:shd w:val="clear" w:color="auto" w:fill="FFFFFF"/>
          </w:tcPr>
          <w:p w14:paraId="3A7ED898" w14:textId="77777777" w:rsidR="009E29DB" w:rsidRPr="003425E2" w:rsidRDefault="009E29DB" w:rsidP="009C5227">
            <w:pPr>
              <w:autoSpaceDE w:val="0"/>
              <w:autoSpaceDN w:val="0"/>
              <w:adjustRightInd w:val="0"/>
              <w:spacing w:after="0" w:line="276" w:lineRule="auto"/>
              <w:ind w:left="60" w:right="60"/>
              <w:jc w:val="right"/>
              <w:rPr>
                <w:rFonts w:asciiTheme="majorBidi" w:hAnsiTheme="majorBidi" w:cstheme="majorBidi"/>
                <w:sz w:val="22"/>
              </w:rPr>
            </w:pPr>
            <w:r w:rsidRPr="003425E2">
              <w:rPr>
                <w:rFonts w:asciiTheme="majorBidi" w:hAnsiTheme="majorBidi" w:cstheme="majorBidi"/>
                <w:sz w:val="22"/>
              </w:rPr>
              <w:t>100,0000</w:t>
            </w:r>
          </w:p>
        </w:tc>
        <w:tc>
          <w:tcPr>
            <w:tcW w:w="1667" w:type="dxa"/>
            <w:tcBorders>
              <w:top w:val="nil"/>
              <w:left w:val="nil"/>
              <w:bottom w:val="nil"/>
              <w:right w:val="nil"/>
            </w:tcBorders>
            <w:shd w:val="clear" w:color="auto" w:fill="FFFFFF"/>
            <w:vAlign w:val="center"/>
          </w:tcPr>
          <w:p w14:paraId="2F480BDF" w14:textId="77777777" w:rsidR="009E29DB" w:rsidRPr="003425E2" w:rsidRDefault="009E29DB" w:rsidP="009C5227">
            <w:pPr>
              <w:autoSpaceDE w:val="0"/>
              <w:autoSpaceDN w:val="0"/>
              <w:adjustRightInd w:val="0"/>
              <w:spacing w:after="0" w:line="276" w:lineRule="auto"/>
              <w:rPr>
                <w:rFonts w:asciiTheme="majorBidi" w:hAnsiTheme="majorBidi" w:cstheme="majorBidi"/>
                <w:sz w:val="22"/>
              </w:rPr>
            </w:pPr>
          </w:p>
        </w:tc>
      </w:tr>
      <w:tr w:rsidR="009E29DB" w:rsidRPr="00E528AA" w14:paraId="14AC9640" w14:textId="77777777" w:rsidTr="003425E2">
        <w:trPr>
          <w:cantSplit/>
          <w:jc w:val="center"/>
        </w:trPr>
        <w:tc>
          <w:tcPr>
            <w:tcW w:w="2694" w:type="dxa"/>
            <w:tcBorders>
              <w:top w:val="nil"/>
              <w:left w:val="nil"/>
              <w:bottom w:val="nil"/>
              <w:right w:val="nil"/>
            </w:tcBorders>
            <w:shd w:val="clear" w:color="auto" w:fill="E7E6E6" w:themeFill="background2"/>
          </w:tcPr>
          <w:p w14:paraId="5CB87FE5" w14:textId="77777777" w:rsidR="009E29DB" w:rsidRPr="003425E2" w:rsidRDefault="009E29DB" w:rsidP="009C5227">
            <w:pPr>
              <w:autoSpaceDE w:val="0"/>
              <w:autoSpaceDN w:val="0"/>
              <w:adjustRightInd w:val="0"/>
              <w:spacing w:after="0" w:line="276" w:lineRule="auto"/>
              <w:ind w:left="60" w:right="60"/>
              <w:rPr>
                <w:rFonts w:asciiTheme="majorBidi" w:hAnsiTheme="majorBidi" w:cstheme="majorBidi"/>
                <w:sz w:val="22"/>
              </w:rPr>
            </w:pPr>
            <w:r w:rsidRPr="003425E2">
              <w:rPr>
                <w:rFonts w:asciiTheme="majorBidi" w:hAnsiTheme="majorBidi" w:cstheme="majorBidi"/>
                <w:sz w:val="22"/>
              </w:rPr>
              <w:t>Amplitude</w:t>
            </w:r>
          </w:p>
        </w:tc>
        <w:tc>
          <w:tcPr>
            <w:tcW w:w="1168" w:type="dxa"/>
            <w:tcBorders>
              <w:top w:val="nil"/>
              <w:left w:val="nil"/>
              <w:bottom w:val="nil"/>
              <w:right w:val="nil"/>
            </w:tcBorders>
            <w:shd w:val="clear" w:color="auto" w:fill="E7E6E6" w:themeFill="background2"/>
          </w:tcPr>
          <w:p w14:paraId="2D0F4D48" w14:textId="77777777" w:rsidR="009E29DB" w:rsidRPr="003425E2" w:rsidRDefault="009E29DB" w:rsidP="009C5227">
            <w:pPr>
              <w:autoSpaceDE w:val="0"/>
              <w:autoSpaceDN w:val="0"/>
              <w:adjustRightInd w:val="0"/>
              <w:spacing w:after="0" w:line="276" w:lineRule="auto"/>
              <w:ind w:left="60" w:right="60"/>
              <w:jc w:val="right"/>
              <w:rPr>
                <w:rFonts w:asciiTheme="majorBidi" w:hAnsiTheme="majorBidi" w:cstheme="majorBidi"/>
                <w:sz w:val="22"/>
              </w:rPr>
            </w:pPr>
            <w:r w:rsidRPr="003425E2">
              <w:rPr>
                <w:rFonts w:asciiTheme="majorBidi" w:hAnsiTheme="majorBidi" w:cstheme="majorBidi"/>
                <w:sz w:val="22"/>
              </w:rPr>
              <w:t>99,1757</w:t>
            </w:r>
          </w:p>
        </w:tc>
        <w:tc>
          <w:tcPr>
            <w:tcW w:w="1667" w:type="dxa"/>
            <w:tcBorders>
              <w:top w:val="nil"/>
              <w:left w:val="nil"/>
              <w:bottom w:val="nil"/>
              <w:right w:val="nil"/>
            </w:tcBorders>
            <w:shd w:val="clear" w:color="auto" w:fill="E7E6E6" w:themeFill="background2"/>
            <w:vAlign w:val="center"/>
          </w:tcPr>
          <w:p w14:paraId="3F149BDF" w14:textId="77777777" w:rsidR="009E29DB" w:rsidRPr="003425E2" w:rsidRDefault="009E29DB" w:rsidP="009C5227">
            <w:pPr>
              <w:autoSpaceDE w:val="0"/>
              <w:autoSpaceDN w:val="0"/>
              <w:adjustRightInd w:val="0"/>
              <w:spacing w:after="0" w:line="276" w:lineRule="auto"/>
              <w:rPr>
                <w:rFonts w:asciiTheme="majorBidi" w:hAnsiTheme="majorBidi" w:cstheme="majorBidi"/>
                <w:sz w:val="22"/>
              </w:rPr>
            </w:pPr>
          </w:p>
        </w:tc>
      </w:tr>
      <w:tr w:rsidR="009E29DB" w:rsidRPr="00E528AA" w14:paraId="1D10A57C" w14:textId="77777777" w:rsidTr="003425E2">
        <w:trPr>
          <w:cantSplit/>
          <w:jc w:val="center"/>
        </w:trPr>
        <w:tc>
          <w:tcPr>
            <w:tcW w:w="2694" w:type="dxa"/>
            <w:tcBorders>
              <w:top w:val="nil"/>
              <w:left w:val="nil"/>
              <w:bottom w:val="nil"/>
              <w:right w:val="nil"/>
            </w:tcBorders>
            <w:shd w:val="clear" w:color="auto" w:fill="FFFFFF"/>
          </w:tcPr>
          <w:p w14:paraId="3C0CDFBB" w14:textId="77777777" w:rsidR="009E29DB" w:rsidRPr="003425E2" w:rsidRDefault="009E29DB" w:rsidP="009C5227">
            <w:pPr>
              <w:autoSpaceDE w:val="0"/>
              <w:autoSpaceDN w:val="0"/>
              <w:adjustRightInd w:val="0"/>
              <w:spacing w:after="0" w:line="276" w:lineRule="auto"/>
              <w:ind w:left="60" w:right="60"/>
              <w:rPr>
                <w:rFonts w:asciiTheme="majorBidi" w:hAnsiTheme="majorBidi" w:cstheme="majorBidi"/>
                <w:sz w:val="22"/>
              </w:rPr>
            </w:pPr>
            <w:r w:rsidRPr="003425E2">
              <w:rPr>
                <w:rFonts w:asciiTheme="majorBidi" w:hAnsiTheme="majorBidi" w:cstheme="majorBidi"/>
                <w:sz w:val="22"/>
              </w:rPr>
              <w:t>Amplitude interquartil</w:t>
            </w:r>
          </w:p>
        </w:tc>
        <w:tc>
          <w:tcPr>
            <w:tcW w:w="1168" w:type="dxa"/>
            <w:tcBorders>
              <w:top w:val="nil"/>
              <w:left w:val="nil"/>
              <w:bottom w:val="nil"/>
              <w:right w:val="nil"/>
            </w:tcBorders>
            <w:shd w:val="clear" w:color="auto" w:fill="FFFFFF"/>
          </w:tcPr>
          <w:p w14:paraId="54EFD18A" w14:textId="77777777" w:rsidR="009E29DB" w:rsidRPr="003425E2" w:rsidRDefault="009E29DB" w:rsidP="009C5227">
            <w:pPr>
              <w:autoSpaceDE w:val="0"/>
              <w:autoSpaceDN w:val="0"/>
              <w:adjustRightInd w:val="0"/>
              <w:spacing w:after="0" w:line="276" w:lineRule="auto"/>
              <w:ind w:left="60" w:right="60"/>
              <w:jc w:val="right"/>
              <w:rPr>
                <w:rFonts w:asciiTheme="majorBidi" w:hAnsiTheme="majorBidi" w:cstheme="majorBidi"/>
                <w:sz w:val="22"/>
              </w:rPr>
            </w:pPr>
            <w:r w:rsidRPr="003425E2">
              <w:rPr>
                <w:rFonts w:asciiTheme="majorBidi" w:hAnsiTheme="majorBidi" w:cstheme="majorBidi"/>
                <w:sz w:val="22"/>
              </w:rPr>
              <w:t>22,0150</w:t>
            </w:r>
          </w:p>
        </w:tc>
        <w:tc>
          <w:tcPr>
            <w:tcW w:w="1667" w:type="dxa"/>
            <w:tcBorders>
              <w:top w:val="nil"/>
              <w:left w:val="nil"/>
              <w:bottom w:val="nil"/>
              <w:right w:val="nil"/>
            </w:tcBorders>
            <w:shd w:val="clear" w:color="auto" w:fill="FFFFFF"/>
            <w:vAlign w:val="center"/>
          </w:tcPr>
          <w:p w14:paraId="0F46755A" w14:textId="77777777" w:rsidR="009E29DB" w:rsidRPr="003425E2" w:rsidRDefault="009E29DB" w:rsidP="009C5227">
            <w:pPr>
              <w:autoSpaceDE w:val="0"/>
              <w:autoSpaceDN w:val="0"/>
              <w:adjustRightInd w:val="0"/>
              <w:spacing w:after="0" w:line="276" w:lineRule="auto"/>
              <w:rPr>
                <w:rFonts w:asciiTheme="majorBidi" w:hAnsiTheme="majorBidi" w:cstheme="majorBidi"/>
                <w:sz w:val="22"/>
              </w:rPr>
            </w:pPr>
          </w:p>
        </w:tc>
      </w:tr>
      <w:tr w:rsidR="009E29DB" w:rsidRPr="00E528AA" w14:paraId="63BA6A0E" w14:textId="77777777" w:rsidTr="003425E2">
        <w:trPr>
          <w:cantSplit/>
          <w:jc w:val="center"/>
        </w:trPr>
        <w:tc>
          <w:tcPr>
            <w:tcW w:w="2694" w:type="dxa"/>
            <w:tcBorders>
              <w:top w:val="nil"/>
              <w:left w:val="nil"/>
              <w:bottom w:val="nil"/>
              <w:right w:val="nil"/>
            </w:tcBorders>
            <w:shd w:val="clear" w:color="auto" w:fill="E7E6E6" w:themeFill="background2"/>
          </w:tcPr>
          <w:p w14:paraId="22A94AD5" w14:textId="77777777" w:rsidR="009E29DB" w:rsidRPr="003425E2" w:rsidRDefault="009E29DB" w:rsidP="009C5227">
            <w:pPr>
              <w:autoSpaceDE w:val="0"/>
              <w:autoSpaceDN w:val="0"/>
              <w:adjustRightInd w:val="0"/>
              <w:spacing w:after="0" w:line="276" w:lineRule="auto"/>
              <w:ind w:left="60" w:right="60"/>
              <w:rPr>
                <w:rFonts w:asciiTheme="majorBidi" w:hAnsiTheme="majorBidi" w:cstheme="majorBidi"/>
                <w:sz w:val="22"/>
              </w:rPr>
            </w:pPr>
            <w:r w:rsidRPr="003425E2">
              <w:rPr>
                <w:rFonts w:asciiTheme="majorBidi" w:hAnsiTheme="majorBidi" w:cstheme="majorBidi"/>
                <w:sz w:val="22"/>
              </w:rPr>
              <w:t>Assimetria</w:t>
            </w:r>
          </w:p>
        </w:tc>
        <w:tc>
          <w:tcPr>
            <w:tcW w:w="1168" w:type="dxa"/>
            <w:tcBorders>
              <w:top w:val="nil"/>
              <w:left w:val="nil"/>
              <w:bottom w:val="nil"/>
              <w:right w:val="nil"/>
            </w:tcBorders>
            <w:shd w:val="clear" w:color="auto" w:fill="E7E6E6" w:themeFill="background2"/>
          </w:tcPr>
          <w:p w14:paraId="53A89D7A" w14:textId="77777777" w:rsidR="009E29DB" w:rsidRPr="003425E2" w:rsidRDefault="009E29DB" w:rsidP="009C5227">
            <w:pPr>
              <w:autoSpaceDE w:val="0"/>
              <w:autoSpaceDN w:val="0"/>
              <w:adjustRightInd w:val="0"/>
              <w:spacing w:after="0" w:line="276" w:lineRule="auto"/>
              <w:ind w:left="60" w:right="60"/>
              <w:jc w:val="right"/>
              <w:rPr>
                <w:rFonts w:asciiTheme="majorBidi" w:hAnsiTheme="majorBidi" w:cstheme="majorBidi"/>
                <w:sz w:val="22"/>
              </w:rPr>
            </w:pPr>
            <w:r w:rsidRPr="003425E2">
              <w:rPr>
                <w:rFonts w:asciiTheme="majorBidi" w:hAnsiTheme="majorBidi" w:cstheme="majorBidi"/>
                <w:sz w:val="22"/>
              </w:rPr>
              <w:t>0,7454</w:t>
            </w:r>
          </w:p>
        </w:tc>
        <w:tc>
          <w:tcPr>
            <w:tcW w:w="1667" w:type="dxa"/>
            <w:tcBorders>
              <w:top w:val="nil"/>
              <w:left w:val="nil"/>
              <w:bottom w:val="nil"/>
              <w:right w:val="nil"/>
            </w:tcBorders>
            <w:shd w:val="clear" w:color="auto" w:fill="E7E6E6" w:themeFill="background2"/>
          </w:tcPr>
          <w:p w14:paraId="06AE31D5" w14:textId="77777777" w:rsidR="009E29DB" w:rsidRPr="003425E2" w:rsidRDefault="009E29DB" w:rsidP="009C5227">
            <w:pPr>
              <w:autoSpaceDE w:val="0"/>
              <w:autoSpaceDN w:val="0"/>
              <w:adjustRightInd w:val="0"/>
              <w:spacing w:after="0" w:line="276" w:lineRule="auto"/>
              <w:ind w:left="60" w:right="60"/>
              <w:jc w:val="right"/>
              <w:rPr>
                <w:rFonts w:asciiTheme="majorBidi" w:hAnsiTheme="majorBidi" w:cstheme="majorBidi"/>
                <w:sz w:val="22"/>
              </w:rPr>
            </w:pPr>
            <w:r w:rsidRPr="003425E2">
              <w:rPr>
                <w:rFonts w:asciiTheme="majorBidi" w:hAnsiTheme="majorBidi" w:cstheme="majorBidi"/>
                <w:sz w:val="22"/>
              </w:rPr>
              <w:t>0,062</w:t>
            </w:r>
          </w:p>
        </w:tc>
      </w:tr>
      <w:tr w:rsidR="009E29DB" w:rsidRPr="00E528AA" w14:paraId="5EB75423" w14:textId="77777777" w:rsidTr="003425E2">
        <w:trPr>
          <w:cantSplit/>
          <w:jc w:val="center"/>
        </w:trPr>
        <w:tc>
          <w:tcPr>
            <w:tcW w:w="2694" w:type="dxa"/>
            <w:tcBorders>
              <w:top w:val="nil"/>
              <w:left w:val="nil"/>
              <w:bottom w:val="double" w:sz="6" w:space="0" w:color="000000"/>
              <w:right w:val="nil"/>
            </w:tcBorders>
            <w:shd w:val="clear" w:color="auto" w:fill="FFFFFF"/>
          </w:tcPr>
          <w:p w14:paraId="01838557" w14:textId="77777777" w:rsidR="009E29DB" w:rsidRPr="003425E2" w:rsidRDefault="009E29DB" w:rsidP="009C5227">
            <w:pPr>
              <w:autoSpaceDE w:val="0"/>
              <w:autoSpaceDN w:val="0"/>
              <w:adjustRightInd w:val="0"/>
              <w:spacing w:after="0" w:line="276" w:lineRule="auto"/>
              <w:ind w:left="60" w:right="60"/>
              <w:rPr>
                <w:rFonts w:asciiTheme="majorBidi" w:hAnsiTheme="majorBidi" w:cstheme="majorBidi"/>
                <w:sz w:val="22"/>
              </w:rPr>
            </w:pPr>
            <w:proofErr w:type="spellStart"/>
            <w:r w:rsidRPr="003425E2">
              <w:rPr>
                <w:rFonts w:asciiTheme="majorBidi" w:hAnsiTheme="majorBidi" w:cstheme="majorBidi"/>
                <w:sz w:val="22"/>
              </w:rPr>
              <w:t>Curtose</w:t>
            </w:r>
            <w:proofErr w:type="spellEnd"/>
          </w:p>
        </w:tc>
        <w:tc>
          <w:tcPr>
            <w:tcW w:w="1168" w:type="dxa"/>
            <w:tcBorders>
              <w:top w:val="nil"/>
              <w:left w:val="nil"/>
              <w:bottom w:val="double" w:sz="6" w:space="0" w:color="000000"/>
              <w:right w:val="nil"/>
            </w:tcBorders>
            <w:shd w:val="clear" w:color="auto" w:fill="FFFFFF"/>
          </w:tcPr>
          <w:p w14:paraId="2D9EFD73" w14:textId="77777777" w:rsidR="009E29DB" w:rsidRPr="003425E2" w:rsidRDefault="009E29DB" w:rsidP="009C5227">
            <w:pPr>
              <w:autoSpaceDE w:val="0"/>
              <w:autoSpaceDN w:val="0"/>
              <w:adjustRightInd w:val="0"/>
              <w:spacing w:after="0" w:line="276" w:lineRule="auto"/>
              <w:ind w:left="60" w:right="60"/>
              <w:jc w:val="right"/>
              <w:rPr>
                <w:rFonts w:asciiTheme="majorBidi" w:hAnsiTheme="majorBidi" w:cstheme="majorBidi"/>
                <w:sz w:val="22"/>
              </w:rPr>
            </w:pPr>
            <w:r w:rsidRPr="003425E2">
              <w:rPr>
                <w:rFonts w:asciiTheme="majorBidi" w:hAnsiTheme="majorBidi" w:cstheme="majorBidi"/>
                <w:sz w:val="22"/>
              </w:rPr>
              <w:t>0,3628</w:t>
            </w:r>
          </w:p>
        </w:tc>
        <w:tc>
          <w:tcPr>
            <w:tcW w:w="1667" w:type="dxa"/>
            <w:tcBorders>
              <w:top w:val="nil"/>
              <w:left w:val="nil"/>
              <w:bottom w:val="double" w:sz="6" w:space="0" w:color="000000"/>
              <w:right w:val="nil"/>
            </w:tcBorders>
            <w:shd w:val="clear" w:color="auto" w:fill="FFFFFF"/>
          </w:tcPr>
          <w:p w14:paraId="476DEA03" w14:textId="77777777" w:rsidR="009E29DB" w:rsidRPr="003425E2" w:rsidRDefault="009E29DB" w:rsidP="009C5227">
            <w:pPr>
              <w:autoSpaceDE w:val="0"/>
              <w:autoSpaceDN w:val="0"/>
              <w:adjustRightInd w:val="0"/>
              <w:spacing w:after="0" w:line="276" w:lineRule="auto"/>
              <w:ind w:left="60" w:right="60"/>
              <w:jc w:val="right"/>
              <w:rPr>
                <w:rFonts w:asciiTheme="majorBidi" w:hAnsiTheme="majorBidi" w:cstheme="majorBidi"/>
                <w:sz w:val="22"/>
              </w:rPr>
            </w:pPr>
            <w:r w:rsidRPr="003425E2">
              <w:rPr>
                <w:rFonts w:asciiTheme="majorBidi" w:hAnsiTheme="majorBidi" w:cstheme="majorBidi"/>
                <w:sz w:val="22"/>
              </w:rPr>
              <w:t>0,125</w:t>
            </w:r>
          </w:p>
        </w:tc>
      </w:tr>
    </w:tbl>
    <w:p w14:paraId="02B86B15" w14:textId="1A45D29A" w:rsidR="009E29DB" w:rsidRPr="003425E2" w:rsidRDefault="009E29DB" w:rsidP="009E2324">
      <w:pPr>
        <w:spacing w:before="240" w:line="360" w:lineRule="auto"/>
        <w:jc w:val="both"/>
        <w:rPr>
          <w:rFonts w:cs="Times New Roman"/>
        </w:rPr>
      </w:pPr>
      <w:r w:rsidRPr="003425E2">
        <w:rPr>
          <w:rFonts w:cs="Times New Roman"/>
        </w:rPr>
        <w:t xml:space="preserve">Como já referido, nesta primeira análise, os 5 anos do estudo </w:t>
      </w:r>
      <w:r w:rsidR="00C04D22">
        <w:rPr>
          <w:rFonts w:cs="Times New Roman"/>
        </w:rPr>
        <w:t xml:space="preserve">foram considerados </w:t>
      </w:r>
      <w:r w:rsidRPr="003425E2">
        <w:rPr>
          <w:rFonts w:cs="Times New Roman"/>
        </w:rPr>
        <w:t>como um todo para os 308 municípios portugueses, totalizando uma população de dimensão 1540 (308*5).</w:t>
      </w:r>
      <w:r w:rsidR="003667A8">
        <w:rPr>
          <w:rFonts w:cs="Times New Roman"/>
        </w:rPr>
        <w:t xml:space="preserve"> </w:t>
      </w:r>
    </w:p>
    <w:p w14:paraId="77F0B148" w14:textId="43E0F1B4" w:rsidR="009E29DB" w:rsidRPr="003425E2" w:rsidRDefault="009E29DB" w:rsidP="009E29DB">
      <w:pPr>
        <w:spacing w:line="360" w:lineRule="auto"/>
        <w:jc w:val="both"/>
        <w:rPr>
          <w:rFonts w:cs="Times New Roman"/>
        </w:rPr>
      </w:pPr>
      <w:r w:rsidRPr="003425E2">
        <w:rPr>
          <w:rFonts w:cs="Times New Roman"/>
        </w:rPr>
        <w:t xml:space="preserve">O ITM é apresentado </w:t>
      </w:r>
      <w:r w:rsidR="00C04D22">
        <w:rPr>
          <w:rFonts w:cs="Times New Roman"/>
        </w:rPr>
        <w:t>n</w:t>
      </w:r>
      <w:r w:rsidRPr="003425E2">
        <w:rPr>
          <w:rFonts w:cs="Times New Roman"/>
        </w:rPr>
        <w:t>uma escala de 0 a 100, sendo o seu valor mínimo de 0</w:t>
      </w:r>
      <w:r w:rsidR="000E4216" w:rsidRPr="003425E2">
        <w:rPr>
          <w:rFonts w:cs="Times New Roman"/>
        </w:rPr>
        <w:t>,</w:t>
      </w:r>
      <w:r w:rsidRPr="003425E2">
        <w:rPr>
          <w:rFonts w:cs="Times New Roman"/>
        </w:rPr>
        <w:t>82</w:t>
      </w:r>
      <w:r w:rsidR="000E4216" w:rsidRPr="003425E2">
        <w:rPr>
          <w:rFonts w:cs="Times New Roman"/>
        </w:rPr>
        <w:t>43</w:t>
      </w:r>
      <w:r w:rsidRPr="003425E2">
        <w:rPr>
          <w:rFonts w:cs="Times New Roman"/>
        </w:rPr>
        <w:t xml:space="preserve"> e o máximo de 100, estes corresponde</w:t>
      </w:r>
      <w:r w:rsidR="003425E2" w:rsidRPr="003425E2">
        <w:rPr>
          <w:rFonts w:cs="Times New Roman"/>
        </w:rPr>
        <w:t>m</w:t>
      </w:r>
      <w:r w:rsidRPr="003425E2">
        <w:rPr>
          <w:rFonts w:cs="Times New Roman"/>
        </w:rPr>
        <w:t xml:space="preserve"> aos valores extremos do conjunto dos nossos dados nos 5 anos em análise. </w:t>
      </w:r>
    </w:p>
    <w:p w14:paraId="67CE2140" w14:textId="0C9AE7D1" w:rsidR="009E29DB" w:rsidRDefault="009E29DB" w:rsidP="009E29DB">
      <w:pPr>
        <w:spacing w:line="360" w:lineRule="auto"/>
        <w:jc w:val="both"/>
        <w:rPr>
          <w:rFonts w:cs="Times New Roman"/>
        </w:rPr>
      </w:pPr>
      <w:r w:rsidRPr="003425E2">
        <w:rPr>
          <w:rFonts w:cs="Times New Roman"/>
        </w:rPr>
        <w:t>Relativamente ao valor médio, este é de 42,8</w:t>
      </w:r>
      <w:r w:rsidR="000E4216" w:rsidRPr="003425E2">
        <w:rPr>
          <w:rFonts w:cs="Times New Roman"/>
        </w:rPr>
        <w:t>753</w:t>
      </w:r>
      <w:r w:rsidRPr="003425E2">
        <w:rPr>
          <w:rFonts w:cs="Times New Roman"/>
        </w:rPr>
        <w:t xml:space="preserve"> o que indica que os municípios portugueses apresentam um nível de transparência que fica abaixo do valor médio do índice na sua escala de 0 a 100. </w:t>
      </w:r>
    </w:p>
    <w:p w14:paraId="69DE7C06" w14:textId="27A56B19" w:rsidR="009E29DB" w:rsidRDefault="009E29DB" w:rsidP="00F809F4">
      <w:pPr>
        <w:spacing w:line="360" w:lineRule="auto"/>
        <w:jc w:val="both"/>
        <w:rPr>
          <w:rFonts w:cs="Times New Roman"/>
        </w:rPr>
      </w:pPr>
      <w:r w:rsidRPr="003425E2">
        <w:rPr>
          <w:rFonts w:cs="Times New Roman"/>
        </w:rPr>
        <w:t xml:space="preserve">Segundo </w:t>
      </w:r>
      <w:proofErr w:type="spellStart"/>
      <w:r w:rsidRPr="003425E2">
        <w:rPr>
          <w:rFonts w:cs="Times New Roman"/>
        </w:rPr>
        <w:t>Lunet</w:t>
      </w:r>
      <w:proofErr w:type="spellEnd"/>
      <w:r w:rsidRPr="003425E2">
        <w:rPr>
          <w:rFonts w:cs="Times New Roman"/>
        </w:rPr>
        <w:t>, Severo e Barros (2006, p</w:t>
      </w:r>
      <w:r w:rsidR="00C04D22">
        <w:rPr>
          <w:rFonts w:cs="Times New Roman"/>
        </w:rPr>
        <w:t xml:space="preserve"> </w:t>
      </w:r>
      <w:r w:rsidRPr="003425E2">
        <w:rPr>
          <w:rFonts w:cs="Times New Roman"/>
        </w:rPr>
        <w:t>.55) o desvio padrão «é uma medida de dispersão e o seu valor reflete a variabilidade das observações em relação à média». Neste caso, o valor de desvio-padrão é de 17,6</w:t>
      </w:r>
      <w:r w:rsidR="00F809F4" w:rsidRPr="003425E2">
        <w:rPr>
          <w:rFonts w:cs="Times New Roman"/>
        </w:rPr>
        <w:t>171</w:t>
      </w:r>
      <w:r w:rsidRPr="003425E2">
        <w:rPr>
          <w:rFonts w:cs="Times New Roman"/>
        </w:rPr>
        <w:t xml:space="preserve"> que pode indicar que existe uma dispersão moderada dos dados relativamente à média. </w:t>
      </w:r>
    </w:p>
    <w:p w14:paraId="2161018D" w14:textId="03AD2FEC" w:rsidR="00911954" w:rsidRPr="0034474D" w:rsidRDefault="00911954" w:rsidP="0034474D">
      <w:pPr>
        <w:spacing w:line="360" w:lineRule="auto"/>
        <w:jc w:val="both"/>
        <w:rPr>
          <w:rFonts w:cs="Times New Roman"/>
        </w:rPr>
      </w:pPr>
      <w:r>
        <w:rPr>
          <w:rFonts w:cs="Times New Roman"/>
        </w:rPr>
        <w:t>As medidas de assimetria, s</w:t>
      </w:r>
      <w:r w:rsidR="00AA47DC">
        <w:rPr>
          <w:rFonts w:cs="Times New Roman"/>
        </w:rPr>
        <w:t>egundo Correa (2003),</w:t>
      </w:r>
      <w:r>
        <w:t xml:space="preserve"> «referem-se à forma da curva de uma distribuição de frequência, mais especificamente do polígono de frequência ou do histograma». Por outras palavras, denomina-se assimetria como o grau de afastamento de uma distribuição da unidade de simetria. A fórmula de calculo do coeficiente de assimetria é: </w:t>
      </w:r>
      <m:oMath>
        <m:r>
          <w:rPr>
            <w:rFonts w:ascii="Cambria Math" w:hAnsi="Cambria Math" w:cs="Times New Roman"/>
            <w:szCs w:val="24"/>
          </w:rPr>
          <m:t>z=</m:t>
        </m:r>
        <m:f>
          <m:fPr>
            <m:ctrlPr>
              <w:rPr>
                <w:rFonts w:ascii="Cambria Math" w:hAnsi="Cambria Math" w:cs="Times New Roman"/>
                <w:i/>
                <w:szCs w:val="24"/>
              </w:rPr>
            </m:ctrlPr>
          </m:fPr>
          <m:num>
            <m:r>
              <w:rPr>
                <w:rFonts w:ascii="Cambria Math" w:hAnsi="Cambria Math" w:cs="Times New Roman"/>
                <w:szCs w:val="24"/>
              </w:rPr>
              <m:t xml:space="preserve">µ- </m:t>
            </m:r>
            <m:sSub>
              <m:sSubPr>
                <m:ctrlPr>
                  <w:rPr>
                    <w:rFonts w:ascii="Cambria Math" w:hAnsi="Cambria Math" w:cs="Times New Roman"/>
                    <w:i/>
                    <w:szCs w:val="24"/>
                  </w:rPr>
                </m:ctrlPr>
              </m:sSubPr>
              <m:e>
                <m:r>
                  <w:rPr>
                    <w:rFonts w:ascii="Cambria Math" w:hAnsi="Cambria Math" w:cs="Times New Roman"/>
                    <w:szCs w:val="24"/>
                  </w:rPr>
                  <m:t>M</m:t>
                </m:r>
              </m:e>
              <m:sub>
                <m:r>
                  <w:rPr>
                    <w:rFonts w:ascii="Cambria Math" w:hAnsi="Cambria Math" w:cs="Times New Roman"/>
                    <w:szCs w:val="24"/>
                  </w:rPr>
                  <m:t>0</m:t>
                </m:r>
              </m:sub>
            </m:sSub>
          </m:num>
          <m:den>
            <m:r>
              <m:rPr>
                <m:sty m:val="p"/>
              </m:rPr>
              <w:rPr>
                <w:rFonts w:ascii="Cambria Math" w:hAnsi="Cambria Math" w:cstheme="majorBidi"/>
                <w:szCs w:val="24"/>
              </w:rPr>
              <m:t>σ</m:t>
            </m:r>
          </m:den>
        </m:f>
        <m:r>
          <w:rPr>
            <w:rFonts w:ascii="Cambria Math" w:hAnsi="Cambria Math" w:cs="Times New Roman"/>
            <w:szCs w:val="24"/>
          </w:rPr>
          <m:t xml:space="preserve">, </m:t>
        </m:r>
        <m:r>
          <m:rPr>
            <m:sty m:val="p"/>
          </m:rPr>
          <w:rPr>
            <w:rFonts w:ascii="Cambria Math" w:eastAsiaTheme="minorEastAsia" w:hAnsi="Cambria Math" w:cs="Times New Roman"/>
            <w:szCs w:val="24"/>
          </w:rPr>
          <m:t>em</m:t>
        </m:r>
      </m:oMath>
      <w:r>
        <w:rPr>
          <w:rFonts w:cs="Times New Roman"/>
          <w:szCs w:val="24"/>
        </w:rPr>
        <w:t xml:space="preserve"> que </w:t>
      </w:r>
      <m:oMath>
        <m:r>
          <w:rPr>
            <w:rFonts w:ascii="Cambria Math" w:hAnsi="Cambria Math" w:cs="Times New Roman"/>
            <w:szCs w:val="24"/>
          </w:rPr>
          <m:t>µ</m:t>
        </m:r>
      </m:oMath>
      <w:r w:rsidR="00B3128F">
        <w:rPr>
          <w:rFonts w:eastAsiaTheme="minorEastAsia" w:cs="Times New Roman"/>
          <w:szCs w:val="24"/>
        </w:rPr>
        <w:t xml:space="preserve"> é a média, </w:t>
      </w:r>
      <m:oMath>
        <m:sSub>
          <m:sSubPr>
            <m:ctrlPr>
              <w:rPr>
                <w:rFonts w:ascii="Cambria Math" w:hAnsi="Cambria Math" w:cs="Times New Roman"/>
                <w:i/>
                <w:szCs w:val="24"/>
              </w:rPr>
            </m:ctrlPr>
          </m:sSubPr>
          <m:e>
            <m:r>
              <w:rPr>
                <w:rFonts w:ascii="Cambria Math" w:hAnsi="Cambria Math" w:cs="Times New Roman"/>
                <w:szCs w:val="24"/>
              </w:rPr>
              <m:t>M</m:t>
            </m:r>
          </m:e>
          <m:sub>
            <m:r>
              <w:rPr>
                <w:rFonts w:ascii="Cambria Math" w:hAnsi="Cambria Math" w:cs="Times New Roman"/>
                <w:szCs w:val="24"/>
              </w:rPr>
              <m:t>0</m:t>
            </m:r>
          </m:sub>
        </m:sSub>
      </m:oMath>
      <w:r w:rsidR="00B3128F">
        <w:rPr>
          <w:rFonts w:eastAsiaTheme="minorEastAsia" w:cs="Times New Roman"/>
          <w:szCs w:val="24"/>
        </w:rPr>
        <w:t xml:space="preserve"> a moda e </w:t>
      </w:r>
      <w:r w:rsidR="00B3128F">
        <w:rPr>
          <w:rFonts w:ascii="Cambria Math" w:eastAsiaTheme="minorEastAsia" w:hAnsi="Cambria Math" w:cs="Times New Roman"/>
          <w:szCs w:val="24"/>
        </w:rPr>
        <w:t>𝜎</w:t>
      </w:r>
      <w:r w:rsidR="00B3128F">
        <w:rPr>
          <w:rFonts w:eastAsiaTheme="minorEastAsia" w:cs="Times New Roman"/>
          <w:szCs w:val="24"/>
        </w:rPr>
        <w:t xml:space="preserve"> simboliza o desvio-padrão. </w:t>
      </w:r>
    </w:p>
    <w:p w14:paraId="1748E1FA" w14:textId="4882753C" w:rsidR="009E29DB" w:rsidRDefault="002F2B95" w:rsidP="009E29DB">
      <w:pPr>
        <w:spacing w:line="360" w:lineRule="auto"/>
        <w:jc w:val="both"/>
        <w:rPr>
          <w:rFonts w:eastAsiaTheme="minorEastAsia" w:cs="Times New Roman"/>
          <w:szCs w:val="24"/>
        </w:rPr>
      </w:pPr>
      <w:r>
        <w:rPr>
          <w:rFonts w:cs="Times New Roman"/>
          <w:szCs w:val="24"/>
        </w:rPr>
        <w:lastRenderedPageBreak/>
        <w:t>Atentando</w:t>
      </w:r>
      <w:r w:rsidR="009E29DB" w:rsidRPr="003425E2">
        <w:rPr>
          <w:rFonts w:cs="Times New Roman"/>
          <w:szCs w:val="24"/>
        </w:rPr>
        <w:t xml:space="preserve"> </w:t>
      </w:r>
      <w:r>
        <w:rPr>
          <w:rFonts w:cs="Times New Roman"/>
          <w:szCs w:val="24"/>
        </w:rPr>
        <w:t>a</w:t>
      </w:r>
      <w:r w:rsidR="009E29DB" w:rsidRPr="003425E2">
        <w:rPr>
          <w:rFonts w:cs="Times New Roman"/>
          <w:szCs w:val="24"/>
        </w:rPr>
        <w:t>os valores de assimetria (</w:t>
      </w:r>
      <w:r w:rsidR="009E29DB" w:rsidRPr="003425E2">
        <w:rPr>
          <w:rFonts w:asciiTheme="majorBidi" w:hAnsiTheme="majorBidi" w:cstheme="majorBidi"/>
          <w:szCs w:val="24"/>
        </w:rPr>
        <w:t xml:space="preserve">0,7454) </w:t>
      </w:r>
      <w:r w:rsidR="009E29DB" w:rsidRPr="003425E2">
        <w:rPr>
          <w:rFonts w:cs="Times New Roman"/>
          <w:szCs w:val="24"/>
        </w:rPr>
        <w:t xml:space="preserve">e </w:t>
      </w:r>
      <w:r>
        <w:rPr>
          <w:rFonts w:cs="Times New Roman"/>
          <w:szCs w:val="24"/>
        </w:rPr>
        <w:t>do</w:t>
      </w:r>
      <w:r w:rsidR="009E29DB" w:rsidRPr="003425E2">
        <w:rPr>
          <w:rFonts w:cs="Times New Roman"/>
          <w:szCs w:val="24"/>
        </w:rPr>
        <w:t xml:space="preserve"> desvio padrão (</w:t>
      </w:r>
      <w:r w:rsidR="009E29DB" w:rsidRPr="003425E2">
        <w:rPr>
          <w:rFonts w:asciiTheme="majorBidi" w:hAnsiTheme="majorBidi" w:cstheme="majorBidi"/>
          <w:szCs w:val="24"/>
        </w:rPr>
        <w:t>0,062)</w:t>
      </w:r>
      <w:r w:rsidR="009E29DB" w:rsidRPr="003425E2">
        <w:rPr>
          <w:rFonts w:cs="Times New Roman"/>
          <w:szCs w:val="24"/>
        </w:rPr>
        <w:t xml:space="preserve"> consta-se que </w:t>
      </w:r>
      <m:oMath>
        <m:r>
          <w:rPr>
            <w:rFonts w:ascii="Cambria Math" w:hAnsi="Cambria Math" w:cs="Times New Roman"/>
            <w:szCs w:val="24"/>
          </w:rPr>
          <m:t>z=</m:t>
        </m:r>
        <m:f>
          <m:fPr>
            <m:ctrlPr>
              <w:rPr>
                <w:rFonts w:ascii="Cambria Math" w:hAnsi="Cambria Math" w:cs="Times New Roman"/>
                <w:i/>
                <w:szCs w:val="24"/>
              </w:rPr>
            </m:ctrlPr>
          </m:fPr>
          <m:num>
            <m:r>
              <m:rPr>
                <m:sty m:val="p"/>
              </m:rPr>
              <w:rPr>
                <w:rFonts w:ascii="Cambria Math" w:hAnsi="Cambria Math" w:cstheme="majorBidi"/>
                <w:szCs w:val="24"/>
              </w:rPr>
              <m:t>0,7454</m:t>
            </m:r>
          </m:num>
          <m:den>
            <m:r>
              <m:rPr>
                <m:sty m:val="p"/>
              </m:rPr>
              <w:rPr>
                <w:rFonts w:ascii="Cambria Math" w:hAnsi="Cambria Math" w:cstheme="majorBidi"/>
                <w:szCs w:val="24"/>
              </w:rPr>
              <m:t>0,062</m:t>
            </m:r>
          </m:den>
        </m:f>
        <m:r>
          <w:rPr>
            <w:rFonts w:ascii="Cambria Math" w:hAnsi="Cambria Math" w:cs="Times New Roman"/>
            <w:szCs w:val="24"/>
          </w:rPr>
          <m:t xml:space="preserve">=12,023&gt;1,96 </m:t>
        </m:r>
      </m:oMath>
      <w:r w:rsidR="009E29DB" w:rsidRPr="003425E2">
        <w:rPr>
          <w:rFonts w:eastAsiaTheme="minorEastAsia" w:cs="Times New Roman"/>
          <w:szCs w:val="24"/>
        </w:rPr>
        <w:t>o que nos permite afi</w:t>
      </w:r>
      <w:proofErr w:type="spellStart"/>
      <w:r w:rsidR="009E29DB" w:rsidRPr="003425E2">
        <w:rPr>
          <w:rFonts w:eastAsiaTheme="minorEastAsia" w:cs="Times New Roman"/>
          <w:szCs w:val="24"/>
        </w:rPr>
        <w:t>rmar</w:t>
      </w:r>
      <w:proofErr w:type="spellEnd"/>
      <w:r w:rsidR="009E29DB" w:rsidRPr="003425E2">
        <w:rPr>
          <w:rFonts w:eastAsiaTheme="minorEastAsia" w:cs="Times New Roman"/>
          <w:szCs w:val="24"/>
        </w:rPr>
        <w:t xml:space="preserve"> que a variável não tem um</w:t>
      </w:r>
      <w:r w:rsidR="003425E2" w:rsidRPr="003425E2">
        <w:rPr>
          <w:rFonts w:eastAsiaTheme="minorEastAsia" w:cs="Times New Roman"/>
          <w:szCs w:val="24"/>
        </w:rPr>
        <w:t>a</w:t>
      </w:r>
      <w:r w:rsidR="009E29DB" w:rsidRPr="003425E2">
        <w:rPr>
          <w:rFonts w:eastAsiaTheme="minorEastAsia" w:cs="Times New Roman"/>
          <w:szCs w:val="24"/>
        </w:rPr>
        <w:t xml:space="preserve"> distribuição simétrica. O mesmo se observou através do respetivo </w:t>
      </w:r>
      <w:r w:rsidR="009E29DB" w:rsidRPr="007F35DF">
        <w:rPr>
          <w:rFonts w:eastAsiaTheme="minorEastAsia" w:cs="Times New Roman"/>
          <w:szCs w:val="24"/>
        </w:rPr>
        <w:t>histograma</w:t>
      </w:r>
      <w:r w:rsidR="00D50205" w:rsidRPr="007F35DF">
        <w:rPr>
          <w:rFonts w:eastAsiaTheme="minorEastAsia" w:cs="Times New Roman"/>
          <w:szCs w:val="24"/>
        </w:rPr>
        <w:t xml:space="preserve"> (</w:t>
      </w:r>
      <w:r w:rsidR="00C04D22">
        <w:rPr>
          <w:rFonts w:eastAsiaTheme="minorEastAsia" w:cs="Times New Roman"/>
          <w:szCs w:val="24"/>
        </w:rPr>
        <w:t>A</w:t>
      </w:r>
      <w:r w:rsidR="009E29DB" w:rsidRPr="007F35DF">
        <w:rPr>
          <w:rFonts w:eastAsiaTheme="minorEastAsia" w:cs="Times New Roman"/>
          <w:szCs w:val="24"/>
        </w:rPr>
        <w:t>pêndice</w:t>
      </w:r>
      <w:r w:rsidR="00D50205" w:rsidRPr="007F35DF">
        <w:rPr>
          <w:rFonts w:eastAsiaTheme="minorEastAsia" w:cs="Times New Roman"/>
          <w:szCs w:val="24"/>
        </w:rPr>
        <w:t xml:space="preserve"> 2)</w:t>
      </w:r>
      <w:r w:rsidR="00E01E8A" w:rsidRPr="007F35DF">
        <w:rPr>
          <w:rFonts w:eastAsiaTheme="minorEastAsia" w:cs="Times New Roman"/>
          <w:szCs w:val="24"/>
        </w:rPr>
        <w:t>.</w:t>
      </w:r>
      <w:r w:rsidR="00E01E8A" w:rsidRPr="003425E2">
        <w:rPr>
          <w:rFonts w:eastAsiaTheme="minorEastAsia" w:cs="Times New Roman"/>
          <w:szCs w:val="24"/>
        </w:rPr>
        <w:t xml:space="preserve"> </w:t>
      </w:r>
    </w:p>
    <w:p w14:paraId="1944BE0D" w14:textId="00EDF9E7" w:rsidR="007F35DF" w:rsidRDefault="00962182" w:rsidP="00290BCF">
      <w:pPr>
        <w:spacing w:line="360" w:lineRule="auto"/>
        <w:jc w:val="both"/>
        <w:rPr>
          <w:rFonts w:cs="Times New Roman"/>
        </w:rPr>
      </w:pPr>
      <w:r>
        <w:rPr>
          <w:rFonts w:cs="Times New Roman"/>
        </w:rPr>
        <w:t xml:space="preserve">Foram também </w:t>
      </w:r>
      <w:r w:rsidR="00C04D22">
        <w:rPr>
          <w:rFonts w:cs="Times New Roman"/>
        </w:rPr>
        <w:t xml:space="preserve">analisadas </w:t>
      </w:r>
      <w:r w:rsidR="0043317C">
        <w:rPr>
          <w:rFonts w:cs="Times New Roman"/>
        </w:rPr>
        <w:t xml:space="preserve">as estatísticas descritivas </w:t>
      </w:r>
      <w:r w:rsidR="0043317C" w:rsidRPr="00962182">
        <w:rPr>
          <w:rFonts w:cs="Times New Roman"/>
        </w:rPr>
        <w:t>(</w:t>
      </w:r>
      <w:r w:rsidR="00F338BB">
        <w:rPr>
          <w:rFonts w:cs="Times New Roman"/>
        </w:rPr>
        <w:t>A</w:t>
      </w:r>
      <w:r w:rsidR="0043317C" w:rsidRPr="00962182">
        <w:rPr>
          <w:rFonts w:cs="Times New Roman"/>
        </w:rPr>
        <w:t>pêndice 1)</w:t>
      </w:r>
      <w:r w:rsidR="0043317C" w:rsidRPr="000E2F08">
        <w:rPr>
          <w:rFonts w:cs="Times New Roman"/>
          <w:color w:val="FF0000"/>
        </w:rPr>
        <w:t xml:space="preserve"> </w:t>
      </w:r>
      <w:r w:rsidR="0043317C">
        <w:rPr>
          <w:rFonts w:cs="Times New Roman"/>
        </w:rPr>
        <w:t xml:space="preserve">e a observação dos histogramas das restantes variáveis incluídas na base </w:t>
      </w:r>
      <w:r w:rsidR="00C04D22">
        <w:rPr>
          <w:rFonts w:cs="Times New Roman"/>
        </w:rPr>
        <w:t xml:space="preserve">de </w:t>
      </w:r>
      <w:r w:rsidR="0043317C">
        <w:rPr>
          <w:rFonts w:cs="Times New Roman"/>
        </w:rPr>
        <w:t>dados que sustentou este trabalho</w:t>
      </w:r>
      <w:r>
        <w:rPr>
          <w:rFonts w:cs="Times New Roman"/>
        </w:rPr>
        <w:t xml:space="preserve"> (</w:t>
      </w:r>
      <w:r w:rsidR="00F338BB">
        <w:rPr>
          <w:rFonts w:cs="Times New Roman"/>
        </w:rPr>
        <w:t>A</w:t>
      </w:r>
      <w:r>
        <w:rPr>
          <w:rFonts w:cs="Times New Roman"/>
        </w:rPr>
        <w:t>pêndice 2)</w:t>
      </w:r>
      <w:r w:rsidR="0043317C">
        <w:rPr>
          <w:rFonts w:cs="Times New Roman"/>
        </w:rPr>
        <w:t>.</w:t>
      </w:r>
      <w:r w:rsidR="0043154B">
        <w:rPr>
          <w:rFonts w:cs="Times New Roman"/>
        </w:rPr>
        <w:t xml:space="preserve"> </w:t>
      </w:r>
      <w:r w:rsidR="00290BCF">
        <w:rPr>
          <w:rFonts w:cs="Times New Roman"/>
        </w:rPr>
        <w:t xml:space="preserve">De seguida, procede-se à análise descritiva do ITM por anos, por forma a tentar percecionar melhor a sua evolução, como </w:t>
      </w:r>
      <w:r w:rsidR="00501911">
        <w:rPr>
          <w:rFonts w:cs="Times New Roman"/>
        </w:rPr>
        <w:t xml:space="preserve">se </w:t>
      </w:r>
      <w:r w:rsidR="00290BCF">
        <w:rPr>
          <w:rFonts w:cs="Times New Roman"/>
        </w:rPr>
        <w:t xml:space="preserve">apresenta na </w:t>
      </w:r>
      <w:r w:rsidR="00C04D22">
        <w:rPr>
          <w:rFonts w:cs="Times New Roman"/>
        </w:rPr>
        <w:t>T</w:t>
      </w:r>
      <w:r w:rsidR="00290BCF">
        <w:rPr>
          <w:rFonts w:cs="Times New Roman"/>
        </w:rPr>
        <w:t>abela 4.2.</w:t>
      </w:r>
    </w:p>
    <w:p w14:paraId="5B593B7E" w14:textId="1BF13BE9" w:rsidR="00BF08F0" w:rsidRPr="00077002" w:rsidRDefault="00BF08F0" w:rsidP="00697B1B">
      <w:pPr>
        <w:spacing w:after="0" w:line="360" w:lineRule="auto"/>
        <w:jc w:val="both"/>
        <w:rPr>
          <w:rFonts w:cs="Times New Roman"/>
        </w:rPr>
      </w:pPr>
      <w:bookmarkStart w:id="82" w:name="_Toc58853162"/>
      <w:bookmarkStart w:id="83" w:name="_Toc66624251"/>
      <w:r w:rsidRPr="00077002">
        <w:rPr>
          <w:b/>
        </w:rPr>
        <w:t xml:space="preserve">Tabela </w:t>
      </w:r>
      <w:r w:rsidR="00843BFC">
        <w:rPr>
          <w:b/>
        </w:rPr>
        <w:fldChar w:fldCharType="begin"/>
      </w:r>
      <w:r w:rsidR="00843BFC">
        <w:rPr>
          <w:b/>
        </w:rPr>
        <w:instrText xml:space="preserve"> STYLEREF 1 \s </w:instrText>
      </w:r>
      <w:r w:rsidR="00843BFC">
        <w:rPr>
          <w:b/>
        </w:rPr>
        <w:fldChar w:fldCharType="separate"/>
      </w:r>
      <w:r w:rsidR="00380A6F">
        <w:rPr>
          <w:b/>
          <w:noProof/>
        </w:rPr>
        <w:t>4</w:t>
      </w:r>
      <w:r w:rsidR="00843BFC">
        <w:rPr>
          <w:b/>
        </w:rPr>
        <w:fldChar w:fldCharType="end"/>
      </w:r>
      <w:r w:rsidR="00843BFC">
        <w:rPr>
          <w:b/>
        </w:rPr>
        <w:t>.</w:t>
      </w:r>
      <w:r w:rsidR="00843BFC">
        <w:rPr>
          <w:b/>
        </w:rPr>
        <w:fldChar w:fldCharType="begin"/>
      </w:r>
      <w:r w:rsidR="00843BFC">
        <w:rPr>
          <w:b/>
        </w:rPr>
        <w:instrText xml:space="preserve"> SEQ Tabela \* ARABIC \s 1 </w:instrText>
      </w:r>
      <w:r w:rsidR="00843BFC">
        <w:rPr>
          <w:b/>
        </w:rPr>
        <w:fldChar w:fldCharType="separate"/>
      </w:r>
      <w:r w:rsidR="00380A6F">
        <w:rPr>
          <w:b/>
          <w:noProof/>
        </w:rPr>
        <w:t>2</w:t>
      </w:r>
      <w:r w:rsidR="00843BFC">
        <w:rPr>
          <w:b/>
        </w:rPr>
        <w:fldChar w:fldCharType="end"/>
      </w:r>
      <w:r w:rsidRPr="00077002">
        <w:rPr>
          <w:b/>
        </w:rPr>
        <w:t xml:space="preserve"> </w:t>
      </w:r>
      <w:r w:rsidR="00355227" w:rsidRPr="00077002">
        <w:rPr>
          <w:b/>
        </w:rPr>
        <w:t>–</w:t>
      </w:r>
      <w:r w:rsidRPr="009C4354">
        <w:t xml:space="preserve"> </w:t>
      </w:r>
      <w:r w:rsidR="00355227" w:rsidRPr="009C4354">
        <w:t>Medidas estatísticas</w:t>
      </w:r>
      <w:r w:rsidRPr="009C4354">
        <w:t xml:space="preserve"> do </w:t>
      </w:r>
      <w:r w:rsidR="00355227" w:rsidRPr="009C4354">
        <w:t xml:space="preserve">ITM </w:t>
      </w:r>
      <w:r w:rsidRPr="009C4354">
        <w:t>para os 308 municípios</w:t>
      </w:r>
      <w:r w:rsidR="00355227" w:rsidRPr="009C4354">
        <w:t xml:space="preserve"> portugueses</w:t>
      </w:r>
      <w:r w:rsidRPr="009C4354">
        <w:t xml:space="preserve"> (2013 – 2017)</w:t>
      </w:r>
      <w:bookmarkEnd w:id="79"/>
      <w:bookmarkEnd w:id="82"/>
      <w:bookmarkEnd w:id="83"/>
    </w:p>
    <w:tbl>
      <w:tblPr>
        <w:tblStyle w:val="SombreadoClaro-Cor3"/>
        <w:tblW w:w="8281" w:type="dxa"/>
        <w:jc w:val="center"/>
        <w:tblLayout w:type="fixed"/>
        <w:tblLook w:val="04A0" w:firstRow="1" w:lastRow="0" w:firstColumn="1" w:lastColumn="0" w:noHBand="0" w:noVBand="1"/>
      </w:tblPr>
      <w:tblGrid>
        <w:gridCol w:w="2552"/>
        <w:gridCol w:w="835"/>
        <w:gridCol w:w="977"/>
        <w:gridCol w:w="898"/>
        <w:gridCol w:w="1031"/>
        <w:gridCol w:w="941"/>
        <w:gridCol w:w="1047"/>
      </w:tblGrid>
      <w:tr w:rsidR="00355227" w:rsidRPr="00F718E1" w14:paraId="743E4735" w14:textId="65960209" w:rsidTr="006779EF">
        <w:trPr>
          <w:cnfStyle w:val="100000000000" w:firstRow="1" w:lastRow="0" w:firstColumn="0" w:lastColumn="0" w:oddVBand="0" w:evenVBand="0" w:oddHBand="0" w:evenHBand="0" w:firstRowFirstColumn="0" w:firstRowLastColumn="0" w:lastRowFirstColumn="0" w:lastRowLastColumn="0"/>
          <w:trHeight w:val="384"/>
          <w:jc w:val="center"/>
        </w:trPr>
        <w:tc>
          <w:tcPr>
            <w:cnfStyle w:val="001000000000" w:firstRow="0" w:lastRow="0" w:firstColumn="1" w:lastColumn="0" w:oddVBand="0" w:evenVBand="0" w:oddHBand="0" w:evenHBand="0" w:firstRowFirstColumn="0" w:firstRowLastColumn="0" w:lastRowFirstColumn="0" w:lastRowLastColumn="0"/>
            <w:tcW w:w="2552" w:type="dxa"/>
            <w:tcBorders>
              <w:top w:val="double" w:sz="4" w:space="0" w:color="auto"/>
              <w:bottom w:val="single" w:sz="8" w:space="0" w:color="auto"/>
            </w:tcBorders>
            <w:noWrap/>
            <w:vAlign w:val="center"/>
            <w:hideMark/>
          </w:tcPr>
          <w:p w14:paraId="4664289D" w14:textId="50A80684" w:rsidR="00355227" w:rsidRPr="00F718E1" w:rsidRDefault="00355227" w:rsidP="0043154B">
            <w:pPr>
              <w:spacing w:after="60"/>
              <w:jc w:val="center"/>
              <w:rPr>
                <w:rFonts w:eastAsia="Times New Roman" w:cs="Times New Roman"/>
                <w:iCs/>
                <w:color w:val="000000"/>
                <w:sz w:val="22"/>
                <w:lang w:eastAsia="pt-PT"/>
              </w:rPr>
            </w:pPr>
            <w:r w:rsidRPr="00F718E1">
              <w:rPr>
                <w:bCs w:val="0"/>
                <w:smallCaps/>
                <w:color w:val="auto"/>
                <w:sz w:val="22"/>
              </w:rPr>
              <w:t>Medidas Estatísticas</w:t>
            </w:r>
          </w:p>
        </w:tc>
        <w:tc>
          <w:tcPr>
            <w:tcW w:w="835" w:type="dxa"/>
            <w:tcBorders>
              <w:top w:val="double" w:sz="4" w:space="0" w:color="auto"/>
              <w:bottom w:val="single" w:sz="8" w:space="0" w:color="auto"/>
            </w:tcBorders>
            <w:noWrap/>
            <w:vAlign w:val="center"/>
            <w:hideMark/>
          </w:tcPr>
          <w:p w14:paraId="0B76D698" w14:textId="77777777" w:rsidR="00355227" w:rsidRPr="00F718E1" w:rsidRDefault="00355227" w:rsidP="0043154B">
            <w:pPr>
              <w:spacing w:after="60"/>
              <w:jc w:val="right"/>
              <w:cnfStyle w:val="100000000000" w:firstRow="1" w:lastRow="0" w:firstColumn="0" w:lastColumn="0" w:oddVBand="0" w:evenVBand="0" w:oddHBand="0" w:evenHBand="0" w:firstRowFirstColumn="0" w:firstRowLastColumn="0" w:lastRowFirstColumn="0" w:lastRowLastColumn="0"/>
              <w:rPr>
                <w:bCs w:val="0"/>
                <w:smallCaps/>
                <w:color w:val="auto"/>
                <w:sz w:val="22"/>
              </w:rPr>
            </w:pPr>
            <w:r w:rsidRPr="00F718E1">
              <w:rPr>
                <w:bCs w:val="0"/>
                <w:smallCaps/>
                <w:color w:val="auto"/>
                <w:sz w:val="22"/>
              </w:rPr>
              <w:t>2013</w:t>
            </w:r>
          </w:p>
        </w:tc>
        <w:tc>
          <w:tcPr>
            <w:tcW w:w="977" w:type="dxa"/>
            <w:tcBorders>
              <w:top w:val="double" w:sz="4" w:space="0" w:color="auto"/>
              <w:bottom w:val="single" w:sz="8" w:space="0" w:color="auto"/>
            </w:tcBorders>
            <w:noWrap/>
            <w:vAlign w:val="center"/>
            <w:hideMark/>
          </w:tcPr>
          <w:p w14:paraId="69134A9A" w14:textId="77777777" w:rsidR="00355227" w:rsidRPr="00F718E1" w:rsidRDefault="00355227" w:rsidP="0043154B">
            <w:pPr>
              <w:spacing w:after="60"/>
              <w:jc w:val="right"/>
              <w:cnfStyle w:val="100000000000" w:firstRow="1" w:lastRow="0" w:firstColumn="0" w:lastColumn="0" w:oddVBand="0" w:evenVBand="0" w:oddHBand="0" w:evenHBand="0" w:firstRowFirstColumn="0" w:firstRowLastColumn="0" w:lastRowFirstColumn="0" w:lastRowLastColumn="0"/>
              <w:rPr>
                <w:bCs w:val="0"/>
                <w:smallCaps/>
                <w:color w:val="auto"/>
                <w:sz w:val="22"/>
              </w:rPr>
            </w:pPr>
            <w:r w:rsidRPr="00F718E1">
              <w:rPr>
                <w:bCs w:val="0"/>
                <w:smallCaps/>
                <w:color w:val="auto"/>
                <w:sz w:val="22"/>
              </w:rPr>
              <w:t>2014</w:t>
            </w:r>
          </w:p>
        </w:tc>
        <w:tc>
          <w:tcPr>
            <w:tcW w:w="898" w:type="dxa"/>
            <w:tcBorders>
              <w:top w:val="double" w:sz="4" w:space="0" w:color="auto"/>
              <w:bottom w:val="single" w:sz="8" w:space="0" w:color="auto"/>
            </w:tcBorders>
            <w:noWrap/>
            <w:vAlign w:val="center"/>
            <w:hideMark/>
          </w:tcPr>
          <w:p w14:paraId="2421D76E" w14:textId="77777777" w:rsidR="00355227" w:rsidRPr="00F718E1" w:rsidRDefault="00355227" w:rsidP="0043154B">
            <w:pPr>
              <w:spacing w:after="60"/>
              <w:jc w:val="right"/>
              <w:cnfStyle w:val="100000000000" w:firstRow="1" w:lastRow="0" w:firstColumn="0" w:lastColumn="0" w:oddVBand="0" w:evenVBand="0" w:oddHBand="0" w:evenHBand="0" w:firstRowFirstColumn="0" w:firstRowLastColumn="0" w:lastRowFirstColumn="0" w:lastRowLastColumn="0"/>
              <w:rPr>
                <w:bCs w:val="0"/>
                <w:smallCaps/>
                <w:color w:val="auto"/>
                <w:sz w:val="22"/>
              </w:rPr>
            </w:pPr>
            <w:r w:rsidRPr="00F718E1">
              <w:rPr>
                <w:bCs w:val="0"/>
                <w:smallCaps/>
                <w:color w:val="auto"/>
                <w:sz w:val="22"/>
              </w:rPr>
              <w:t>2015</w:t>
            </w:r>
          </w:p>
        </w:tc>
        <w:tc>
          <w:tcPr>
            <w:tcW w:w="1031" w:type="dxa"/>
            <w:tcBorders>
              <w:top w:val="double" w:sz="4" w:space="0" w:color="auto"/>
              <w:bottom w:val="single" w:sz="8" w:space="0" w:color="auto"/>
            </w:tcBorders>
            <w:noWrap/>
            <w:vAlign w:val="center"/>
            <w:hideMark/>
          </w:tcPr>
          <w:p w14:paraId="41525680" w14:textId="77777777" w:rsidR="00355227" w:rsidRPr="00F718E1" w:rsidRDefault="00355227" w:rsidP="0043154B">
            <w:pPr>
              <w:spacing w:after="60"/>
              <w:jc w:val="right"/>
              <w:cnfStyle w:val="100000000000" w:firstRow="1" w:lastRow="0" w:firstColumn="0" w:lastColumn="0" w:oddVBand="0" w:evenVBand="0" w:oddHBand="0" w:evenHBand="0" w:firstRowFirstColumn="0" w:firstRowLastColumn="0" w:lastRowFirstColumn="0" w:lastRowLastColumn="0"/>
              <w:rPr>
                <w:bCs w:val="0"/>
                <w:smallCaps/>
                <w:color w:val="auto"/>
                <w:sz w:val="22"/>
              </w:rPr>
            </w:pPr>
            <w:r w:rsidRPr="00F718E1">
              <w:rPr>
                <w:bCs w:val="0"/>
                <w:smallCaps/>
                <w:color w:val="auto"/>
                <w:sz w:val="22"/>
              </w:rPr>
              <w:t>2016</w:t>
            </w:r>
          </w:p>
        </w:tc>
        <w:tc>
          <w:tcPr>
            <w:tcW w:w="941" w:type="dxa"/>
            <w:tcBorders>
              <w:top w:val="double" w:sz="4" w:space="0" w:color="auto"/>
              <w:bottom w:val="single" w:sz="8" w:space="0" w:color="auto"/>
            </w:tcBorders>
            <w:noWrap/>
            <w:vAlign w:val="center"/>
            <w:hideMark/>
          </w:tcPr>
          <w:p w14:paraId="0ECD478B" w14:textId="77777777" w:rsidR="00355227" w:rsidRPr="00F718E1" w:rsidRDefault="00355227" w:rsidP="0043154B">
            <w:pPr>
              <w:spacing w:after="60"/>
              <w:jc w:val="right"/>
              <w:cnfStyle w:val="100000000000" w:firstRow="1" w:lastRow="0" w:firstColumn="0" w:lastColumn="0" w:oddVBand="0" w:evenVBand="0" w:oddHBand="0" w:evenHBand="0" w:firstRowFirstColumn="0" w:firstRowLastColumn="0" w:lastRowFirstColumn="0" w:lastRowLastColumn="0"/>
              <w:rPr>
                <w:bCs w:val="0"/>
                <w:smallCaps/>
                <w:color w:val="auto"/>
                <w:sz w:val="22"/>
              </w:rPr>
            </w:pPr>
            <w:r w:rsidRPr="00F718E1">
              <w:rPr>
                <w:bCs w:val="0"/>
                <w:smallCaps/>
                <w:color w:val="auto"/>
                <w:sz w:val="22"/>
              </w:rPr>
              <w:t>2017</w:t>
            </w:r>
          </w:p>
        </w:tc>
        <w:tc>
          <w:tcPr>
            <w:tcW w:w="1047" w:type="dxa"/>
            <w:tcBorders>
              <w:top w:val="double" w:sz="4" w:space="0" w:color="auto"/>
              <w:bottom w:val="single" w:sz="8" w:space="0" w:color="auto"/>
            </w:tcBorders>
            <w:vAlign w:val="center"/>
          </w:tcPr>
          <w:p w14:paraId="46D90037" w14:textId="2DABB092" w:rsidR="00355227" w:rsidRPr="00F718E1" w:rsidRDefault="002C212B" w:rsidP="0043154B">
            <w:pPr>
              <w:spacing w:after="60"/>
              <w:jc w:val="right"/>
              <w:cnfStyle w:val="100000000000" w:firstRow="1" w:lastRow="0" w:firstColumn="0" w:lastColumn="0" w:oddVBand="0" w:evenVBand="0" w:oddHBand="0" w:evenHBand="0" w:firstRowFirstColumn="0" w:firstRowLastColumn="0" w:lastRowFirstColumn="0" w:lastRowLastColumn="0"/>
              <w:rPr>
                <w:bCs w:val="0"/>
                <w:smallCaps/>
                <w:color w:val="auto"/>
                <w:sz w:val="22"/>
              </w:rPr>
            </w:pPr>
            <w:r w:rsidRPr="00F718E1">
              <w:rPr>
                <w:bCs w:val="0"/>
                <w:smallCaps/>
                <w:color w:val="auto"/>
                <w:sz w:val="22"/>
              </w:rPr>
              <w:t>Geral</w:t>
            </w:r>
          </w:p>
        </w:tc>
      </w:tr>
      <w:tr w:rsidR="00355227" w:rsidRPr="00F718E1" w14:paraId="3BF108E3" w14:textId="0DEA1BDE" w:rsidTr="006779EF">
        <w:trPr>
          <w:cnfStyle w:val="000000100000" w:firstRow="0" w:lastRow="0" w:firstColumn="0" w:lastColumn="0" w:oddVBand="0" w:evenVBand="0" w:oddHBand="1" w:evenHBand="0" w:firstRowFirstColumn="0" w:firstRowLastColumn="0" w:lastRowFirstColumn="0" w:lastRowLastColumn="0"/>
          <w:trHeight w:val="293"/>
          <w:jc w:val="center"/>
        </w:trPr>
        <w:tc>
          <w:tcPr>
            <w:cnfStyle w:val="001000000000" w:firstRow="0" w:lastRow="0" w:firstColumn="1" w:lastColumn="0" w:oddVBand="0" w:evenVBand="0" w:oddHBand="0" w:evenHBand="0" w:firstRowFirstColumn="0" w:firstRowLastColumn="0" w:lastRowFirstColumn="0" w:lastRowLastColumn="0"/>
            <w:tcW w:w="2552" w:type="dxa"/>
            <w:tcBorders>
              <w:top w:val="single" w:sz="8" w:space="0" w:color="auto"/>
            </w:tcBorders>
            <w:shd w:val="clear" w:color="auto" w:fill="E7E6E6" w:themeFill="background2"/>
            <w:noWrap/>
            <w:hideMark/>
          </w:tcPr>
          <w:p w14:paraId="143EA070" w14:textId="77777777" w:rsidR="00355227" w:rsidRPr="00F718E1" w:rsidRDefault="00355227" w:rsidP="0043154B">
            <w:pPr>
              <w:ind w:left="94"/>
              <w:rPr>
                <w:rFonts w:eastAsia="Times New Roman" w:cs="Times New Roman"/>
                <w:color w:val="000000"/>
                <w:sz w:val="22"/>
                <w:lang w:eastAsia="pt-PT"/>
              </w:rPr>
            </w:pPr>
            <w:r w:rsidRPr="00F718E1">
              <w:rPr>
                <w:rFonts w:eastAsia="Times New Roman" w:cs="Times New Roman"/>
                <w:color w:val="000000"/>
                <w:sz w:val="22"/>
                <w:lang w:eastAsia="pt-PT"/>
              </w:rPr>
              <w:t>Média</w:t>
            </w:r>
          </w:p>
        </w:tc>
        <w:tc>
          <w:tcPr>
            <w:tcW w:w="835" w:type="dxa"/>
            <w:tcBorders>
              <w:top w:val="single" w:sz="8" w:space="0" w:color="auto"/>
            </w:tcBorders>
            <w:shd w:val="clear" w:color="auto" w:fill="E7E6E6" w:themeFill="background2"/>
            <w:noWrap/>
            <w:hideMark/>
          </w:tcPr>
          <w:p w14:paraId="419D969E" w14:textId="1E29838A" w:rsidR="00355227" w:rsidRPr="00F718E1" w:rsidRDefault="00355227" w:rsidP="0043154B">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33,1</w:t>
            </w:r>
          </w:p>
        </w:tc>
        <w:tc>
          <w:tcPr>
            <w:tcW w:w="977" w:type="dxa"/>
            <w:tcBorders>
              <w:top w:val="single" w:sz="8" w:space="0" w:color="auto"/>
            </w:tcBorders>
            <w:shd w:val="clear" w:color="auto" w:fill="E7E6E6" w:themeFill="background2"/>
            <w:noWrap/>
            <w:hideMark/>
          </w:tcPr>
          <w:p w14:paraId="55A81280" w14:textId="029B4EFB" w:rsidR="00355227" w:rsidRPr="00F718E1" w:rsidRDefault="00513CF4" w:rsidP="0043154B">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33,6</w:t>
            </w:r>
          </w:p>
        </w:tc>
        <w:tc>
          <w:tcPr>
            <w:tcW w:w="898" w:type="dxa"/>
            <w:tcBorders>
              <w:top w:val="single" w:sz="8" w:space="0" w:color="auto"/>
            </w:tcBorders>
            <w:shd w:val="clear" w:color="auto" w:fill="E7E6E6" w:themeFill="background2"/>
            <w:noWrap/>
            <w:hideMark/>
          </w:tcPr>
          <w:p w14:paraId="2BDA8FF1" w14:textId="5A8E762C" w:rsidR="00355227" w:rsidRPr="00F718E1" w:rsidRDefault="00513CF4" w:rsidP="0043154B">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44,3</w:t>
            </w:r>
          </w:p>
        </w:tc>
        <w:tc>
          <w:tcPr>
            <w:tcW w:w="1031" w:type="dxa"/>
            <w:tcBorders>
              <w:top w:val="single" w:sz="8" w:space="0" w:color="auto"/>
            </w:tcBorders>
            <w:shd w:val="clear" w:color="auto" w:fill="E7E6E6" w:themeFill="background2"/>
            <w:noWrap/>
            <w:hideMark/>
          </w:tcPr>
          <w:p w14:paraId="7AD0E96A" w14:textId="4E54BE05" w:rsidR="00355227" w:rsidRPr="00F718E1" w:rsidRDefault="00513CF4" w:rsidP="0043154B">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52,4</w:t>
            </w:r>
          </w:p>
        </w:tc>
        <w:tc>
          <w:tcPr>
            <w:tcW w:w="941" w:type="dxa"/>
            <w:tcBorders>
              <w:top w:val="single" w:sz="8" w:space="0" w:color="auto"/>
            </w:tcBorders>
            <w:shd w:val="clear" w:color="auto" w:fill="E7E6E6" w:themeFill="background2"/>
            <w:noWrap/>
            <w:hideMark/>
          </w:tcPr>
          <w:p w14:paraId="3B9771AF" w14:textId="562B8875" w:rsidR="00355227" w:rsidRPr="00F718E1" w:rsidRDefault="00513CF4" w:rsidP="0043154B">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50,9</w:t>
            </w:r>
          </w:p>
        </w:tc>
        <w:tc>
          <w:tcPr>
            <w:tcW w:w="1047" w:type="dxa"/>
            <w:tcBorders>
              <w:top w:val="single" w:sz="8" w:space="0" w:color="auto"/>
            </w:tcBorders>
            <w:shd w:val="clear" w:color="auto" w:fill="E7E6E6" w:themeFill="background2"/>
          </w:tcPr>
          <w:p w14:paraId="693BDDFA" w14:textId="110006DD" w:rsidR="00355227" w:rsidRPr="00F718E1" w:rsidRDefault="00513CF4" w:rsidP="0043154B">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42,9</w:t>
            </w:r>
          </w:p>
        </w:tc>
      </w:tr>
      <w:tr w:rsidR="00355227" w:rsidRPr="00F718E1" w14:paraId="4B7E723F" w14:textId="38BFA0DA" w:rsidTr="006779EF">
        <w:trPr>
          <w:trHeight w:val="293"/>
          <w:jc w:val="center"/>
        </w:trPr>
        <w:tc>
          <w:tcPr>
            <w:cnfStyle w:val="001000000000" w:firstRow="0" w:lastRow="0" w:firstColumn="1" w:lastColumn="0" w:oddVBand="0" w:evenVBand="0" w:oddHBand="0" w:evenHBand="0" w:firstRowFirstColumn="0" w:firstRowLastColumn="0" w:lastRowFirstColumn="0" w:lastRowLastColumn="0"/>
            <w:tcW w:w="2552" w:type="dxa"/>
            <w:noWrap/>
            <w:hideMark/>
          </w:tcPr>
          <w:p w14:paraId="28EEBCCA" w14:textId="77777777" w:rsidR="00355227" w:rsidRPr="00F718E1" w:rsidRDefault="00355227" w:rsidP="0043154B">
            <w:pPr>
              <w:ind w:left="94"/>
              <w:rPr>
                <w:rFonts w:eastAsia="Times New Roman" w:cs="Times New Roman"/>
                <w:color w:val="000000"/>
                <w:sz w:val="22"/>
                <w:lang w:eastAsia="pt-PT"/>
              </w:rPr>
            </w:pPr>
            <w:r w:rsidRPr="00F718E1">
              <w:rPr>
                <w:rFonts w:eastAsia="Times New Roman" w:cs="Times New Roman"/>
                <w:color w:val="000000"/>
                <w:sz w:val="22"/>
                <w:lang w:eastAsia="pt-PT"/>
              </w:rPr>
              <w:t>Mediana</w:t>
            </w:r>
          </w:p>
        </w:tc>
        <w:tc>
          <w:tcPr>
            <w:tcW w:w="835" w:type="dxa"/>
            <w:noWrap/>
            <w:hideMark/>
          </w:tcPr>
          <w:p w14:paraId="69CD606E" w14:textId="77777777" w:rsidR="00355227" w:rsidRPr="00F718E1" w:rsidRDefault="00355227" w:rsidP="0043154B">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34</w:t>
            </w:r>
          </w:p>
        </w:tc>
        <w:tc>
          <w:tcPr>
            <w:tcW w:w="977" w:type="dxa"/>
            <w:noWrap/>
            <w:hideMark/>
          </w:tcPr>
          <w:p w14:paraId="06F94E01" w14:textId="4C7719CB" w:rsidR="00355227" w:rsidRPr="00F718E1" w:rsidRDefault="00513CF4" w:rsidP="0043154B">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33</w:t>
            </w:r>
          </w:p>
        </w:tc>
        <w:tc>
          <w:tcPr>
            <w:tcW w:w="898" w:type="dxa"/>
            <w:noWrap/>
            <w:hideMark/>
          </w:tcPr>
          <w:p w14:paraId="25324160" w14:textId="25EF7855" w:rsidR="00355227" w:rsidRPr="00F718E1" w:rsidRDefault="00513CF4" w:rsidP="0043154B">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40,7</w:t>
            </w:r>
          </w:p>
        </w:tc>
        <w:tc>
          <w:tcPr>
            <w:tcW w:w="1031" w:type="dxa"/>
            <w:noWrap/>
            <w:hideMark/>
          </w:tcPr>
          <w:p w14:paraId="1402BE85" w14:textId="4684C2BD" w:rsidR="00355227" w:rsidRPr="00F718E1" w:rsidRDefault="00513CF4" w:rsidP="0043154B">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47,7</w:t>
            </w:r>
          </w:p>
        </w:tc>
        <w:tc>
          <w:tcPr>
            <w:tcW w:w="941" w:type="dxa"/>
            <w:noWrap/>
            <w:hideMark/>
          </w:tcPr>
          <w:p w14:paraId="4853A219" w14:textId="241CCDF2" w:rsidR="00355227" w:rsidRPr="00F718E1" w:rsidRDefault="00513CF4" w:rsidP="0043154B">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50,6</w:t>
            </w:r>
          </w:p>
        </w:tc>
        <w:tc>
          <w:tcPr>
            <w:tcW w:w="1047" w:type="dxa"/>
          </w:tcPr>
          <w:p w14:paraId="2A8AADA7" w14:textId="2010E476" w:rsidR="00355227" w:rsidRPr="00F718E1" w:rsidRDefault="00513CF4" w:rsidP="0043154B">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39,6</w:t>
            </w:r>
          </w:p>
        </w:tc>
      </w:tr>
      <w:tr w:rsidR="00355227" w:rsidRPr="00F718E1" w14:paraId="3285AAA9" w14:textId="2534AD12" w:rsidTr="006779EF">
        <w:trPr>
          <w:cnfStyle w:val="000000100000" w:firstRow="0" w:lastRow="0" w:firstColumn="0" w:lastColumn="0" w:oddVBand="0" w:evenVBand="0" w:oddHBand="1" w:evenHBand="0" w:firstRowFirstColumn="0" w:firstRowLastColumn="0" w:lastRowFirstColumn="0" w:lastRowLastColumn="0"/>
          <w:trHeight w:val="293"/>
          <w:jc w:val="center"/>
        </w:trPr>
        <w:tc>
          <w:tcPr>
            <w:cnfStyle w:val="001000000000" w:firstRow="0" w:lastRow="0" w:firstColumn="1" w:lastColumn="0" w:oddVBand="0" w:evenVBand="0" w:oddHBand="0" w:evenHBand="0" w:firstRowFirstColumn="0" w:firstRowLastColumn="0" w:lastRowFirstColumn="0" w:lastRowLastColumn="0"/>
            <w:tcW w:w="2552" w:type="dxa"/>
            <w:shd w:val="clear" w:color="auto" w:fill="E7E6E6" w:themeFill="background2"/>
            <w:noWrap/>
            <w:hideMark/>
          </w:tcPr>
          <w:p w14:paraId="4CF1BA92" w14:textId="77777777" w:rsidR="00355227" w:rsidRPr="00F718E1" w:rsidRDefault="00355227" w:rsidP="0043154B">
            <w:pPr>
              <w:ind w:left="94"/>
              <w:rPr>
                <w:rFonts w:eastAsia="Times New Roman" w:cs="Times New Roman"/>
                <w:color w:val="000000"/>
                <w:sz w:val="22"/>
                <w:lang w:eastAsia="pt-PT"/>
              </w:rPr>
            </w:pPr>
            <w:r w:rsidRPr="00F718E1">
              <w:rPr>
                <w:rFonts w:eastAsia="Times New Roman" w:cs="Times New Roman"/>
                <w:color w:val="000000"/>
                <w:sz w:val="22"/>
                <w:lang w:eastAsia="pt-PT"/>
              </w:rPr>
              <w:t>Desvio-padrão</w:t>
            </w:r>
          </w:p>
        </w:tc>
        <w:tc>
          <w:tcPr>
            <w:tcW w:w="835" w:type="dxa"/>
            <w:shd w:val="clear" w:color="auto" w:fill="E7E6E6" w:themeFill="background2"/>
            <w:noWrap/>
            <w:hideMark/>
          </w:tcPr>
          <w:p w14:paraId="708F4B27" w14:textId="7D0D3DED" w:rsidR="00355227" w:rsidRPr="00F718E1" w:rsidRDefault="00513CF4" w:rsidP="0043154B">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9,9</w:t>
            </w:r>
          </w:p>
        </w:tc>
        <w:tc>
          <w:tcPr>
            <w:tcW w:w="977" w:type="dxa"/>
            <w:shd w:val="clear" w:color="auto" w:fill="E7E6E6" w:themeFill="background2"/>
            <w:noWrap/>
            <w:hideMark/>
          </w:tcPr>
          <w:p w14:paraId="44430862" w14:textId="7B3B2F8F" w:rsidR="00355227" w:rsidRPr="00F718E1" w:rsidRDefault="00513CF4" w:rsidP="0043154B">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12,4</w:t>
            </w:r>
          </w:p>
        </w:tc>
        <w:tc>
          <w:tcPr>
            <w:tcW w:w="898" w:type="dxa"/>
            <w:shd w:val="clear" w:color="auto" w:fill="E7E6E6" w:themeFill="background2"/>
            <w:noWrap/>
            <w:hideMark/>
          </w:tcPr>
          <w:p w14:paraId="5AA5831F" w14:textId="5B8343F4" w:rsidR="00355227" w:rsidRPr="00F718E1" w:rsidRDefault="00513CF4" w:rsidP="0043154B">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17,2</w:t>
            </w:r>
          </w:p>
        </w:tc>
        <w:tc>
          <w:tcPr>
            <w:tcW w:w="1031" w:type="dxa"/>
            <w:shd w:val="clear" w:color="auto" w:fill="E7E6E6" w:themeFill="background2"/>
            <w:noWrap/>
            <w:hideMark/>
          </w:tcPr>
          <w:p w14:paraId="1AA42F34" w14:textId="4C371E6A" w:rsidR="00355227" w:rsidRPr="00F718E1" w:rsidRDefault="00513CF4" w:rsidP="0043154B">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19,6</w:t>
            </w:r>
          </w:p>
        </w:tc>
        <w:tc>
          <w:tcPr>
            <w:tcW w:w="941" w:type="dxa"/>
            <w:shd w:val="clear" w:color="auto" w:fill="E7E6E6" w:themeFill="background2"/>
            <w:noWrap/>
            <w:hideMark/>
          </w:tcPr>
          <w:p w14:paraId="27B3A9CB" w14:textId="3EE72F3F" w:rsidR="00355227" w:rsidRPr="00F718E1" w:rsidRDefault="00513CF4" w:rsidP="0043154B">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16,9</w:t>
            </w:r>
          </w:p>
        </w:tc>
        <w:tc>
          <w:tcPr>
            <w:tcW w:w="1047" w:type="dxa"/>
            <w:shd w:val="clear" w:color="auto" w:fill="E7E6E6" w:themeFill="background2"/>
          </w:tcPr>
          <w:p w14:paraId="70E0575D" w14:textId="43194853" w:rsidR="00355227" w:rsidRPr="00F718E1" w:rsidRDefault="00355227" w:rsidP="0043154B">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17,6</w:t>
            </w:r>
          </w:p>
        </w:tc>
      </w:tr>
      <w:tr w:rsidR="00355227" w:rsidRPr="00F718E1" w14:paraId="5A9B22A2" w14:textId="69848418" w:rsidTr="006779EF">
        <w:trPr>
          <w:trHeight w:val="293"/>
          <w:jc w:val="center"/>
        </w:trPr>
        <w:tc>
          <w:tcPr>
            <w:cnfStyle w:val="001000000000" w:firstRow="0" w:lastRow="0" w:firstColumn="1" w:lastColumn="0" w:oddVBand="0" w:evenVBand="0" w:oddHBand="0" w:evenHBand="0" w:firstRowFirstColumn="0" w:firstRowLastColumn="0" w:lastRowFirstColumn="0" w:lastRowLastColumn="0"/>
            <w:tcW w:w="2552" w:type="dxa"/>
            <w:noWrap/>
            <w:hideMark/>
          </w:tcPr>
          <w:p w14:paraId="4CF0EE09" w14:textId="77777777" w:rsidR="00355227" w:rsidRPr="00F718E1" w:rsidRDefault="00355227" w:rsidP="0043154B">
            <w:pPr>
              <w:ind w:left="94"/>
              <w:rPr>
                <w:rFonts w:eastAsia="Times New Roman" w:cs="Times New Roman"/>
                <w:color w:val="000000"/>
                <w:sz w:val="22"/>
                <w:lang w:eastAsia="pt-PT"/>
              </w:rPr>
            </w:pPr>
            <w:r w:rsidRPr="00F718E1">
              <w:rPr>
                <w:rFonts w:eastAsia="Times New Roman" w:cs="Times New Roman"/>
                <w:color w:val="000000"/>
                <w:sz w:val="22"/>
                <w:lang w:eastAsia="pt-PT"/>
              </w:rPr>
              <w:t>Mínimo</w:t>
            </w:r>
          </w:p>
        </w:tc>
        <w:tc>
          <w:tcPr>
            <w:tcW w:w="835" w:type="dxa"/>
            <w:noWrap/>
            <w:hideMark/>
          </w:tcPr>
          <w:p w14:paraId="51E8A48A" w14:textId="77777777" w:rsidR="00355227" w:rsidRPr="00F718E1" w:rsidRDefault="00355227" w:rsidP="0043154B">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7</w:t>
            </w:r>
          </w:p>
        </w:tc>
        <w:tc>
          <w:tcPr>
            <w:tcW w:w="977" w:type="dxa"/>
            <w:noWrap/>
            <w:hideMark/>
          </w:tcPr>
          <w:p w14:paraId="64FD10BB" w14:textId="002B3304" w:rsidR="00355227" w:rsidRPr="00F718E1" w:rsidRDefault="00513CF4" w:rsidP="0043154B">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3,0</w:t>
            </w:r>
          </w:p>
        </w:tc>
        <w:tc>
          <w:tcPr>
            <w:tcW w:w="898" w:type="dxa"/>
            <w:noWrap/>
            <w:hideMark/>
          </w:tcPr>
          <w:p w14:paraId="5B77C487" w14:textId="161DE644" w:rsidR="00355227" w:rsidRPr="00F718E1" w:rsidRDefault="00513CF4" w:rsidP="0043154B">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0,8</w:t>
            </w:r>
          </w:p>
        </w:tc>
        <w:tc>
          <w:tcPr>
            <w:tcW w:w="1031" w:type="dxa"/>
            <w:noWrap/>
            <w:hideMark/>
          </w:tcPr>
          <w:p w14:paraId="1CBB4CC8" w14:textId="25F29E92" w:rsidR="00355227" w:rsidRPr="00F718E1" w:rsidRDefault="00513CF4" w:rsidP="0043154B">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16,2</w:t>
            </w:r>
          </w:p>
        </w:tc>
        <w:tc>
          <w:tcPr>
            <w:tcW w:w="941" w:type="dxa"/>
            <w:noWrap/>
            <w:hideMark/>
          </w:tcPr>
          <w:p w14:paraId="587D510C" w14:textId="1D1C05B8" w:rsidR="00355227" w:rsidRPr="00F718E1" w:rsidRDefault="00513CF4" w:rsidP="0043154B">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10,2</w:t>
            </w:r>
          </w:p>
        </w:tc>
        <w:tc>
          <w:tcPr>
            <w:tcW w:w="1047" w:type="dxa"/>
          </w:tcPr>
          <w:p w14:paraId="1BCC698F" w14:textId="3BF8809A" w:rsidR="00355227" w:rsidRPr="00F718E1" w:rsidRDefault="00355227" w:rsidP="0043154B">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0,8</w:t>
            </w:r>
          </w:p>
        </w:tc>
      </w:tr>
      <w:tr w:rsidR="00355227" w:rsidRPr="00F718E1" w14:paraId="4EB2A3C0" w14:textId="0BFA4874" w:rsidTr="006779EF">
        <w:trPr>
          <w:cnfStyle w:val="000000100000" w:firstRow="0" w:lastRow="0" w:firstColumn="0" w:lastColumn="0" w:oddVBand="0" w:evenVBand="0" w:oddHBand="1" w:evenHBand="0" w:firstRowFirstColumn="0" w:firstRowLastColumn="0" w:lastRowFirstColumn="0" w:lastRowLastColumn="0"/>
          <w:trHeight w:val="293"/>
          <w:jc w:val="center"/>
        </w:trPr>
        <w:tc>
          <w:tcPr>
            <w:cnfStyle w:val="001000000000" w:firstRow="0" w:lastRow="0" w:firstColumn="1" w:lastColumn="0" w:oddVBand="0" w:evenVBand="0" w:oddHBand="0" w:evenHBand="0" w:firstRowFirstColumn="0" w:firstRowLastColumn="0" w:lastRowFirstColumn="0" w:lastRowLastColumn="0"/>
            <w:tcW w:w="2552" w:type="dxa"/>
            <w:shd w:val="clear" w:color="auto" w:fill="E7E6E6" w:themeFill="background2"/>
            <w:noWrap/>
            <w:hideMark/>
          </w:tcPr>
          <w:p w14:paraId="0C8C8290" w14:textId="77777777" w:rsidR="00355227" w:rsidRPr="00F718E1" w:rsidRDefault="00355227" w:rsidP="0043154B">
            <w:pPr>
              <w:ind w:left="94"/>
              <w:rPr>
                <w:rFonts w:eastAsia="Times New Roman" w:cs="Times New Roman"/>
                <w:color w:val="000000"/>
                <w:sz w:val="22"/>
                <w:lang w:eastAsia="pt-PT"/>
              </w:rPr>
            </w:pPr>
            <w:r w:rsidRPr="00F718E1">
              <w:rPr>
                <w:rFonts w:eastAsia="Times New Roman" w:cs="Times New Roman"/>
                <w:color w:val="000000"/>
                <w:sz w:val="22"/>
                <w:lang w:eastAsia="pt-PT"/>
              </w:rPr>
              <w:t>Máximo</w:t>
            </w:r>
          </w:p>
        </w:tc>
        <w:tc>
          <w:tcPr>
            <w:tcW w:w="835" w:type="dxa"/>
            <w:shd w:val="clear" w:color="auto" w:fill="E7E6E6" w:themeFill="background2"/>
            <w:noWrap/>
            <w:hideMark/>
          </w:tcPr>
          <w:p w14:paraId="05797C66" w14:textId="77777777" w:rsidR="00355227" w:rsidRPr="00F718E1" w:rsidRDefault="00355227" w:rsidP="0043154B">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61</w:t>
            </w:r>
          </w:p>
        </w:tc>
        <w:tc>
          <w:tcPr>
            <w:tcW w:w="977" w:type="dxa"/>
            <w:shd w:val="clear" w:color="auto" w:fill="E7E6E6" w:themeFill="background2"/>
            <w:noWrap/>
            <w:hideMark/>
          </w:tcPr>
          <w:p w14:paraId="20A5FD5E" w14:textId="6D6496F9" w:rsidR="00355227" w:rsidRPr="00F718E1" w:rsidRDefault="00513CF4" w:rsidP="0043154B">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81,6</w:t>
            </w:r>
          </w:p>
        </w:tc>
        <w:tc>
          <w:tcPr>
            <w:tcW w:w="898" w:type="dxa"/>
            <w:shd w:val="clear" w:color="auto" w:fill="E7E6E6" w:themeFill="background2"/>
            <w:noWrap/>
            <w:hideMark/>
          </w:tcPr>
          <w:p w14:paraId="1AF5CE5A" w14:textId="63D19161" w:rsidR="00355227" w:rsidRPr="00F718E1" w:rsidRDefault="00513CF4" w:rsidP="0043154B">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94,2</w:t>
            </w:r>
          </w:p>
        </w:tc>
        <w:tc>
          <w:tcPr>
            <w:tcW w:w="1031" w:type="dxa"/>
            <w:shd w:val="clear" w:color="auto" w:fill="E7E6E6" w:themeFill="background2"/>
            <w:noWrap/>
            <w:hideMark/>
          </w:tcPr>
          <w:p w14:paraId="62FA05F2" w14:textId="77777777" w:rsidR="00355227" w:rsidRPr="00F718E1" w:rsidRDefault="00355227" w:rsidP="0043154B">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100</w:t>
            </w:r>
          </w:p>
        </w:tc>
        <w:tc>
          <w:tcPr>
            <w:tcW w:w="941" w:type="dxa"/>
            <w:shd w:val="clear" w:color="auto" w:fill="E7E6E6" w:themeFill="background2"/>
            <w:noWrap/>
            <w:hideMark/>
          </w:tcPr>
          <w:p w14:paraId="2CC2F80C" w14:textId="6FE3DD41" w:rsidR="00355227" w:rsidRPr="00F718E1" w:rsidRDefault="00513CF4" w:rsidP="0043154B">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90,7</w:t>
            </w:r>
          </w:p>
        </w:tc>
        <w:tc>
          <w:tcPr>
            <w:tcW w:w="1047" w:type="dxa"/>
            <w:shd w:val="clear" w:color="auto" w:fill="E7E6E6" w:themeFill="background2"/>
          </w:tcPr>
          <w:p w14:paraId="1BBA31C8" w14:textId="43349038" w:rsidR="00355227" w:rsidRPr="00F718E1" w:rsidRDefault="00355227" w:rsidP="0043154B">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100</w:t>
            </w:r>
          </w:p>
        </w:tc>
      </w:tr>
      <w:tr w:rsidR="002C212B" w:rsidRPr="00F718E1" w14:paraId="36B9A862" w14:textId="77777777" w:rsidTr="006779EF">
        <w:trPr>
          <w:trHeight w:val="293"/>
          <w:jc w:val="center"/>
        </w:trPr>
        <w:tc>
          <w:tcPr>
            <w:cnfStyle w:val="001000000000" w:firstRow="0" w:lastRow="0" w:firstColumn="1" w:lastColumn="0" w:oddVBand="0" w:evenVBand="0" w:oddHBand="0" w:evenHBand="0" w:firstRowFirstColumn="0" w:firstRowLastColumn="0" w:lastRowFirstColumn="0" w:lastRowLastColumn="0"/>
            <w:tcW w:w="2552" w:type="dxa"/>
            <w:noWrap/>
          </w:tcPr>
          <w:p w14:paraId="2A9833D1" w14:textId="0B7D75F2" w:rsidR="002C212B" w:rsidRPr="00F718E1" w:rsidRDefault="002C212B" w:rsidP="0043154B">
            <w:pPr>
              <w:ind w:left="94"/>
              <w:rPr>
                <w:rFonts w:eastAsia="Times New Roman" w:cs="Times New Roman"/>
                <w:color w:val="000000"/>
                <w:sz w:val="22"/>
                <w:lang w:eastAsia="pt-PT"/>
              </w:rPr>
            </w:pPr>
            <w:r w:rsidRPr="00F718E1">
              <w:rPr>
                <w:rFonts w:eastAsia="Times New Roman" w:cs="Times New Roman"/>
                <w:color w:val="000000"/>
                <w:sz w:val="22"/>
                <w:lang w:eastAsia="pt-PT"/>
              </w:rPr>
              <w:t>Max-</w:t>
            </w:r>
            <w:proofErr w:type="spellStart"/>
            <w:r w:rsidRPr="00F718E1">
              <w:rPr>
                <w:rFonts w:eastAsia="Times New Roman" w:cs="Times New Roman"/>
                <w:color w:val="000000"/>
                <w:sz w:val="22"/>
                <w:lang w:eastAsia="pt-PT"/>
              </w:rPr>
              <w:t>Mix</w:t>
            </w:r>
            <w:proofErr w:type="spellEnd"/>
          </w:p>
        </w:tc>
        <w:tc>
          <w:tcPr>
            <w:tcW w:w="835" w:type="dxa"/>
            <w:noWrap/>
          </w:tcPr>
          <w:p w14:paraId="2C08A893" w14:textId="67227D2F" w:rsidR="002C212B" w:rsidRPr="00F718E1" w:rsidRDefault="002C212B" w:rsidP="0043154B">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54</w:t>
            </w:r>
          </w:p>
        </w:tc>
        <w:tc>
          <w:tcPr>
            <w:tcW w:w="977" w:type="dxa"/>
            <w:noWrap/>
          </w:tcPr>
          <w:p w14:paraId="6337EC76" w14:textId="5857A185" w:rsidR="002C212B" w:rsidRPr="00F718E1" w:rsidRDefault="00823EED" w:rsidP="0043154B">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78,6</w:t>
            </w:r>
          </w:p>
        </w:tc>
        <w:tc>
          <w:tcPr>
            <w:tcW w:w="898" w:type="dxa"/>
            <w:noWrap/>
          </w:tcPr>
          <w:p w14:paraId="73775BA2" w14:textId="34DC4B00" w:rsidR="002C212B" w:rsidRPr="00F718E1" w:rsidRDefault="00823EED" w:rsidP="0043154B">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93,4</w:t>
            </w:r>
          </w:p>
        </w:tc>
        <w:tc>
          <w:tcPr>
            <w:tcW w:w="1031" w:type="dxa"/>
            <w:noWrap/>
          </w:tcPr>
          <w:p w14:paraId="45033DDA" w14:textId="0236171F" w:rsidR="002C212B" w:rsidRPr="00F718E1" w:rsidRDefault="00823EED" w:rsidP="0043154B">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83,1</w:t>
            </w:r>
          </w:p>
        </w:tc>
        <w:tc>
          <w:tcPr>
            <w:tcW w:w="941" w:type="dxa"/>
            <w:noWrap/>
          </w:tcPr>
          <w:p w14:paraId="2868B288" w14:textId="7021A4C0" w:rsidR="002C212B" w:rsidRPr="00F718E1" w:rsidRDefault="00823EED" w:rsidP="0043154B">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80,5</w:t>
            </w:r>
          </w:p>
        </w:tc>
        <w:tc>
          <w:tcPr>
            <w:tcW w:w="1047" w:type="dxa"/>
          </w:tcPr>
          <w:p w14:paraId="5395D92E" w14:textId="55BA4533" w:rsidR="002C212B" w:rsidRPr="00F718E1" w:rsidRDefault="00823EED" w:rsidP="0043154B">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99,2</w:t>
            </w:r>
          </w:p>
        </w:tc>
      </w:tr>
      <w:tr w:rsidR="00355227" w:rsidRPr="00F718E1" w14:paraId="3E7A62F0" w14:textId="51147C81" w:rsidTr="00330E80">
        <w:trPr>
          <w:cnfStyle w:val="000000100000" w:firstRow="0" w:lastRow="0" w:firstColumn="0" w:lastColumn="0" w:oddVBand="0" w:evenVBand="0" w:oddHBand="1" w:evenHBand="0" w:firstRowFirstColumn="0" w:firstRowLastColumn="0" w:lastRowFirstColumn="0" w:lastRowLastColumn="0"/>
          <w:trHeight w:val="108"/>
          <w:jc w:val="center"/>
        </w:trPr>
        <w:tc>
          <w:tcPr>
            <w:cnfStyle w:val="001000000000" w:firstRow="0" w:lastRow="0" w:firstColumn="1" w:lastColumn="0" w:oddVBand="0" w:evenVBand="0" w:oddHBand="0" w:evenHBand="0" w:firstRowFirstColumn="0" w:firstRowLastColumn="0" w:lastRowFirstColumn="0" w:lastRowLastColumn="0"/>
            <w:tcW w:w="2552" w:type="dxa"/>
            <w:tcBorders>
              <w:bottom w:val="double" w:sz="4" w:space="0" w:color="auto"/>
            </w:tcBorders>
            <w:shd w:val="clear" w:color="auto" w:fill="E7E6E6" w:themeFill="background2"/>
            <w:noWrap/>
            <w:hideMark/>
          </w:tcPr>
          <w:p w14:paraId="3640C9DA" w14:textId="77777777" w:rsidR="00355227" w:rsidRPr="00F718E1" w:rsidRDefault="00355227" w:rsidP="0043154B">
            <w:pPr>
              <w:spacing w:afterLines="60" w:after="144"/>
              <w:ind w:left="94"/>
              <w:rPr>
                <w:rFonts w:eastAsia="Times New Roman" w:cs="Times New Roman"/>
                <w:color w:val="000000"/>
                <w:sz w:val="22"/>
                <w:lang w:eastAsia="pt-PT"/>
              </w:rPr>
            </w:pPr>
            <w:r w:rsidRPr="00F718E1">
              <w:rPr>
                <w:rFonts w:eastAsia="Times New Roman" w:cs="Times New Roman"/>
                <w:color w:val="000000"/>
                <w:sz w:val="22"/>
                <w:lang w:eastAsia="pt-PT"/>
              </w:rPr>
              <w:t>N</w:t>
            </w:r>
          </w:p>
        </w:tc>
        <w:tc>
          <w:tcPr>
            <w:tcW w:w="835" w:type="dxa"/>
            <w:tcBorders>
              <w:bottom w:val="double" w:sz="4" w:space="0" w:color="auto"/>
            </w:tcBorders>
            <w:shd w:val="clear" w:color="auto" w:fill="E7E6E6" w:themeFill="background2"/>
            <w:noWrap/>
            <w:hideMark/>
          </w:tcPr>
          <w:p w14:paraId="6E8C8683" w14:textId="77777777" w:rsidR="00355227" w:rsidRPr="00F718E1" w:rsidRDefault="00355227" w:rsidP="0043154B">
            <w:pPr>
              <w:spacing w:afterLines="60" w:after="144"/>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308</w:t>
            </w:r>
          </w:p>
        </w:tc>
        <w:tc>
          <w:tcPr>
            <w:tcW w:w="977" w:type="dxa"/>
            <w:tcBorders>
              <w:bottom w:val="double" w:sz="4" w:space="0" w:color="auto"/>
            </w:tcBorders>
            <w:shd w:val="clear" w:color="auto" w:fill="E7E6E6" w:themeFill="background2"/>
            <w:noWrap/>
            <w:hideMark/>
          </w:tcPr>
          <w:p w14:paraId="20113306" w14:textId="77777777" w:rsidR="00355227" w:rsidRPr="00F718E1" w:rsidRDefault="00355227" w:rsidP="0043154B">
            <w:pPr>
              <w:spacing w:afterLines="60" w:after="144"/>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308</w:t>
            </w:r>
          </w:p>
        </w:tc>
        <w:tc>
          <w:tcPr>
            <w:tcW w:w="898" w:type="dxa"/>
            <w:tcBorders>
              <w:bottom w:val="double" w:sz="4" w:space="0" w:color="auto"/>
            </w:tcBorders>
            <w:shd w:val="clear" w:color="auto" w:fill="E7E6E6" w:themeFill="background2"/>
            <w:noWrap/>
            <w:hideMark/>
          </w:tcPr>
          <w:p w14:paraId="4EDF2227" w14:textId="77777777" w:rsidR="00355227" w:rsidRPr="00F718E1" w:rsidRDefault="00355227" w:rsidP="0043154B">
            <w:pPr>
              <w:spacing w:afterLines="60" w:after="144"/>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308</w:t>
            </w:r>
          </w:p>
        </w:tc>
        <w:tc>
          <w:tcPr>
            <w:tcW w:w="1031" w:type="dxa"/>
            <w:tcBorders>
              <w:bottom w:val="double" w:sz="4" w:space="0" w:color="auto"/>
            </w:tcBorders>
            <w:shd w:val="clear" w:color="auto" w:fill="E7E6E6" w:themeFill="background2"/>
            <w:noWrap/>
            <w:hideMark/>
          </w:tcPr>
          <w:p w14:paraId="612E1C1D" w14:textId="77777777" w:rsidR="00355227" w:rsidRPr="00F718E1" w:rsidRDefault="00355227" w:rsidP="0043154B">
            <w:pPr>
              <w:spacing w:afterLines="60" w:after="144"/>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308</w:t>
            </w:r>
          </w:p>
        </w:tc>
        <w:tc>
          <w:tcPr>
            <w:tcW w:w="941" w:type="dxa"/>
            <w:tcBorders>
              <w:bottom w:val="double" w:sz="4" w:space="0" w:color="auto"/>
            </w:tcBorders>
            <w:shd w:val="clear" w:color="auto" w:fill="E7E6E6" w:themeFill="background2"/>
            <w:noWrap/>
            <w:hideMark/>
          </w:tcPr>
          <w:p w14:paraId="40F97E98" w14:textId="77777777" w:rsidR="00355227" w:rsidRPr="00F718E1" w:rsidRDefault="00355227" w:rsidP="0043154B">
            <w:pPr>
              <w:spacing w:afterLines="60" w:after="144"/>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308</w:t>
            </w:r>
          </w:p>
        </w:tc>
        <w:tc>
          <w:tcPr>
            <w:tcW w:w="1047" w:type="dxa"/>
            <w:tcBorders>
              <w:bottom w:val="double" w:sz="4" w:space="0" w:color="auto"/>
            </w:tcBorders>
            <w:shd w:val="clear" w:color="auto" w:fill="E7E6E6" w:themeFill="background2"/>
          </w:tcPr>
          <w:p w14:paraId="19F93935" w14:textId="528D8ACF" w:rsidR="00355227" w:rsidRPr="00F718E1" w:rsidRDefault="00355227" w:rsidP="0043154B">
            <w:pPr>
              <w:spacing w:afterLines="60" w:after="144"/>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F718E1">
              <w:rPr>
                <w:rFonts w:eastAsia="Times New Roman" w:cs="Times New Roman"/>
                <w:color w:val="000000"/>
                <w:sz w:val="22"/>
                <w:lang w:eastAsia="pt-PT"/>
              </w:rPr>
              <w:t>1540</w:t>
            </w:r>
          </w:p>
        </w:tc>
      </w:tr>
    </w:tbl>
    <w:p w14:paraId="2F1B1519" w14:textId="4FB772E1" w:rsidR="009018BA" w:rsidRDefault="00865D13" w:rsidP="000752A1">
      <w:pPr>
        <w:spacing w:before="240" w:afterLines="60" w:after="144" w:line="360" w:lineRule="auto"/>
        <w:jc w:val="both"/>
        <w:rPr>
          <w:rFonts w:cs="Times New Roman"/>
        </w:rPr>
      </w:pPr>
      <w:r>
        <w:rPr>
          <w:rFonts w:cs="Times New Roman"/>
        </w:rPr>
        <w:t>Como se pode observar, o</w:t>
      </w:r>
      <w:r w:rsidR="009018BA">
        <w:rPr>
          <w:rFonts w:cs="Times New Roman"/>
        </w:rPr>
        <w:t xml:space="preserve"> ITM</w:t>
      </w:r>
      <w:r>
        <w:rPr>
          <w:rFonts w:cs="Times New Roman"/>
        </w:rPr>
        <w:t xml:space="preserve"> varia</w:t>
      </w:r>
      <w:r w:rsidR="009018BA">
        <w:rPr>
          <w:rFonts w:cs="Times New Roman"/>
        </w:rPr>
        <w:t xml:space="preserve"> </w:t>
      </w:r>
      <w:r w:rsidR="002D3B65">
        <w:rPr>
          <w:rFonts w:cs="Times New Roman"/>
        </w:rPr>
        <w:t>n</w:t>
      </w:r>
      <w:r w:rsidR="009018BA">
        <w:rPr>
          <w:rFonts w:cs="Times New Roman"/>
        </w:rPr>
        <w:t>uma escala de 0 a 100</w:t>
      </w:r>
      <w:r w:rsidR="006E1F9C">
        <w:rPr>
          <w:rFonts w:cs="Times New Roman"/>
        </w:rPr>
        <w:t>, tendo</w:t>
      </w:r>
      <w:r>
        <w:rPr>
          <w:rFonts w:cs="Times New Roman"/>
        </w:rPr>
        <w:t xml:space="preserve"> sido o</w:t>
      </w:r>
      <w:r w:rsidR="002C212B">
        <w:rPr>
          <w:rFonts w:cs="Times New Roman"/>
        </w:rPr>
        <w:t>bservado um valor mínimo de 0</w:t>
      </w:r>
      <w:r w:rsidR="004C7D55">
        <w:rPr>
          <w:rFonts w:cs="Times New Roman"/>
        </w:rPr>
        <w:t>,</w:t>
      </w:r>
      <w:r w:rsidR="002C212B">
        <w:rPr>
          <w:rFonts w:cs="Times New Roman"/>
        </w:rPr>
        <w:t>8</w:t>
      </w:r>
      <w:r>
        <w:rPr>
          <w:rFonts w:cs="Times New Roman"/>
        </w:rPr>
        <w:t xml:space="preserve"> no ano de 2015 e um valor máximo de 100 no ano de 2016, o que significa que pelo menos um dos municípios atingiu um destes valores</w:t>
      </w:r>
      <w:r w:rsidR="009538C0">
        <w:rPr>
          <w:rFonts w:cs="Times New Roman"/>
        </w:rPr>
        <w:t xml:space="preserve">. </w:t>
      </w:r>
    </w:p>
    <w:p w14:paraId="58EF5CCF" w14:textId="3B5FA4C8" w:rsidR="002C212B" w:rsidRPr="002C212B" w:rsidRDefault="009538C0" w:rsidP="00E77FB0">
      <w:pPr>
        <w:spacing w:line="360" w:lineRule="auto"/>
        <w:jc w:val="both"/>
        <w:rPr>
          <w:rFonts w:cs="Times New Roman"/>
        </w:rPr>
      </w:pPr>
      <w:r w:rsidRPr="002C212B">
        <w:rPr>
          <w:rFonts w:cs="Times New Roman"/>
        </w:rPr>
        <w:t>Relativamente à média do ITM dos municípios portugueses para os 5 anos em estudo</w:t>
      </w:r>
      <w:r w:rsidR="002C212B" w:rsidRPr="002C212B">
        <w:rPr>
          <w:rFonts w:cs="Times New Roman"/>
        </w:rPr>
        <w:t xml:space="preserve">, conjuntamente, </w:t>
      </w:r>
      <w:r w:rsidRPr="002C212B">
        <w:rPr>
          <w:rFonts w:cs="Times New Roman"/>
        </w:rPr>
        <w:t>o valor é de 42,9</w:t>
      </w:r>
      <w:r w:rsidR="002C212B">
        <w:rPr>
          <w:rFonts w:cs="Times New Roman"/>
        </w:rPr>
        <w:t xml:space="preserve">. </w:t>
      </w:r>
      <w:r w:rsidR="002C212B" w:rsidRPr="002C212B">
        <w:rPr>
          <w:rFonts w:cs="Times New Roman"/>
          <w:szCs w:val="24"/>
        </w:rPr>
        <w:t xml:space="preserve">Constata-se que o valor médio do ITM tem vindo ao aumentar com o decorrer dos anos, com exceção </w:t>
      </w:r>
      <w:r w:rsidR="00AC0D3E">
        <w:rPr>
          <w:rFonts w:cs="Times New Roman"/>
          <w:szCs w:val="24"/>
        </w:rPr>
        <w:t>do ano</w:t>
      </w:r>
      <w:r w:rsidR="002C212B" w:rsidRPr="002C212B">
        <w:rPr>
          <w:rFonts w:cs="Times New Roman"/>
          <w:szCs w:val="24"/>
        </w:rPr>
        <w:t xml:space="preserve"> 2017, que diminui</w:t>
      </w:r>
      <w:r w:rsidR="006E1F9C">
        <w:rPr>
          <w:rFonts w:cs="Times New Roman"/>
          <w:szCs w:val="24"/>
        </w:rPr>
        <w:t>u</w:t>
      </w:r>
      <w:r w:rsidR="002C212B" w:rsidRPr="002C212B">
        <w:rPr>
          <w:rFonts w:cs="Times New Roman"/>
          <w:szCs w:val="24"/>
        </w:rPr>
        <w:t xml:space="preserve">. Este aumento mostra que a transparência é um fator cada vez mais relevante nos governos. </w:t>
      </w:r>
    </w:p>
    <w:p w14:paraId="7E5C1A6E" w14:textId="77777777" w:rsidR="00290362" w:rsidRDefault="00823EED" w:rsidP="00290362">
      <w:pPr>
        <w:spacing w:line="360" w:lineRule="auto"/>
        <w:jc w:val="both"/>
        <w:rPr>
          <w:rFonts w:cs="Times New Roman"/>
        </w:rPr>
      </w:pPr>
      <w:r>
        <w:rPr>
          <w:rFonts w:cs="Times New Roman"/>
        </w:rPr>
        <w:t>Note-se que o</w:t>
      </w:r>
      <w:r w:rsidR="00D506C7">
        <w:rPr>
          <w:rFonts w:cs="Times New Roman"/>
        </w:rPr>
        <w:t xml:space="preserve"> </w:t>
      </w:r>
      <w:r w:rsidR="00D506C7" w:rsidRPr="002C212B">
        <w:rPr>
          <w:rFonts w:cs="Times New Roman"/>
        </w:rPr>
        <w:t>valor de desvio-padrão</w:t>
      </w:r>
      <w:r>
        <w:rPr>
          <w:rFonts w:cs="Times New Roman"/>
        </w:rPr>
        <w:t xml:space="preserve"> aumenta ao longo dos anos, conjuntamente com o aumento da amplitude entre o valor máximo e o valor mínimo. Existem municípios com valores de 100 no ITM e municípios com valor de 0,8.</w:t>
      </w:r>
    </w:p>
    <w:p w14:paraId="1DD8AF47" w14:textId="7140DC85" w:rsidR="006968CB" w:rsidRDefault="000A35AC" w:rsidP="00290362">
      <w:pPr>
        <w:spacing w:line="360" w:lineRule="auto"/>
        <w:jc w:val="both"/>
        <w:rPr>
          <w:rFonts w:cs="Times New Roman"/>
          <w:color w:val="FF0000"/>
        </w:rPr>
      </w:pPr>
      <w:r>
        <w:rPr>
          <w:rFonts w:cs="Times New Roman"/>
        </w:rPr>
        <w:t>Na p</w:t>
      </w:r>
      <w:r w:rsidR="00341F3C">
        <w:rPr>
          <w:rFonts w:cs="Times New Roman"/>
        </w:rPr>
        <w:t>rosse</w:t>
      </w:r>
      <w:r>
        <w:rPr>
          <w:rFonts w:cs="Times New Roman"/>
        </w:rPr>
        <w:t xml:space="preserve">cução do objetivo de encontrar as determinantes </w:t>
      </w:r>
      <w:r w:rsidR="008A57F7">
        <w:rPr>
          <w:rFonts w:cs="Times New Roman"/>
        </w:rPr>
        <w:t xml:space="preserve">do índice de transparência municipal, </w:t>
      </w:r>
      <w:r w:rsidR="00425C71">
        <w:rPr>
          <w:rFonts w:cs="Times New Roman"/>
        </w:rPr>
        <w:t xml:space="preserve">com </w:t>
      </w:r>
      <w:r w:rsidR="00225B7D">
        <w:rPr>
          <w:rFonts w:cs="Times New Roman"/>
        </w:rPr>
        <w:t xml:space="preserve">base </w:t>
      </w:r>
      <w:r w:rsidR="00C04D22">
        <w:rPr>
          <w:rFonts w:cs="Times New Roman"/>
        </w:rPr>
        <w:t>n</w:t>
      </w:r>
      <w:r w:rsidR="00225B7D">
        <w:rPr>
          <w:rFonts w:cs="Times New Roman"/>
        </w:rPr>
        <w:t>a revisão de literatura</w:t>
      </w:r>
      <w:r w:rsidR="00425C71">
        <w:rPr>
          <w:rFonts w:cs="Times New Roman"/>
        </w:rPr>
        <w:t xml:space="preserve"> apresentada</w:t>
      </w:r>
      <w:r w:rsidR="00225B7D">
        <w:rPr>
          <w:rFonts w:cs="Times New Roman"/>
        </w:rPr>
        <w:t xml:space="preserve">, </w:t>
      </w:r>
      <w:r w:rsidR="008A57F7">
        <w:rPr>
          <w:rFonts w:cs="Times New Roman"/>
        </w:rPr>
        <w:t xml:space="preserve">procedeu-se </w:t>
      </w:r>
      <w:r w:rsidR="008E404C">
        <w:rPr>
          <w:rFonts w:cs="Times New Roman"/>
        </w:rPr>
        <w:t>à</w:t>
      </w:r>
      <w:r w:rsidR="0062705F">
        <w:rPr>
          <w:rFonts w:cs="Times New Roman"/>
        </w:rPr>
        <w:t xml:space="preserve"> </w:t>
      </w:r>
      <w:r w:rsidR="002D4DA2">
        <w:rPr>
          <w:rFonts w:cs="Times New Roman"/>
        </w:rPr>
        <w:t>análise d</w:t>
      </w:r>
      <w:r w:rsidR="00B779C9">
        <w:rPr>
          <w:rFonts w:cs="Times New Roman"/>
        </w:rPr>
        <w:t>o comportamento de</w:t>
      </w:r>
      <w:r w:rsidR="002D4DA2">
        <w:rPr>
          <w:rFonts w:cs="Times New Roman"/>
        </w:rPr>
        <w:t xml:space="preserve"> ITM </w:t>
      </w:r>
      <w:r w:rsidR="001D06BB">
        <w:rPr>
          <w:rFonts w:cs="Times New Roman"/>
        </w:rPr>
        <w:t>em diferentes grupos criados a partir das variáveis em</w:t>
      </w:r>
      <w:r w:rsidR="006C3C1A">
        <w:rPr>
          <w:rFonts w:cs="Times New Roman"/>
        </w:rPr>
        <w:t xml:space="preserve"> </w:t>
      </w:r>
      <w:r w:rsidR="001D06BB">
        <w:rPr>
          <w:rFonts w:cs="Times New Roman"/>
        </w:rPr>
        <w:t>estudo</w:t>
      </w:r>
      <w:r w:rsidR="00112859">
        <w:rPr>
          <w:rFonts w:cs="Times New Roman"/>
        </w:rPr>
        <w:t>:</w:t>
      </w:r>
      <w:r w:rsidR="006C513F" w:rsidRPr="00CA52D1">
        <w:rPr>
          <w:rFonts w:cs="Times New Roman"/>
          <w:shd w:val="clear" w:color="auto" w:fill="FFFFFF" w:themeFill="background1"/>
        </w:rPr>
        <w:t xml:space="preserve"> ideologia do partido político (IPP), competição política (CP), valor do endividamento (VEnd</w:t>
      </w:r>
      <w:r w:rsidR="006C513F" w:rsidRPr="00990766">
        <w:rPr>
          <w:rFonts w:cs="Times New Roman"/>
          <w:shd w:val="clear" w:color="auto" w:fill="FFFFFF" w:themeFill="background1"/>
        </w:rPr>
        <w:t>),</w:t>
      </w:r>
      <w:r w:rsidR="006C513F" w:rsidRPr="00990766">
        <w:rPr>
          <w:rFonts w:cs="Times New Roman"/>
        </w:rPr>
        <w:t xml:space="preserve"> </w:t>
      </w:r>
      <w:r w:rsidR="00203D7D">
        <w:rPr>
          <w:rFonts w:cs="Times New Roman"/>
        </w:rPr>
        <w:t xml:space="preserve">despesa efetiva </w:t>
      </w:r>
      <w:r w:rsidR="00203D7D" w:rsidRPr="00506E82">
        <w:rPr>
          <w:rFonts w:cs="Times New Roman"/>
          <w:i/>
          <w:iCs/>
        </w:rPr>
        <w:t>per capita</w:t>
      </w:r>
      <w:r w:rsidR="00B3128F">
        <w:rPr>
          <w:rFonts w:cs="Times New Roman"/>
        </w:rPr>
        <w:t xml:space="preserve"> </w:t>
      </w:r>
      <w:r w:rsidR="00B3128F">
        <w:rPr>
          <w:rFonts w:cs="Times New Roman"/>
        </w:rPr>
        <w:lastRenderedPageBreak/>
        <w:t>(D</w:t>
      </w:r>
      <w:r w:rsidR="00203D7D">
        <w:rPr>
          <w:rFonts w:cs="Times New Roman"/>
        </w:rPr>
        <w:t>E</w:t>
      </w:r>
      <w:r w:rsidR="00B3128F">
        <w:rPr>
          <w:rFonts w:cs="Times New Roman"/>
        </w:rPr>
        <w:t>),</w:t>
      </w:r>
      <w:r w:rsidR="006C513F" w:rsidRPr="00990766">
        <w:rPr>
          <w:rFonts w:cs="Times New Roman"/>
        </w:rPr>
        <w:t xml:space="preserve"> população residente (PR), taxa de população idosa (</w:t>
      </w:r>
      <w:proofErr w:type="spellStart"/>
      <w:r w:rsidR="006C513F" w:rsidRPr="00990766">
        <w:rPr>
          <w:rFonts w:cs="Times New Roman"/>
        </w:rPr>
        <w:t>TxPI</w:t>
      </w:r>
      <w:proofErr w:type="spellEnd"/>
      <w:r w:rsidR="006C513F" w:rsidRPr="00990766">
        <w:rPr>
          <w:rFonts w:cs="Times New Roman"/>
        </w:rPr>
        <w:t>), taxa de desemprego (</w:t>
      </w:r>
      <w:proofErr w:type="spellStart"/>
      <w:r w:rsidR="006C513F" w:rsidRPr="00990766">
        <w:rPr>
          <w:rFonts w:cs="Times New Roman"/>
        </w:rPr>
        <w:t>TxD</w:t>
      </w:r>
      <w:proofErr w:type="spellEnd"/>
      <w:r w:rsidR="006C513F" w:rsidRPr="00990766">
        <w:rPr>
          <w:rFonts w:cs="Times New Roman"/>
        </w:rPr>
        <w:t>) e percentagem de abstenção (PA)</w:t>
      </w:r>
      <w:r w:rsidR="003D73F1">
        <w:rPr>
          <w:rFonts w:cs="Times New Roman"/>
        </w:rPr>
        <w:t xml:space="preserve">. Realizou-se </w:t>
      </w:r>
      <w:r w:rsidR="00095BE7">
        <w:rPr>
          <w:rFonts w:cs="Times New Roman"/>
          <w:lang w:eastAsia="pt-PT"/>
        </w:rPr>
        <w:t>a análise d</w:t>
      </w:r>
      <w:r w:rsidR="00FA13CE">
        <w:rPr>
          <w:rFonts w:cs="Times New Roman"/>
          <w:lang w:eastAsia="pt-PT"/>
        </w:rPr>
        <w:t>as distribuições, via</w:t>
      </w:r>
      <w:r w:rsidR="00095BE7">
        <w:rPr>
          <w:rFonts w:cs="Times New Roman"/>
          <w:lang w:eastAsia="pt-PT"/>
        </w:rPr>
        <w:t xml:space="preserve"> histograma </w:t>
      </w:r>
      <w:r w:rsidR="00095BE7" w:rsidRPr="007F35DF">
        <w:rPr>
          <w:rFonts w:cs="Times New Roman"/>
          <w:lang w:eastAsia="pt-PT"/>
        </w:rPr>
        <w:t>(</w:t>
      </w:r>
      <w:r w:rsidR="00F338BB">
        <w:rPr>
          <w:rFonts w:cs="Times New Roman"/>
          <w:lang w:eastAsia="pt-PT"/>
        </w:rPr>
        <w:t>A</w:t>
      </w:r>
      <w:r w:rsidR="00095BE7" w:rsidRPr="007F35DF">
        <w:rPr>
          <w:rFonts w:cs="Times New Roman"/>
          <w:lang w:eastAsia="pt-PT"/>
        </w:rPr>
        <w:t>pêndice 2)</w:t>
      </w:r>
      <w:r w:rsidR="00FA13CE">
        <w:rPr>
          <w:rFonts w:cs="Times New Roman"/>
          <w:lang w:eastAsia="pt-PT"/>
        </w:rPr>
        <w:t>,</w:t>
      </w:r>
      <w:r w:rsidR="00095BE7" w:rsidRPr="007F35DF">
        <w:rPr>
          <w:rFonts w:cs="Times New Roman"/>
          <w:lang w:eastAsia="pt-PT"/>
        </w:rPr>
        <w:t xml:space="preserve"> e</w:t>
      </w:r>
      <w:r w:rsidR="00095BE7">
        <w:rPr>
          <w:rFonts w:cs="Times New Roman"/>
          <w:lang w:eastAsia="pt-PT"/>
        </w:rPr>
        <w:t xml:space="preserve"> o cálculo das medidas estatísticas para cada um destes grupos, conforme se apresenta de seguida.</w:t>
      </w:r>
    </w:p>
    <w:p w14:paraId="14B82A14" w14:textId="1EA51B6A" w:rsidR="00F81F8A" w:rsidRPr="00F81F8A" w:rsidRDefault="00F81F8A" w:rsidP="00425C71">
      <w:pPr>
        <w:pStyle w:val="PargrafodaLista"/>
        <w:numPr>
          <w:ilvl w:val="0"/>
          <w:numId w:val="37"/>
        </w:numPr>
        <w:spacing w:after="0" w:line="360" w:lineRule="auto"/>
        <w:jc w:val="both"/>
        <w:rPr>
          <w:rFonts w:cs="Times New Roman"/>
          <w:b/>
          <w:bCs/>
        </w:rPr>
      </w:pPr>
      <w:r>
        <w:rPr>
          <w:rFonts w:cs="Times New Roman"/>
          <w:b/>
          <w:bCs/>
        </w:rPr>
        <w:t>ITM por</w:t>
      </w:r>
      <w:r>
        <w:rPr>
          <w:rFonts w:cs="Times New Roman"/>
          <w:b/>
          <w:bCs/>
          <w:shd w:val="clear" w:color="auto" w:fill="FFFFFF" w:themeFill="background1"/>
        </w:rPr>
        <w:t xml:space="preserve"> ideologia do partido político (IPP)</w:t>
      </w:r>
    </w:p>
    <w:p w14:paraId="5A3B054F" w14:textId="1A5DF5E9" w:rsidR="00511802" w:rsidRPr="00E01944" w:rsidRDefault="00482787" w:rsidP="00425C71">
      <w:pPr>
        <w:spacing w:after="0" w:line="360" w:lineRule="auto"/>
        <w:jc w:val="both"/>
        <w:rPr>
          <w:rFonts w:cs="Times New Roman"/>
        </w:rPr>
      </w:pPr>
      <w:r>
        <w:rPr>
          <w:rFonts w:cs="Times New Roman"/>
        </w:rPr>
        <w:t>O</w:t>
      </w:r>
      <w:r w:rsidR="00FD14FA">
        <w:rPr>
          <w:rFonts w:cs="Times New Roman"/>
        </w:rPr>
        <w:t xml:space="preserve">s partidos políticos são organizados de acordo com a sua ideologia em esquerda e direita sendo por isso a variável de ideologia do partido político do </w:t>
      </w:r>
      <w:r w:rsidR="00511802" w:rsidRPr="00E01944">
        <w:rPr>
          <w:rFonts w:cs="Times New Roman"/>
        </w:rPr>
        <w:t xml:space="preserve">tipo binário correspondendo: </w:t>
      </w:r>
    </w:p>
    <w:p w14:paraId="2547898F" w14:textId="487FF6EE" w:rsidR="00511802" w:rsidRPr="00E01944" w:rsidRDefault="00511802" w:rsidP="009B7AFD">
      <w:pPr>
        <w:pStyle w:val="PargrafodaLista"/>
        <w:numPr>
          <w:ilvl w:val="0"/>
          <w:numId w:val="30"/>
        </w:numPr>
        <w:spacing w:after="0" w:line="360" w:lineRule="auto"/>
        <w:jc w:val="both"/>
        <w:rPr>
          <w:rFonts w:cs="Times New Roman"/>
        </w:rPr>
      </w:pPr>
      <w:r w:rsidRPr="00E01944">
        <w:rPr>
          <w:rFonts w:cs="Times New Roman"/>
        </w:rPr>
        <w:t>valor 1 para partidos de esquerda</w:t>
      </w:r>
      <w:r w:rsidR="00D13155">
        <w:rPr>
          <w:rFonts w:cs="Times New Roman"/>
        </w:rPr>
        <w:t>;</w:t>
      </w:r>
    </w:p>
    <w:p w14:paraId="4474EEF8" w14:textId="77777777" w:rsidR="00511802" w:rsidRPr="00E01944" w:rsidRDefault="00511802" w:rsidP="009B7AFD">
      <w:pPr>
        <w:pStyle w:val="PargrafodaLista"/>
        <w:numPr>
          <w:ilvl w:val="0"/>
          <w:numId w:val="30"/>
        </w:numPr>
        <w:spacing w:after="0" w:line="360" w:lineRule="auto"/>
        <w:jc w:val="both"/>
        <w:rPr>
          <w:rFonts w:cs="Times New Roman"/>
        </w:rPr>
      </w:pPr>
      <w:r w:rsidRPr="00E01944">
        <w:rPr>
          <w:rFonts w:cs="Times New Roman"/>
        </w:rPr>
        <w:t xml:space="preserve">valor 0 do partido de direita. </w:t>
      </w:r>
    </w:p>
    <w:p w14:paraId="71B5646C" w14:textId="702948AA" w:rsidR="00174BA5" w:rsidRDefault="00F13D26" w:rsidP="009B7AFD">
      <w:pPr>
        <w:spacing w:line="360" w:lineRule="auto"/>
        <w:jc w:val="both"/>
        <w:rPr>
          <w:rFonts w:cs="Times New Roman"/>
        </w:rPr>
      </w:pPr>
      <w:r>
        <w:rPr>
          <w:rFonts w:cs="Times New Roman"/>
        </w:rPr>
        <w:t xml:space="preserve">Na </w:t>
      </w:r>
      <w:r w:rsidR="00B4646C">
        <w:rPr>
          <w:rFonts w:cs="Times New Roman"/>
        </w:rPr>
        <w:t>T</w:t>
      </w:r>
      <w:r>
        <w:rPr>
          <w:rFonts w:cs="Times New Roman"/>
        </w:rPr>
        <w:t xml:space="preserve">abela </w:t>
      </w:r>
      <w:r w:rsidR="0027041B">
        <w:rPr>
          <w:rFonts w:cs="Times New Roman"/>
        </w:rPr>
        <w:t xml:space="preserve">4.3 são apresentadas as estatísticas descritivas </w:t>
      </w:r>
      <w:r w:rsidR="005A4625">
        <w:rPr>
          <w:rFonts w:cs="Times New Roman"/>
        </w:rPr>
        <w:t>para o</w:t>
      </w:r>
      <w:r w:rsidR="007C717F">
        <w:rPr>
          <w:rFonts w:cs="Times New Roman"/>
        </w:rPr>
        <w:t xml:space="preserve"> </w:t>
      </w:r>
      <w:r w:rsidR="00640CBC" w:rsidRPr="003425E2">
        <w:rPr>
          <w:rFonts w:cs="Times New Roman"/>
        </w:rPr>
        <w:t>índice de transparência municipal</w:t>
      </w:r>
      <w:r w:rsidR="00640CBC">
        <w:rPr>
          <w:rFonts w:cs="Times New Roman"/>
        </w:rPr>
        <w:t xml:space="preserve">, </w:t>
      </w:r>
      <w:r w:rsidR="00511802" w:rsidRPr="007C717F">
        <w:rPr>
          <w:rFonts w:cs="Times New Roman"/>
        </w:rPr>
        <w:t>ITM</w:t>
      </w:r>
      <w:r w:rsidR="00640CBC">
        <w:rPr>
          <w:rFonts w:cs="Times New Roman"/>
        </w:rPr>
        <w:t xml:space="preserve">, </w:t>
      </w:r>
      <w:r w:rsidR="00115A38">
        <w:rPr>
          <w:rFonts w:cs="Times New Roman"/>
        </w:rPr>
        <w:t xml:space="preserve">por </w:t>
      </w:r>
      <w:r w:rsidR="00511802" w:rsidRPr="007C717F">
        <w:rPr>
          <w:rFonts w:cs="Times New Roman"/>
        </w:rPr>
        <w:t>ideologia do partido eleito dos municípios</w:t>
      </w:r>
      <w:r w:rsidR="00640CBC">
        <w:rPr>
          <w:rFonts w:cs="Times New Roman"/>
        </w:rPr>
        <w:t>, IPP</w:t>
      </w:r>
      <w:r w:rsidR="005A4625">
        <w:rPr>
          <w:rFonts w:cs="Times New Roman"/>
        </w:rPr>
        <w:t xml:space="preserve">. </w:t>
      </w:r>
    </w:p>
    <w:p w14:paraId="0B5FD0E7" w14:textId="2D359637" w:rsidR="00B12101" w:rsidRPr="00697B1B" w:rsidRDefault="00B12101" w:rsidP="00F91D36">
      <w:pPr>
        <w:spacing w:after="60" w:line="240" w:lineRule="auto"/>
        <w:jc w:val="center"/>
        <w:rPr>
          <w:rFonts w:cs="Times New Roman"/>
          <w:bCs/>
        </w:rPr>
      </w:pPr>
      <w:bookmarkStart w:id="84" w:name="_Toc58853163"/>
      <w:bookmarkStart w:id="85" w:name="_Toc66624252"/>
      <w:r w:rsidRPr="00523DC3">
        <w:rPr>
          <w:b/>
        </w:rPr>
        <w:t xml:space="preserve">Tabela </w:t>
      </w:r>
      <w:r w:rsidR="00843BFC">
        <w:rPr>
          <w:b/>
        </w:rPr>
        <w:fldChar w:fldCharType="begin"/>
      </w:r>
      <w:r w:rsidR="00843BFC">
        <w:rPr>
          <w:b/>
        </w:rPr>
        <w:instrText xml:space="preserve"> STYLEREF 1 \s </w:instrText>
      </w:r>
      <w:r w:rsidR="00843BFC">
        <w:rPr>
          <w:b/>
        </w:rPr>
        <w:fldChar w:fldCharType="separate"/>
      </w:r>
      <w:r w:rsidR="00380A6F">
        <w:rPr>
          <w:b/>
          <w:noProof/>
        </w:rPr>
        <w:t>4</w:t>
      </w:r>
      <w:r w:rsidR="00843BFC">
        <w:rPr>
          <w:b/>
        </w:rPr>
        <w:fldChar w:fldCharType="end"/>
      </w:r>
      <w:r w:rsidR="00843BFC">
        <w:rPr>
          <w:b/>
        </w:rPr>
        <w:t>.</w:t>
      </w:r>
      <w:r w:rsidR="00843BFC">
        <w:rPr>
          <w:b/>
        </w:rPr>
        <w:fldChar w:fldCharType="begin"/>
      </w:r>
      <w:r w:rsidR="00843BFC">
        <w:rPr>
          <w:b/>
        </w:rPr>
        <w:instrText xml:space="preserve"> SEQ Tabela \* ARABIC \s 1 </w:instrText>
      </w:r>
      <w:r w:rsidR="00843BFC">
        <w:rPr>
          <w:b/>
        </w:rPr>
        <w:fldChar w:fldCharType="separate"/>
      </w:r>
      <w:r w:rsidR="00380A6F">
        <w:rPr>
          <w:b/>
          <w:noProof/>
        </w:rPr>
        <w:t>3</w:t>
      </w:r>
      <w:r w:rsidR="00843BFC">
        <w:rPr>
          <w:b/>
        </w:rPr>
        <w:fldChar w:fldCharType="end"/>
      </w:r>
      <w:r w:rsidRPr="00523DC3">
        <w:rPr>
          <w:b/>
        </w:rPr>
        <w:t xml:space="preserve"> –</w:t>
      </w:r>
      <w:r w:rsidRPr="00523DC3">
        <w:t xml:space="preserve"> </w:t>
      </w:r>
      <w:r w:rsidR="007C747F" w:rsidRPr="00697B1B">
        <w:rPr>
          <w:rFonts w:cs="Times New Roman"/>
          <w:bCs/>
        </w:rPr>
        <w:t xml:space="preserve">Medidas estatísticas do ITM </w:t>
      </w:r>
      <w:r w:rsidR="00640CBC" w:rsidRPr="00697B1B">
        <w:rPr>
          <w:rFonts w:cs="Times New Roman"/>
          <w:bCs/>
        </w:rPr>
        <w:t xml:space="preserve">por </w:t>
      </w:r>
      <w:r w:rsidR="00EF0240" w:rsidRPr="00697B1B">
        <w:rPr>
          <w:rFonts w:cs="Times New Roman"/>
          <w:bCs/>
        </w:rPr>
        <w:t>IPP</w:t>
      </w:r>
      <w:bookmarkEnd w:id="84"/>
      <w:bookmarkEnd w:id="85"/>
    </w:p>
    <w:tbl>
      <w:tblPr>
        <w:tblW w:w="864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97"/>
        <w:gridCol w:w="3357"/>
        <w:gridCol w:w="1061"/>
        <w:gridCol w:w="141"/>
        <w:gridCol w:w="1491"/>
      </w:tblGrid>
      <w:tr w:rsidR="00846175" w:rsidRPr="006968CB" w14:paraId="05058F4E" w14:textId="77777777" w:rsidTr="003425E2">
        <w:trPr>
          <w:cantSplit/>
          <w:jc w:val="center"/>
        </w:trPr>
        <w:tc>
          <w:tcPr>
            <w:tcW w:w="5954" w:type="dxa"/>
            <w:gridSpan w:val="2"/>
            <w:tcBorders>
              <w:top w:val="double" w:sz="4" w:space="0" w:color="000000"/>
              <w:left w:val="nil"/>
              <w:bottom w:val="single" w:sz="4" w:space="0" w:color="auto"/>
              <w:right w:val="nil"/>
            </w:tcBorders>
            <w:shd w:val="clear" w:color="auto" w:fill="E7E6E6" w:themeFill="background2"/>
            <w:vAlign w:val="bottom"/>
          </w:tcPr>
          <w:p w14:paraId="7DDA6B2A" w14:textId="77777777" w:rsidR="00846175" w:rsidRPr="00D85EEC" w:rsidRDefault="00846175" w:rsidP="009C5227">
            <w:pPr>
              <w:autoSpaceDE w:val="0"/>
              <w:autoSpaceDN w:val="0"/>
              <w:adjustRightInd w:val="0"/>
              <w:spacing w:after="0" w:line="240" w:lineRule="auto"/>
              <w:ind w:left="60" w:right="60"/>
              <w:rPr>
                <w:rFonts w:cs="Times New Roman"/>
                <w:b/>
                <w:bCs/>
                <w:color w:val="000000"/>
                <w:sz w:val="22"/>
              </w:rPr>
            </w:pPr>
            <w:r w:rsidRPr="00D85EEC">
              <w:rPr>
                <w:rFonts w:cs="Times New Roman"/>
                <w:b/>
                <w:bCs/>
                <w:color w:val="000000"/>
                <w:sz w:val="22"/>
              </w:rPr>
              <w:t>Ideologia partido político</w:t>
            </w:r>
          </w:p>
        </w:tc>
        <w:tc>
          <w:tcPr>
            <w:tcW w:w="1202" w:type="dxa"/>
            <w:gridSpan w:val="2"/>
            <w:tcBorders>
              <w:top w:val="double" w:sz="4" w:space="0" w:color="000000"/>
              <w:left w:val="nil"/>
              <w:bottom w:val="single" w:sz="4" w:space="0" w:color="auto"/>
              <w:right w:val="nil"/>
            </w:tcBorders>
            <w:shd w:val="clear" w:color="auto" w:fill="E7E6E6" w:themeFill="background2"/>
            <w:vAlign w:val="bottom"/>
          </w:tcPr>
          <w:p w14:paraId="3F4E1482" w14:textId="77777777" w:rsidR="00846175" w:rsidRPr="00D85EEC" w:rsidRDefault="00846175" w:rsidP="009C5227">
            <w:pPr>
              <w:autoSpaceDE w:val="0"/>
              <w:autoSpaceDN w:val="0"/>
              <w:adjustRightInd w:val="0"/>
              <w:spacing w:after="0" w:line="240" w:lineRule="auto"/>
              <w:ind w:left="60" w:right="60"/>
              <w:jc w:val="center"/>
              <w:rPr>
                <w:rFonts w:cs="Times New Roman"/>
                <w:b/>
                <w:bCs/>
                <w:color w:val="000000"/>
                <w:sz w:val="22"/>
              </w:rPr>
            </w:pPr>
            <w:r w:rsidRPr="00D85EEC">
              <w:rPr>
                <w:rFonts w:cs="Times New Roman"/>
                <w:b/>
                <w:bCs/>
                <w:color w:val="000000"/>
                <w:sz w:val="22"/>
              </w:rPr>
              <w:t>Estatística</w:t>
            </w:r>
          </w:p>
        </w:tc>
        <w:tc>
          <w:tcPr>
            <w:tcW w:w="1491" w:type="dxa"/>
            <w:tcBorders>
              <w:top w:val="double" w:sz="4" w:space="0" w:color="000000"/>
              <w:left w:val="nil"/>
              <w:bottom w:val="single" w:sz="4" w:space="0" w:color="auto"/>
              <w:right w:val="nil"/>
            </w:tcBorders>
            <w:shd w:val="clear" w:color="auto" w:fill="E7E6E6" w:themeFill="background2"/>
            <w:vAlign w:val="bottom"/>
          </w:tcPr>
          <w:p w14:paraId="31758895" w14:textId="77777777" w:rsidR="00846175" w:rsidRPr="00D85EEC" w:rsidRDefault="00846175" w:rsidP="009C5227">
            <w:pPr>
              <w:autoSpaceDE w:val="0"/>
              <w:autoSpaceDN w:val="0"/>
              <w:adjustRightInd w:val="0"/>
              <w:spacing w:after="0" w:line="240" w:lineRule="auto"/>
              <w:ind w:left="60" w:right="60"/>
              <w:jc w:val="center"/>
              <w:rPr>
                <w:rFonts w:cs="Times New Roman"/>
                <w:b/>
                <w:bCs/>
                <w:color w:val="000000"/>
                <w:sz w:val="22"/>
              </w:rPr>
            </w:pPr>
            <w:r w:rsidRPr="00D85EEC">
              <w:rPr>
                <w:rFonts w:cs="Times New Roman"/>
                <w:b/>
                <w:bCs/>
                <w:color w:val="000000"/>
                <w:sz w:val="22"/>
              </w:rPr>
              <w:t>Desvio Padrão</w:t>
            </w:r>
          </w:p>
        </w:tc>
      </w:tr>
      <w:tr w:rsidR="00846175" w:rsidRPr="00277DAF" w14:paraId="58ACA8ED" w14:textId="77777777" w:rsidTr="003425E2">
        <w:trPr>
          <w:cantSplit/>
          <w:jc w:val="center"/>
        </w:trPr>
        <w:tc>
          <w:tcPr>
            <w:tcW w:w="2597" w:type="dxa"/>
            <w:vMerge w:val="restart"/>
            <w:tcBorders>
              <w:top w:val="single" w:sz="4" w:space="0" w:color="auto"/>
              <w:left w:val="nil"/>
              <w:right w:val="nil"/>
            </w:tcBorders>
            <w:shd w:val="clear" w:color="auto" w:fill="FFFFFF"/>
          </w:tcPr>
          <w:p w14:paraId="41574847"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r>
              <w:rPr>
                <w:rFonts w:cs="Times New Roman"/>
                <w:color w:val="000000"/>
                <w:sz w:val="22"/>
              </w:rPr>
              <w:t>P</w:t>
            </w:r>
            <w:r w:rsidRPr="006968CB">
              <w:rPr>
                <w:rFonts w:cs="Times New Roman"/>
                <w:color w:val="000000"/>
                <w:sz w:val="22"/>
              </w:rPr>
              <w:t>artido político de direita</w:t>
            </w:r>
          </w:p>
        </w:tc>
        <w:tc>
          <w:tcPr>
            <w:tcW w:w="3357" w:type="dxa"/>
            <w:tcBorders>
              <w:top w:val="nil"/>
              <w:left w:val="nil"/>
              <w:bottom w:val="nil"/>
              <w:right w:val="nil"/>
            </w:tcBorders>
            <w:shd w:val="clear" w:color="auto" w:fill="FFFFFF"/>
          </w:tcPr>
          <w:p w14:paraId="4C7C9453"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r w:rsidRPr="006968CB">
              <w:rPr>
                <w:rFonts w:cs="Times New Roman"/>
                <w:color w:val="000000"/>
                <w:sz w:val="22"/>
              </w:rPr>
              <w:t>N= 548</w:t>
            </w:r>
          </w:p>
        </w:tc>
        <w:tc>
          <w:tcPr>
            <w:tcW w:w="1061" w:type="dxa"/>
            <w:tcBorders>
              <w:top w:val="nil"/>
              <w:left w:val="nil"/>
              <w:bottom w:val="nil"/>
              <w:right w:val="nil"/>
            </w:tcBorders>
            <w:shd w:val="clear" w:color="auto" w:fill="FFFFFF"/>
          </w:tcPr>
          <w:p w14:paraId="62530765"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p>
        </w:tc>
        <w:tc>
          <w:tcPr>
            <w:tcW w:w="1632" w:type="dxa"/>
            <w:gridSpan w:val="2"/>
            <w:tcBorders>
              <w:top w:val="nil"/>
              <w:left w:val="nil"/>
              <w:bottom w:val="nil"/>
              <w:right w:val="nil"/>
            </w:tcBorders>
            <w:shd w:val="clear" w:color="auto" w:fill="FFFFFF"/>
          </w:tcPr>
          <w:p w14:paraId="264FA654"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p>
        </w:tc>
      </w:tr>
      <w:tr w:rsidR="00846175" w:rsidRPr="00277DAF" w14:paraId="59F4ADE6" w14:textId="77777777" w:rsidTr="003425E2">
        <w:trPr>
          <w:cantSplit/>
          <w:jc w:val="center"/>
        </w:trPr>
        <w:tc>
          <w:tcPr>
            <w:tcW w:w="2597" w:type="dxa"/>
            <w:vMerge/>
            <w:tcBorders>
              <w:top w:val="single" w:sz="6" w:space="0" w:color="000000"/>
              <w:left w:val="nil"/>
              <w:right w:val="nil"/>
            </w:tcBorders>
            <w:shd w:val="clear" w:color="auto" w:fill="FFFFFF"/>
          </w:tcPr>
          <w:p w14:paraId="72D95FB7"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p>
        </w:tc>
        <w:tc>
          <w:tcPr>
            <w:tcW w:w="3357" w:type="dxa"/>
            <w:tcBorders>
              <w:top w:val="nil"/>
              <w:left w:val="nil"/>
              <w:bottom w:val="nil"/>
              <w:right w:val="nil"/>
            </w:tcBorders>
            <w:shd w:val="clear" w:color="auto" w:fill="E7E6E6" w:themeFill="background2"/>
          </w:tcPr>
          <w:p w14:paraId="1839E499"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r w:rsidRPr="006968CB">
              <w:rPr>
                <w:rFonts w:cs="Times New Roman"/>
                <w:color w:val="000000"/>
                <w:sz w:val="22"/>
              </w:rPr>
              <w:t>Média</w:t>
            </w:r>
          </w:p>
        </w:tc>
        <w:tc>
          <w:tcPr>
            <w:tcW w:w="1061" w:type="dxa"/>
            <w:tcBorders>
              <w:top w:val="nil"/>
              <w:left w:val="nil"/>
              <w:bottom w:val="nil"/>
              <w:right w:val="nil"/>
            </w:tcBorders>
            <w:shd w:val="clear" w:color="auto" w:fill="E7E6E6" w:themeFill="background2"/>
          </w:tcPr>
          <w:p w14:paraId="00037177"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42,298</w:t>
            </w:r>
          </w:p>
        </w:tc>
        <w:tc>
          <w:tcPr>
            <w:tcW w:w="1632" w:type="dxa"/>
            <w:gridSpan w:val="2"/>
            <w:tcBorders>
              <w:top w:val="nil"/>
              <w:left w:val="nil"/>
              <w:bottom w:val="nil"/>
              <w:right w:val="nil"/>
            </w:tcBorders>
            <w:shd w:val="clear" w:color="auto" w:fill="E7E6E6" w:themeFill="background2"/>
          </w:tcPr>
          <w:p w14:paraId="1F249855"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0,70857</w:t>
            </w:r>
          </w:p>
        </w:tc>
      </w:tr>
      <w:tr w:rsidR="00846175" w:rsidRPr="00277DAF" w14:paraId="7418BF33" w14:textId="77777777" w:rsidTr="003425E2">
        <w:trPr>
          <w:cantSplit/>
          <w:jc w:val="center"/>
        </w:trPr>
        <w:tc>
          <w:tcPr>
            <w:tcW w:w="2597" w:type="dxa"/>
            <w:vMerge/>
            <w:tcBorders>
              <w:top w:val="single" w:sz="16" w:space="0" w:color="000000"/>
              <w:left w:val="nil"/>
              <w:right w:val="nil"/>
            </w:tcBorders>
            <w:shd w:val="clear" w:color="auto" w:fill="FFFFFF"/>
          </w:tcPr>
          <w:p w14:paraId="390F5D4C" w14:textId="77777777" w:rsidR="00846175" w:rsidRPr="006968CB" w:rsidRDefault="00846175" w:rsidP="009C5227">
            <w:pPr>
              <w:autoSpaceDE w:val="0"/>
              <w:autoSpaceDN w:val="0"/>
              <w:adjustRightInd w:val="0"/>
              <w:spacing w:after="0" w:line="240" w:lineRule="auto"/>
              <w:rPr>
                <w:rFonts w:cs="Times New Roman"/>
                <w:sz w:val="22"/>
              </w:rPr>
            </w:pPr>
          </w:p>
        </w:tc>
        <w:tc>
          <w:tcPr>
            <w:tcW w:w="3357" w:type="dxa"/>
            <w:tcBorders>
              <w:top w:val="nil"/>
              <w:left w:val="nil"/>
              <w:bottom w:val="nil"/>
              <w:right w:val="nil"/>
            </w:tcBorders>
            <w:shd w:val="clear" w:color="auto" w:fill="FFFFFF"/>
          </w:tcPr>
          <w:p w14:paraId="1D7B0AA6"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r w:rsidRPr="006968CB">
              <w:rPr>
                <w:rFonts w:cs="Times New Roman"/>
                <w:color w:val="000000"/>
                <w:sz w:val="22"/>
              </w:rPr>
              <w:t>Mediana</w:t>
            </w:r>
          </w:p>
        </w:tc>
        <w:tc>
          <w:tcPr>
            <w:tcW w:w="1061" w:type="dxa"/>
            <w:tcBorders>
              <w:top w:val="nil"/>
              <w:left w:val="nil"/>
              <w:bottom w:val="nil"/>
              <w:right w:val="nil"/>
            </w:tcBorders>
            <w:shd w:val="clear" w:color="auto" w:fill="FFFFFF"/>
          </w:tcPr>
          <w:p w14:paraId="14543436"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38,457</w:t>
            </w:r>
          </w:p>
        </w:tc>
        <w:tc>
          <w:tcPr>
            <w:tcW w:w="1632" w:type="dxa"/>
            <w:gridSpan w:val="2"/>
            <w:tcBorders>
              <w:top w:val="nil"/>
              <w:left w:val="nil"/>
              <w:bottom w:val="nil"/>
              <w:right w:val="nil"/>
            </w:tcBorders>
            <w:shd w:val="clear" w:color="auto" w:fill="FFFFFF"/>
            <w:vAlign w:val="center"/>
          </w:tcPr>
          <w:p w14:paraId="7D63AE0A" w14:textId="77777777" w:rsidR="00846175" w:rsidRPr="006968CB" w:rsidRDefault="00846175" w:rsidP="009C5227">
            <w:pPr>
              <w:autoSpaceDE w:val="0"/>
              <w:autoSpaceDN w:val="0"/>
              <w:adjustRightInd w:val="0"/>
              <w:spacing w:after="0" w:line="240" w:lineRule="auto"/>
              <w:rPr>
                <w:rFonts w:cs="Times New Roman"/>
                <w:sz w:val="22"/>
              </w:rPr>
            </w:pPr>
          </w:p>
        </w:tc>
      </w:tr>
      <w:tr w:rsidR="00846175" w:rsidRPr="00277DAF" w14:paraId="36BDB978" w14:textId="77777777" w:rsidTr="003425E2">
        <w:trPr>
          <w:cantSplit/>
          <w:jc w:val="center"/>
        </w:trPr>
        <w:tc>
          <w:tcPr>
            <w:tcW w:w="2597" w:type="dxa"/>
            <w:vMerge/>
            <w:tcBorders>
              <w:top w:val="single" w:sz="16" w:space="0" w:color="000000"/>
              <w:left w:val="nil"/>
              <w:right w:val="nil"/>
            </w:tcBorders>
            <w:shd w:val="clear" w:color="auto" w:fill="FFFFFF"/>
          </w:tcPr>
          <w:p w14:paraId="746BF43F" w14:textId="77777777" w:rsidR="00846175" w:rsidRPr="006968CB" w:rsidRDefault="00846175" w:rsidP="009C5227">
            <w:pPr>
              <w:autoSpaceDE w:val="0"/>
              <w:autoSpaceDN w:val="0"/>
              <w:adjustRightInd w:val="0"/>
              <w:spacing w:after="0" w:line="240" w:lineRule="auto"/>
              <w:rPr>
                <w:rFonts w:cs="Times New Roman"/>
                <w:sz w:val="22"/>
              </w:rPr>
            </w:pPr>
          </w:p>
        </w:tc>
        <w:tc>
          <w:tcPr>
            <w:tcW w:w="3357" w:type="dxa"/>
            <w:tcBorders>
              <w:top w:val="nil"/>
              <w:left w:val="nil"/>
              <w:bottom w:val="nil"/>
              <w:right w:val="nil"/>
            </w:tcBorders>
            <w:shd w:val="clear" w:color="auto" w:fill="E7E6E6" w:themeFill="background2"/>
          </w:tcPr>
          <w:p w14:paraId="6C86044D"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r w:rsidRPr="006968CB">
              <w:rPr>
                <w:rFonts w:cs="Times New Roman"/>
                <w:color w:val="000000"/>
                <w:sz w:val="22"/>
              </w:rPr>
              <w:t>Variância</w:t>
            </w:r>
          </w:p>
        </w:tc>
        <w:tc>
          <w:tcPr>
            <w:tcW w:w="1061" w:type="dxa"/>
            <w:tcBorders>
              <w:top w:val="nil"/>
              <w:left w:val="nil"/>
              <w:bottom w:val="nil"/>
              <w:right w:val="nil"/>
            </w:tcBorders>
            <w:shd w:val="clear" w:color="auto" w:fill="E7E6E6" w:themeFill="background2"/>
          </w:tcPr>
          <w:p w14:paraId="6C600212"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275,136</w:t>
            </w:r>
          </w:p>
        </w:tc>
        <w:tc>
          <w:tcPr>
            <w:tcW w:w="1632" w:type="dxa"/>
            <w:gridSpan w:val="2"/>
            <w:tcBorders>
              <w:top w:val="nil"/>
              <w:left w:val="nil"/>
              <w:bottom w:val="nil"/>
              <w:right w:val="nil"/>
            </w:tcBorders>
            <w:shd w:val="clear" w:color="auto" w:fill="E7E6E6" w:themeFill="background2"/>
            <w:vAlign w:val="center"/>
          </w:tcPr>
          <w:p w14:paraId="3A3C4F5F" w14:textId="77777777" w:rsidR="00846175" w:rsidRPr="006968CB" w:rsidRDefault="00846175" w:rsidP="009C5227">
            <w:pPr>
              <w:autoSpaceDE w:val="0"/>
              <w:autoSpaceDN w:val="0"/>
              <w:adjustRightInd w:val="0"/>
              <w:spacing w:after="0" w:line="240" w:lineRule="auto"/>
              <w:rPr>
                <w:rFonts w:cs="Times New Roman"/>
                <w:sz w:val="22"/>
              </w:rPr>
            </w:pPr>
          </w:p>
        </w:tc>
      </w:tr>
      <w:tr w:rsidR="00846175" w:rsidRPr="00277DAF" w14:paraId="2B6A0D29" w14:textId="77777777" w:rsidTr="003425E2">
        <w:trPr>
          <w:cantSplit/>
          <w:jc w:val="center"/>
        </w:trPr>
        <w:tc>
          <w:tcPr>
            <w:tcW w:w="2597" w:type="dxa"/>
            <w:vMerge/>
            <w:tcBorders>
              <w:top w:val="single" w:sz="16" w:space="0" w:color="000000"/>
              <w:left w:val="nil"/>
              <w:right w:val="nil"/>
            </w:tcBorders>
            <w:shd w:val="clear" w:color="auto" w:fill="FFFFFF"/>
          </w:tcPr>
          <w:p w14:paraId="2780EEC9" w14:textId="77777777" w:rsidR="00846175" w:rsidRPr="006968CB" w:rsidRDefault="00846175" w:rsidP="009C5227">
            <w:pPr>
              <w:autoSpaceDE w:val="0"/>
              <w:autoSpaceDN w:val="0"/>
              <w:adjustRightInd w:val="0"/>
              <w:spacing w:after="0" w:line="240" w:lineRule="auto"/>
              <w:rPr>
                <w:rFonts w:cs="Times New Roman"/>
                <w:sz w:val="22"/>
              </w:rPr>
            </w:pPr>
          </w:p>
        </w:tc>
        <w:tc>
          <w:tcPr>
            <w:tcW w:w="3357" w:type="dxa"/>
            <w:tcBorders>
              <w:top w:val="nil"/>
              <w:left w:val="nil"/>
              <w:bottom w:val="nil"/>
              <w:right w:val="nil"/>
            </w:tcBorders>
            <w:shd w:val="clear" w:color="auto" w:fill="FFFFFF"/>
          </w:tcPr>
          <w:p w14:paraId="185565B8"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r w:rsidRPr="006968CB">
              <w:rPr>
                <w:rFonts w:cs="Times New Roman"/>
                <w:color w:val="000000"/>
                <w:sz w:val="22"/>
              </w:rPr>
              <w:t>Erro Padrão</w:t>
            </w:r>
          </w:p>
        </w:tc>
        <w:tc>
          <w:tcPr>
            <w:tcW w:w="1061" w:type="dxa"/>
            <w:tcBorders>
              <w:top w:val="nil"/>
              <w:left w:val="nil"/>
              <w:bottom w:val="nil"/>
              <w:right w:val="nil"/>
            </w:tcBorders>
            <w:shd w:val="clear" w:color="auto" w:fill="FFFFFF"/>
          </w:tcPr>
          <w:p w14:paraId="1F2C0F60"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16,587</w:t>
            </w:r>
          </w:p>
        </w:tc>
        <w:tc>
          <w:tcPr>
            <w:tcW w:w="1632" w:type="dxa"/>
            <w:gridSpan w:val="2"/>
            <w:tcBorders>
              <w:top w:val="nil"/>
              <w:left w:val="nil"/>
              <w:bottom w:val="nil"/>
              <w:right w:val="nil"/>
            </w:tcBorders>
            <w:shd w:val="clear" w:color="auto" w:fill="FFFFFF"/>
            <w:vAlign w:val="center"/>
          </w:tcPr>
          <w:p w14:paraId="78568CF2" w14:textId="77777777" w:rsidR="00846175" w:rsidRPr="006968CB" w:rsidRDefault="00846175" w:rsidP="009C5227">
            <w:pPr>
              <w:autoSpaceDE w:val="0"/>
              <w:autoSpaceDN w:val="0"/>
              <w:adjustRightInd w:val="0"/>
              <w:spacing w:after="0" w:line="240" w:lineRule="auto"/>
              <w:rPr>
                <w:rFonts w:cs="Times New Roman"/>
                <w:sz w:val="22"/>
              </w:rPr>
            </w:pPr>
          </w:p>
        </w:tc>
      </w:tr>
      <w:tr w:rsidR="00846175" w:rsidRPr="00277DAF" w14:paraId="70C7482F" w14:textId="77777777" w:rsidTr="003425E2">
        <w:trPr>
          <w:cantSplit/>
          <w:jc w:val="center"/>
        </w:trPr>
        <w:tc>
          <w:tcPr>
            <w:tcW w:w="2597" w:type="dxa"/>
            <w:vMerge/>
            <w:tcBorders>
              <w:top w:val="single" w:sz="16" w:space="0" w:color="000000"/>
              <w:left w:val="nil"/>
              <w:right w:val="nil"/>
            </w:tcBorders>
            <w:shd w:val="clear" w:color="auto" w:fill="FFFFFF"/>
          </w:tcPr>
          <w:p w14:paraId="1E87B171" w14:textId="77777777" w:rsidR="00846175" w:rsidRPr="006968CB" w:rsidRDefault="00846175" w:rsidP="009C5227">
            <w:pPr>
              <w:autoSpaceDE w:val="0"/>
              <w:autoSpaceDN w:val="0"/>
              <w:adjustRightInd w:val="0"/>
              <w:spacing w:after="0" w:line="240" w:lineRule="auto"/>
              <w:rPr>
                <w:rFonts w:cs="Times New Roman"/>
                <w:sz w:val="22"/>
              </w:rPr>
            </w:pPr>
          </w:p>
        </w:tc>
        <w:tc>
          <w:tcPr>
            <w:tcW w:w="3357" w:type="dxa"/>
            <w:tcBorders>
              <w:top w:val="nil"/>
              <w:left w:val="nil"/>
              <w:bottom w:val="nil"/>
              <w:right w:val="nil"/>
            </w:tcBorders>
            <w:shd w:val="clear" w:color="auto" w:fill="E7E6E6" w:themeFill="background2"/>
          </w:tcPr>
          <w:p w14:paraId="56AF03D5"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r w:rsidRPr="006968CB">
              <w:rPr>
                <w:rFonts w:cs="Times New Roman"/>
                <w:color w:val="000000"/>
                <w:sz w:val="22"/>
              </w:rPr>
              <w:t>Mínimo</w:t>
            </w:r>
          </w:p>
        </w:tc>
        <w:tc>
          <w:tcPr>
            <w:tcW w:w="1061" w:type="dxa"/>
            <w:tcBorders>
              <w:top w:val="nil"/>
              <w:left w:val="nil"/>
              <w:bottom w:val="nil"/>
              <w:right w:val="nil"/>
            </w:tcBorders>
            <w:shd w:val="clear" w:color="auto" w:fill="E7E6E6" w:themeFill="background2"/>
          </w:tcPr>
          <w:p w14:paraId="1332DCAC"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9,000</w:t>
            </w:r>
          </w:p>
        </w:tc>
        <w:tc>
          <w:tcPr>
            <w:tcW w:w="1632" w:type="dxa"/>
            <w:gridSpan w:val="2"/>
            <w:tcBorders>
              <w:top w:val="nil"/>
              <w:left w:val="nil"/>
              <w:bottom w:val="nil"/>
              <w:right w:val="nil"/>
            </w:tcBorders>
            <w:shd w:val="clear" w:color="auto" w:fill="E7E6E6" w:themeFill="background2"/>
            <w:vAlign w:val="center"/>
          </w:tcPr>
          <w:p w14:paraId="2148613E" w14:textId="77777777" w:rsidR="00846175" w:rsidRPr="006968CB" w:rsidRDefault="00846175" w:rsidP="009C5227">
            <w:pPr>
              <w:autoSpaceDE w:val="0"/>
              <w:autoSpaceDN w:val="0"/>
              <w:adjustRightInd w:val="0"/>
              <w:spacing w:after="0" w:line="240" w:lineRule="auto"/>
              <w:rPr>
                <w:rFonts w:cs="Times New Roman"/>
                <w:sz w:val="22"/>
              </w:rPr>
            </w:pPr>
          </w:p>
        </w:tc>
      </w:tr>
      <w:tr w:rsidR="00846175" w:rsidRPr="00277DAF" w14:paraId="7C0833F1" w14:textId="77777777" w:rsidTr="003425E2">
        <w:trPr>
          <w:cantSplit/>
          <w:jc w:val="center"/>
        </w:trPr>
        <w:tc>
          <w:tcPr>
            <w:tcW w:w="2597" w:type="dxa"/>
            <w:vMerge/>
            <w:tcBorders>
              <w:top w:val="single" w:sz="16" w:space="0" w:color="000000"/>
              <w:left w:val="nil"/>
              <w:right w:val="nil"/>
            </w:tcBorders>
            <w:shd w:val="clear" w:color="auto" w:fill="FFFFFF"/>
          </w:tcPr>
          <w:p w14:paraId="282929EA" w14:textId="77777777" w:rsidR="00846175" w:rsidRPr="006968CB" w:rsidRDefault="00846175" w:rsidP="009C5227">
            <w:pPr>
              <w:autoSpaceDE w:val="0"/>
              <w:autoSpaceDN w:val="0"/>
              <w:adjustRightInd w:val="0"/>
              <w:spacing w:after="0" w:line="240" w:lineRule="auto"/>
              <w:rPr>
                <w:rFonts w:cs="Times New Roman"/>
                <w:sz w:val="22"/>
              </w:rPr>
            </w:pPr>
          </w:p>
        </w:tc>
        <w:tc>
          <w:tcPr>
            <w:tcW w:w="3357" w:type="dxa"/>
            <w:tcBorders>
              <w:top w:val="nil"/>
              <w:left w:val="nil"/>
              <w:bottom w:val="nil"/>
              <w:right w:val="nil"/>
            </w:tcBorders>
            <w:shd w:val="clear" w:color="auto" w:fill="FFFFFF"/>
          </w:tcPr>
          <w:p w14:paraId="4E39ACC8"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r w:rsidRPr="006968CB">
              <w:rPr>
                <w:rFonts w:cs="Times New Roman"/>
                <w:color w:val="000000"/>
                <w:sz w:val="22"/>
              </w:rPr>
              <w:t>Máximo</w:t>
            </w:r>
          </w:p>
        </w:tc>
        <w:tc>
          <w:tcPr>
            <w:tcW w:w="1061" w:type="dxa"/>
            <w:tcBorders>
              <w:top w:val="nil"/>
              <w:left w:val="nil"/>
              <w:bottom w:val="nil"/>
              <w:right w:val="nil"/>
            </w:tcBorders>
            <w:shd w:val="clear" w:color="auto" w:fill="FFFFFF"/>
          </w:tcPr>
          <w:p w14:paraId="15A64608"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97,390</w:t>
            </w:r>
          </w:p>
        </w:tc>
        <w:tc>
          <w:tcPr>
            <w:tcW w:w="1632" w:type="dxa"/>
            <w:gridSpan w:val="2"/>
            <w:tcBorders>
              <w:top w:val="nil"/>
              <w:left w:val="nil"/>
              <w:bottom w:val="nil"/>
              <w:right w:val="nil"/>
            </w:tcBorders>
            <w:shd w:val="clear" w:color="auto" w:fill="FFFFFF"/>
            <w:vAlign w:val="center"/>
          </w:tcPr>
          <w:p w14:paraId="26D95E6D" w14:textId="77777777" w:rsidR="00846175" w:rsidRPr="006968CB" w:rsidRDefault="00846175" w:rsidP="009C5227">
            <w:pPr>
              <w:autoSpaceDE w:val="0"/>
              <w:autoSpaceDN w:val="0"/>
              <w:adjustRightInd w:val="0"/>
              <w:spacing w:after="0" w:line="240" w:lineRule="auto"/>
              <w:rPr>
                <w:rFonts w:cs="Times New Roman"/>
                <w:sz w:val="22"/>
              </w:rPr>
            </w:pPr>
          </w:p>
        </w:tc>
      </w:tr>
      <w:tr w:rsidR="00846175" w:rsidRPr="00277DAF" w14:paraId="6AAECAB7" w14:textId="77777777" w:rsidTr="003425E2">
        <w:trPr>
          <w:cantSplit/>
          <w:jc w:val="center"/>
        </w:trPr>
        <w:tc>
          <w:tcPr>
            <w:tcW w:w="2597" w:type="dxa"/>
            <w:vMerge/>
            <w:tcBorders>
              <w:top w:val="single" w:sz="16" w:space="0" w:color="000000"/>
              <w:left w:val="nil"/>
              <w:right w:val="nil"/>
            </w:tcBorders>
            <w:shd w:val="clear" w:color="auto" w:fill="FFFFFF"/>
          </w:tcPr>
          <w:p w14:paraId="61BD952B" w14:textId="77777777" w:rsidR="00846175" w:rsidRPr="006968CB" w:rsidRDefault="00846175" w:rsidP="009C5227">
            <w:pPr>
              <w:autoSpaceDE w:val="0"/>
              <w:autoSpaceDN w:val="0"/>
              <w:adjustRightInd w:val="0"/>
              <w:spacing w:after="0" w:line="240" w:lineRule="auto"/>
              <w:rPr>
                <w:rFonts w:cs="Times New Roman"/>
                <w:sz w:val="22"/>
              </w:rPr>
            </w:pPr>
          </w:p>
        </w:tc>
        <w:tc>
          <w:tcPr>
            <w:tcW w:w="3357" w:type="dxa"/>
            <w:tcBorders>
              <w:top w:val="nil"/>
              <w:left w:val="nil"/>
              <w:bottom w:val="nil"/>
              <w:right w:val="nil"/>
            </w:tcBorders>
            <w:shd w:val="clear" w:color="auto" w:fill="E7E6E6" w:themeFill="background2"/>
          </w:tcPr>
          <w:p w14:paraId="41106CC3"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r w:rsidRPr="006968CB">
              <w:rPr>
                <w:rFonts w:cs="Times New Roman"/>
                <w:color w:val="000000"/>
                <w:sz w:val="22"/>
              </w:rPr>
              <w:t>Amplitude</w:t>
            </w:r>
          </w:p>
        </w:tc>
        <w:tc>
          <w:tcPr>
            <w:tcW w:w="1061" w:type="dxa"/>
            <w:tcBorders>
              <w:top w:val="nil"/>
              <w:left w:val="nil"/>
              <w:bottom w:val="nil"/>
              <w:right w:val="nil"/>
            </w:tcBorders>
            <w:shd w:val="clear" w:color="auto" w:fill="E7E6E6" w:themeFill="background2"/>
          </w:tcPr>
          <w:p w14:paraId="2E293C06"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88,390</w:t>
            </w:r>
          </w:p>
        </w:tc>
        <w:tc>
          <w:tcPr>
            <w:tcW w:w="1632" w:type="dxa"/>
            <w:gridSpan w:val="2"/>
            <w:tcBorders>
              <w:top w:val="nil"/>
              <w:left w:val="nil"/>
              <w:bottom w:val="nil"/>
              <w:right w:val="nil"/>
            </w:tcBorders>
            <w:shd w:val="clear" w:color="auto" w:fill="E7E6E6" w:themeFill="background2"/>
            <w:vAlign w:val="center"/>
          </w:tcPr>
          <w:p w14:paraId="7EF07B15" w14:textId="77777777" w:rsidR="00846175" w:rsidRPr="006968CB" w:rsidRDefault="00846175" w:rsidP="009C5227">
            <w:pPr>
              <w:autoSpaceDE w:val="0"/>
              <w:autoSpaceDN w:val="0"/>
              <w:adjustRightInd w:val="0"/>
              <w:spacing w:after="0" w:line="240" w:lineRule="auto"/>
              <w:rPr>
                <w:rFonts w:cs="Times New Roman"/>
                <w:sz w:val="22"/>
              </w:rPr>
            </w:pPr>
          </w:p>
        </w:tc>
      </w:tr>
      <w:tr w:rsidR="00846175" w:rsidRPr="00277DAF" w14:paraId="155F01B3" w14:textId="77777777" w:rsidTr="003425E2">
        <w:trPr>
          <w:cantSplit/>
          <w:jc w:val="center"/>
        </w:trPr>
        <w:tc>
          <w:tcPr>
            <w:tcW w:w="2597" w:type="dxa"/>
            <w:vMerge/>
            <w:tcBorders>
              <w:top w:val="single" w:sz="16" w:space="0" w:color="000000"/>
              <w:left w:val="nil"/>
              <w:right w:val="nil"/>
            </w:tcBorders>
            <w:shd w:val="clear" w:color="auto" w:fill="FFFFFF"/>
          </w:tcPr>
          <w:p w14:paraId="4EA3B282" w14:textId="77777777" w:rsidR="00846175" w:rsidRPr="006968CB" w:rsidRDefault="00846175" w:rsidP="009C5227">
            <w:pPr>
              <w:autoSpaceDE w:val="0"/>
              <w:autoSpaceDN w:val="0"/>
              <w:adjustRightInd w:val="0"/>
              <w:spacing w:after="0" w:line="240" w:lineRule="auto"/>
              <w:rPr>
                <w:rFonts w:cs="Times New Roman"/>
                <w:sz w:val="22"/>
              </w:rPr>
            </w:pPr>
          </w:p>
        </w:tc>
        <w:tc>
          <w:tcPr>
            <w:tcW w:w="3357" w:type="dxa"/>
            <w:tcBorders>
              <w:top w:val="nil"/>
              <w:left w:val="nil"/>
              <w:bottom w:val="nil"/>
              <w:right w:val="nil"/>
            </w:tcBorders>
            <w:shd w:val="clear" w:color="auto" w:fill="FFFFFF"/>
          </w:tcPr>
          <w:p w14:paraId="790411DF"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r w:rsidRPr="006968CB">
              <w:rPr>
                <w:rFonts w:cs="Times New Roman"/>
                <w:color w:val="000000"/>
                <w:sz w:val="22"/>
              </w:rPr>
              <w:t>Amplitude interquartil</w:t>
            </w:r>
          </w:p>
        </w:tc>
        <w:tc>
          <w:tcPr>
            <w:tcW w:w="1061" w:type="dxa"/>
            <w:tcBorders>
              <w:top w:val="nil"/>
              <w:left w:val="nil"/>
              <w:bottom w:val="nil"/>
              <w:right w:val="nil"/>
            </w:tcBorders>
            <w:shd w:val="clear" w:color="auto" w:fill="FFFFFF"/>
          </w:tcPr>
          <w:p w14:paraId="2C2E8063"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20,673</w:t>
            </w:r>
          </w:p>
        </w:tc>
        <w:tc>
          <w:tcPr>
            <w:tcW w:w="1632" w:type="dxa"/>
            <w:gridSpan w:val="2"/>
            <w:tcBorders>
              <w:top w:val="nil"/>
              <w:left w:val="nil"/>
              <w:bottom w:val="nil"/>
              <w:right w:val="nil"/>
            </w:tcBorders>
            <w:shd w:val="clear" w:color="auto" w:fill="FFFFFF"/>
            <w:vAlign w:val="center"/>
          </w:tcPr>
          <w:p w14:paraId="0F0030DB" w14:textId="77777777" w:rsidR="00846175" w:rsidRPr="006968CB" w:rsidRDefault="00846175" w:rsidP="009C5227">
            <w:pPr>
              <w:autoSpaceDE w:val="0"/>
              <w:autoSpaceDN w:val="0"/>
              <w:adjustRightInd w:val="0"/>
              <w:spacing w:after="0" w:line="240" w:lineRule="auto"/>
              <w:rPr>
                <w:rFonts w:cs="Times New Roman"/>
                <w:sz w:val="22"/>
              </w:rPr>
            </w:pPr>
          </w:p>
        </w:tc>
      </w:tr>
      <w:tr w:rsidR="00846175" w:rsidRPr="00277DAF" w14:paraId="5F64694E" w14:textId="77777777" w:rsidTr="003425E2">
        <w:trPr>
          <w:cantSplit/>
          <w:jc w:val="center"/>
        </w:trPr>
        <w:tc>
          <w:tcPr>
            <w:tcW w:w="2597" w:type="dxa"/>
            <w:vMerge/>
            <w:tcBorders>
              <w:top w:val="single" w:sz="16" w:space="0" w:color="000000"/>
              <w:left w:val="nil"/>
              <w:right w:val="nil"/>
            </w:tcBorders>
            <w:shd w:val="clear" w:color="auto" w:fill="FFFFFF"/>
          </w:tcPr>
          <w:p w14:paraId="78D0F615" w14:textId="77777777" w:rsidR="00846175" w:rsidRPr="006968CB" w:rsidRDefault="00846175" w:rsidP="009C5227">
            <w:pPr>
              <w:autoSpaceDE w:val="0"/>
              <w:autoSpaceDN w:val="0"/>
              <w:adjustRightInd w:val="0"/>
              <w:spacing w:after="0" w:line="240" w:lineRule="auto"/>
              <w:rPr>
                <w:rFonts w:cs="Times New Roman"/>
                <w:sz w:val="22"/>
              </w:rPr>
            </w:pPr>
          </w:p>
        </w:tc>
        <w:tc>
          <w:tcPr>
            <w:tcW w:w="3357" w:type="dxa"/>
            <w:tcBorders>
              <w:top w:val="nil"/>
              <w:left w:val="nil"/>
              <w:bottom w:val="nil"/>
              <w:right w:val="nil"/>
            </w:tcBorders>
            <w:shd w:val="clear" w:color="auto" w:fill="E7E6E6" w:themeFill="background2"/>
          </w:tcPr>
          <w:p w14:paraId="037D7D77"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r w:rsidRPr="006968CB">
              <w:rPr>
                <w:rFonts w:cs="Times New Roman"/>
                <w:color w:val="000000"/>
                <w:sz w:val="22"/>
              </w:rPr>
              <w:t>Assimetria</w:t>
            </w:r>
          </w:p>
        </w:tc>
        <w:tc>
          <w:tcPr>
            <w:tcW w:w="1061" w:type="dxa"/>
            <w:tcBorders>
              <w:top w:val="nil"/>
              <w:left w:val="nil"/>
              <w:bottom w:val="nil"/>
              <w:right w:val="nil"/>
            </w:tcBorders>
            <w:shd w:val="clear" w:color="auto" w:fill="E7E6E6" w:themeFill="background2"/>
          </w:tcPr>
          <w:p w14:paraId="0042FF33"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0,808</w:t>
            </w:r>
          </w:p>
        </w:tc>
        <w:tc>
          <w:tcPr>
            <w:tcW w:w="1632" w:type="dxa"/>
            <w:gridSpan w:val="2"/>
            <w:tcBorders>
              <w:top w:val="nil"/>
              <w:left w:val="nil"/>
              <w:bottom w:val="nil"/>
              <w:right w:val="nil"/>
            </w:tcBorders>
            <w:shd w:val="clear" w:color="auto" w:fill="E7E6E6" w:themeFill="background2"/>
          </w:tcPr>
          <w:p w14:paraId="2544E726"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0,104</w:t>
            </w:r>
          </w:p>
        </w:tc>
      </w:tr>
      <w:tr w:rsidR="00846175" w:rsidRPr="00277DAF" w14:paraId="1F31B901" w14:textId="77777777" w:rsidTr="003425E2">
        <w:trPr>
          <w:cantSplit/>
          <w:jc w:val="center"/>
        </w:trPr>
        <w:tc>
          <w:tcPr>
            <w:tcW w:w="2597" w:type="dxa"/>
            <w:vMerge/>
            <w:tcBorders>
              <w:top w:val="single" w:sz="16" w:space="0" w:color="000000"/>
              <w:left w:val="nil"/>
              <w:right w:val="nil"/>
            </w:tcBorders>
            <w:shd w:val="clear" w:color="auto" w:fill="FFFFFF"/>
          </w:tcPr>
          <w:p w14:paraId="2A28CF05" w14:textId="77777777" w:rsidR="00846175" w:rsidRPr="006968CB" w:rsidRDefault="00846175" w:rsidP="009C5227">
            <w:pPr>
              <w:autoSpaceDE w:val="0"/>
              <w:autoSpaceDN w:val="0"/>
              <w:adjustRightInd w:val="0"/>
              <w:spacing w:after="0" w:line="240" w:lineRule="auto"/>
              <w:rPr>
                <w:rFonts w:cs="Times New Roman"/>
                <w:color w:val="000000"/>
                <w:sz w:val="22"/>
              </w:rPr>
            </w:pPr>
          </w:p>
        </w:tc>
        <w:tc>
          <w:tcPr>
            <w:tcW w:w="3357" w:type="dxa"/>
            <w:tcBorders>
              <w:top w:val="nil"/>
              <w:left w:val="nil"/>
              <w:bottom w:val="single" w:sz="4" w:space="0" w:color="auto"/>
              <w:right w:val="nil"/>
            </w:tcBorders>
            <w:shd w:val="clear" w:color="auto" w:fill="FFFFFF"/>
          </w:tcPr>
          <w:p w14:paraId="7A9ACC0E"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proofErr w:type="spellStart"/>
            <w:r w:rsidRPr="006968CB">
              <w:rPr>
                <w:rFonts w:cs="Times New Roman"/>
                <w:color w:val="000000"/>
                <w:sz w:val="22"/>
              </w:rPr>
              <w:t>Curtose</w:t>
            </w:r>
            <w:proofErr w:type="spellEnd"/>
          </w:p>
        </w:tc>
        <w:tc>
          <w:tcPr>
            <w:tcW w:w="1061" w:type="dxa"/>
            <w:tcBorders>
              <w:top w:val="nil"/>
              <w:left w:val="nil"/>
              <w:bottom w:val="single" w:sz="4" w:space="0" w:color="auto"/>
              <w:right w:val="nil"/>
            </w:tcBorders>
            <w:shd w:val="clear" w:color="auto" w:fill="FFFFFF"/>
          </w:tcPr>
          <w:p w14:paraId="1F931BBD"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0,370</w:t>
            </w:r>
          </w:p>
        </w:tc>
        <w:tc>
          <w:tcPr>
            <w:tcW w:w="1632" w:type="dxa"/>
            <w:gridSpan w:val="2"/>
            <w:tcBorders>
              <w:top w:val="nil"/>
              <w:left w:val="nil"/>
              <w:bottom w:val="single" w:sz="4" w:space="0" w:color="auto"/>
              <w:right w:val="nil"/>
            </w:tcBorders>
            <w:shd w:val="clear" w:color="auto" w:fill="FFFFFF"/>
          </w:tcPr>
          <w:p w14:paraId="699BF5CD"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0,208</w:t>
            </w:r>
          </w:p>
        </w:tc>
      </w:tr>
      <w:tr w:rsidR="00846175" w:rsidRPr="00277DAF" w14:paraId="57BD8C01" w14:textId="77777777" w:rsidTr="003425E2">
        <w:trPr>
          <w:cantSplit/>
          <w:jc w:val="center"/>
        </w:trPr>
        <w:tc>
          <w:tcPr>
            <w:tcW w:w="2597" w:type="dxa"/>
            <w:vMerge w:val="restart"/>
            <w:tcBorders>
              <w:top w:val="nil"/>
              <w:left w:val="nil"/>
              <w:bottom w:val="double" w:sz="8" w:space="0" w:color="000000"/>
              <w:right w:val="nil"/>
            </w:tcBorders>
            <w:shd w:val="clear" w:color="auto" w:fill="FFFFFF"/>
          </w:tcPr>
          <w:p w14:paraId="519314AF"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r>
              <w:rPr>
                <w:rFonts w:cs="Times New Roman"/>
                <w:color w:val="000000"/>
                <w:sz w:val="22"/>
              </w:rPr>
              <w:t>P</w:t>
            </w:r>
            <w:r w:rsidRPr="006968CB">
              <w:rPr>
                <w:rFonts w:cs="Times New Roman"/>
                <w:color w:val="000000"/>
                <w:sz w:val="22"/>
              </w:rPr>
              <w:t>artido político de esquerda</w:t>
            </w:r>
          </w:p>
        </w:tc>
        <w:tc>
          <w:tcPr>
            <w:tcW w:w="3357" w:type="dxa"/>
            <w:tcBorders>
              <w:top w:val="single" w:sz="4" w:space="0" w:color="auto"/>
              <w:left w:val="nil"/>
              <w:bottom w:val="nil"/>
              <w:right w:val="nil"/>
            </w:tcBorders>
            <w:shd w:val="clear" w:color="auto" w:fill="FFFFFF"/>
          </w:tcPr>
          <w:p w14:paraId="128D55B1"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r w:rsidRPr="006968CB">
              <w:rPr>
                <w:rFonts w:cs="Times New Roman"/>
                <w:color w:val="000000"/>
                <w:sz w:val="22"/>
              </w:rPr>
              <w:t>N=992</w:t>
            </w:r>
          </w:p>
        </w:tc>
        <w:tc>
          <w:tcPr>
            <w:tcW w:w="1061" w:type="dxa"/>
            <w:tcBorders>
              <w:top w:val="single" w:sz="4" w:space="0" w:color="auto"/>
              <w:left w:val="nil"/>
              <w:bottom w:val="nil"/>
              <w:right w:val="nil"/>
            </w:tcBorders>
            <w:shd w:val="clear" w:color="auto" w:fill="FFFFFF"/>
          </w:tcPr>
          <w:p w14:paraId="531D3227"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p>
        </w:tc>
        <w:tc>
          <w:tcPr>
            <w:tcW w:w="1632" w:type="dxa"/>
            <w:gridSpan w:val="2"/>
            <w:tcBorders>
              <w:top w:val="single" w:sz="4" w:space="0" w:color="auto"/>
              <w:left w:val="nil"/>
              <w:bottom w:val="nil"/>
              <w:right w:val="nil"/>
            </w:tcBorders>
            <w:shd w:val="clear" w:color="auto" w:fill="FFFFFF"/>
          </w:tcPr>
          <w:p w14:paraId="2219ED9E"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p>
        </w:tc>
      </w:tr>
      <w:tr w:rsidR="00846175" w:rsidRPr="00277DAF" w14:paraId="643188BD" w14:textId="77777777" w:rsidTr="003425E2">
        <w:trPr>
          <w:cantSplit/>
          <w:jc w:val="center"/>
        </w:trPr>
        <w:tc>
          <w:tcPr>
            <w:tcW w:w="2597" w:type="dxa"/>
            <w:vMerge/>
            <w:tcBorders>
              <w:top w:val="nil"/>
              <w:left w:val="nil"/>
              <w:bottom w:val="double" w:sz="8" w:space="0" w:color="000000"/>
              <w:right w:val="nil"/>
            </w:tcBorders>
            <w:shd w:val="clear" w:color="auto" w:fill="FFFFFF"/>
          </w:tcPr>
          <w:p w14:paraId="1DB0F8C1"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p>
        </w:tc>
        <w:tc>
          <w:tcPr>
            <w:tcW w:w="3357" w:type="dxa"/>
            <w:tcBorders>
              <w:top w:val="nil"/>
              <w:left w:val="nil"/>
              <w:bottom w:val="nil"/>
              <w:right w:val="nil"/>
            </w:tcBorders>
            <w:shd w:val="clear" w:color="auto" w:fill="E7E6E6" w:themeFill="background2"/>
          </w:tcPr>
          <w:p w14:paraId="2943B74B"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r w:rsidRPr="006968CB">
              <w:rPr>
                <w:rFonts w:cs="Times New Roman"/>
                <w:color w:val="000000"/>
                <w:sz w:val="22"/>
              </w:rPr>
              <w:t>Média</w:t>
            </w:r>
          </w:p>
        </w:tc>
        <w:tc>
          <w:tcPr>
            <w:tcW w:w="1061" w:type="dxa"/>
            <w:tcBorders>
              <w:top w:val="nil"/>
              <w:left w:val="nil"/>
              <w:bottom w:val="nil"/>
              <w:right w:val="nil"/>
            </w:tcBorders>
            <w:shd w:val="clear" w:color="auto" w:fill="E7E6E6" w:themeFill="background2"/>
          </w:tcPr>
          <w:p w14:paraId="25DB6E0C"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43,194</w:t>
            </w:r>
          </w:p>
        </w:tc>
        <w:tc>
          <w:tcPr>
            <w:tcW w:w="1632" w:type="dxa"/>
            <w:gridSpan w:val="2"/>
            <w:tcBorders>
              <w:top w:val="nil"/>
              <w:left w:val="nil"/>
              <w:bottom w:val="nil"/>
              <w:right w:val="nil"/>
            </w:tcBorders>
            <w:shd w:val="clear" w:color="auto" w:fill="E7E6E6" w:themeFill="background2"/>
          </w:tcPr>
          <w:p w14:paraId="6E1985DE"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0,57662</w:t>
            </w:r>
          </w:p>
        </w:tc>
      </w:tr>
      <w:tr w:rsidR="00846175" w:rsidRPr="00277DAF" w14:paraId="48D6A71C" w14:textId="77777777" w:rsidTr="003425E2">
        <w:trPr>
          <w:cantSplit/>
          <w:jc w:val="center"/>
        </w:trPr>
        <w:tc>
          <w:tcPr>
            <w:tcW w:w="2597" w:type="dxa"/>
            <w:vMerge/>
            <w:tcBorders>
              <w:top w:val="nil"/>
              <w:left w:val="nil"/>
              <w:bottom w:val="double" w:sz="8" w:space="0" w:color="000000"/>
              <w:right w:val="nil"/>
            </w:tcBorders>
            <w:shd w:val="clear" w:color="auto" w:fill="FFFFFF"/>
          </w:tcPr>
          <w:p w14:paraId="26A56726" w14:textId="77777777" w:rsidR="00846175" w:rsidRPr="006968CB" w:rsidRDefault="00846175" w:rsidP="009C5227">
            <w:pPr>
              <w:autoSpaceDE w:val="0"/>
              <w:autoSpaceDN w:val="0"/>
              <w:adjustRightInd w:val="0"/>
              <w:spacing w:after="0" w:line="240" w:lineRule="auto"/>
              <w:rPr>
                <w:rFonts w:cs="Times New Roman"/>
                <w:sz w:val="22"/>
              </w:rPr>
            </w:pPr>
          </w:p>
        </w:tc>
        <w:tc>
          <w:tcPr>
            <w:tcW w:w="3357" w:type="dxa"/>
            <w:tcBorders>
              <w:top w:val="nil"/>
              <w:left w:val="nil"/>
              <w:bottom w:val="nil"/>
              <w:right w:val="nil"/>
            </w:tcBorders>
            <w:shd w:val="clear" w:color="auto" w:fill="FFFFFF"/>
          </w:tcPr>
          <w:p w14:paraId="3272F18D"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r w:rsidRPr="006968CB">
              <w:rPr>
                <w:rFonts w:cs="Times New Roman"/>
                <w:color w:val="000000"/>
                <w:sz w:val="22"/>
              </w:rPr>
              <w:t>Mediana</w:t>
            </w:r>
          </w:p>
        </w:tc>
        <w:tc>
          <w:tcPr>
            <w:tcW w:w="1061" w:type="dxa"/>
            <w:tcBorders>
              <w:top w:val="nil"/>
              <w:left w:val="nil"/>
              <w:bottom w:val="nil"/>
              <w:right w:val="nil"/>
            </w:tcBorders>
            <w:shd w:val="clear" w:color="auto" w:fill="FFFFFF"/>
          </w:tcPr>
          <w:p w14:paraId="7EA97267"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39,970</w:t>
            </w:r>
          </w:p>
        </w:tc>
        <w:tc>
          <w:tcPr>
            <w:tcW w:w="1632" w:type="dxa"/>
            <w:gridSpan w:val="2"/>
            <w:tcBorders>
              <w:top w:val="nil"/>
              <w:left w:val="nil"/>
              <w:bottom w:val="nil"/>
              <w:right w:val="nil"/>
            </w:tcBorders>
            <w:shd w:val="clear" w:color="auto" w:fill="FFFFFF"/>
            <w:vAlign w:val="center"/>
          </w:tcPr>
          <w:p w14:paraId="4596E4DC" w14:textId="77777777" w:rsidR="00846175" w:rsidRPr="006968CB" w:rsidRDefault="00846175" w:rsidP="009C5227">
            <w:pPr>
              <w:autoSpaceDE w:val="0"/>
              <w:autoSpaceDN w:val="0"/>
              <w:adjustRightInd w:val="0"/>
              <w:spacing w:after="0" w:line="240" w:lineRule="auto"/>
              <w:rPr>
                <w:rFonts w:cs="Times New Roman"/>
                <w:sz w:val="22"/>
              </w:rPr>
            </w:pPr>
          </w:p>
        </w:tc>
      </w:tr>
      <w:tr w:rsidR="00846175" w:rsidRPr="00277DAF" w14:paraId="20CFBCE4" w14:textId="77777777" w:rsidTr="003425E2">
        <w:trPr>
          <w:cantSplit/>
          <w:jc w:val="center"/>
        </w:trPr>
        <w:tc>
          <w:tcPr>
            <w:tcW w:w="2597" w:type="dxa"/>
            <w:vMerge/>
            <w:tcBorders>
              <w:top w:val="nil"/>
              <w:left w:val="nil"/>
              <w:bottom w:val="double" w:sz="8" w:space="0" w:color="000000"/>
              <w:right w:val="nil"/>
            </w:tcBorders>
            <w:shd w:val="clear" w:color="auto" w:fill="FFFFFF"/>
          </w:tcPr>
          <w:p w14:paraId="6DD5B92E" w14:textId="77777777" w:rsidR="00846175" w:rsidRPr="006968CB" w:rsidRDefault="00846175" w:rsidP="009C5227">
            <w:pPr>
              <w:autoSpaceDE w:val="0"/>
              <w:autoSpaceDN w:val="0"/>
              <w:adjustRightInd w:val="0"/>
              <w:spacing w:after="0" w:line="240" w:lineRule="auto"/>
              <w:rPr>
                <w:rFonts w:cs="Times New Roman"/>
                <w:sz w:val="22"/>
              </w:rPr>
            </w:pPr>
          </w:p>
        </w:tc>
        <w:tc>
          <w:tcPr>
            <w:tcW w:w="3357" w:type="dxa"/>
            <w:tcBorders>
              <w:top w:val="nil"/>
              <w:left w:val="nil"/>
              <w:bottom w:val="nil"/>
              <w:right w:val="nil"/>
            </w:tcBorders>
            <w:shd w:val="clear" w:color="auto" w:fill="E7E6E6" w:themeFill="background2"/>
          </w:tcPr>
          <w:p w14:paraId="3B2E1C03"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r w:rsidRPr="006968CB">
              <w:rPr>
                <w:rFonts w:cs="Times New Roman"/>
                <w:color w:val="000000"/>
                <w:sz w:val="22"/>
              </w:rPr>
              <w:t>Variância</w:t>
            </w:r>
          </w:p>
        </w:tc>
        <w:tc>
          <w:tcPr>
            <w:tcW w:w="1061" w:type="dxa"/>
            <w:tcBorders>
              <w:top w:val="nil"/>
              <w:left w:val="nil"/>
              <w:bottom w:val="nil"/>
              <w:right w:val="nil"/>
            </w:tcBorders>
            <w:shd w:val="clear" w:color="auto" w:fill="E7E6E6" w:themeFill="background2"/>
          </w:tcPr>
          <w:p w14:paraId="72F57421"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329,834</w:t>
            </w:r>
          </w:p>
        </w:tc>
        <w:tc>
          <w:tcPr>
            <w:tcW w:w="1632" w:type="dxa"/>
            <w:gridSpan w:val="2"/>
            <w:tcBorders>
              <w:top w:val="nil"/>
              <w:left w:val="nil"/>
              <w:bottom w:val="nil"/>
              <w:right w:val="nil"/>
            </w:tcBorders>
            <w:shd w:val="clear" w:color="auto" w:fill="E7E6E6" w:themeFill="background2"/>
            <w:vAlign w:val="center"/>
          </w:tcPr>
          <w:p w14:paraId="4D751C69" w14:textId="77777777" w:rsidR="00846175" w:rsidRPr="006968CB" w:rsidRDefault="00846175" w:rsidP="009C5227">
            <w:pPr>
              <w:autoSpaceDE w:val="0"/>
              <w:autoSpaceDN w:val="0"/>
              <w:adjustRightInd w:val="0"/>
              <w:spacing w:after="0" w:line="240" w:lineRule="auto"/>
              <w:rPr>
                <w:rFonts w:cs="Times New Roman"/>
                <w:sz w:val="22"/>
              </w:rPr>
            </w:pPr>
          </w:p>
        </w:tc>
      </w:tr>
      <w:tr w:rsidR="00846175" w:rsidRPr="00277DAF" w14:paraId="6A45D5A9" w14:textId="77777777" w:rsidTr="003425E2">
        <w:trPr>
          <w:cantSplit/>
          <w:jc w:val="center"/>
        </w:trPr>
        <w:tc>
          <w:tcPr>
            <w:tcW w:w="2597" w:type="dxa"/>
            <w:vMerge/>
            <w:tcBorders>
              <w:top w:val="nil"/>
              <w:left w:val="nil"/>
              <w:bottom w:val="double" w:sz="8" w:space="0" w:color="000000"/>
              <w:right w:val="nil"/>
            </w:tcBorders>
            <w:shd w:val="clear" w:color="auto" w:fill="FFFFFF"/>
          </w:tcPr>
          <w:p w14:paraId="5C8E3B03" w14:textId="77777777" w:rsidR="00846175" w:rsidRPr="006968CB" w:rsidRDefault="00846175" w:rsidP="009C5227">
            <w:pPr>
              <w:autoSpaceDE w:val="0"/>
              <w:autoSpaceDN w:val="0"/>
              <w:adjustRightInd w:val="0"/>
              <w:spacing w:after="0" w:line="240" w:lineRule="auto"/>
              <w:rPr>
                <w:rFonts w:cs="Times New Roman"/>
                <w:sz w:val="22"/>
              </w:rPr>
            </w:pPr>
          </w:p>
        </w:tc>
        <w:tc>
          <w:tcPr>
            <w:tcW w:w="3357" w:type="dxa"/>
            <w:tcBorders>
              <w:top w:val="nil"/>
              <w:left w:val="nil"/>
              <w:bottom w:val="nil"/>
              <w:right w:val="nil"/>
            </w:tcBorders>
            <w:shd w:val="clear" w:color="auto" w:fill="FFFFFF"/>
          </w:tcPr>
          <w:p w14:paraId="577AC72B"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r w:rsidRPr="006968CB">
              <w:rPr>
                <w:rFonts w:cs="Times New Roman"/>
                <w:color w:val="000000"/>
                <w:sz w:val="22"/>
              </w:rPr>
              <w:t>Erro Padrão</w:t>
            </w:r>
          </w:p>
        </w:tc>
        <w:tc>
          <w:tcPr>
            <w:tcW w:w="1061" w:type="dxa"/>
            <w:tcBorders>
              <w:top w:val="nil"/>
              <w:left w:val="nil"/>
              <w:bottom w:val="nil"/>
              <w:right w:val="nil"/>
            </w:tcBorders>
            <w:shd w:val="clear" w:color="auto" w:fill="FFFFFF"/>
          </w:tcPr>
          <w:p w14:paraId="1C3797BD"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18,161</w:t>
            </w:r>
          </w:p>
        </w:tc>
        <w:tc>
          <w:tcPr>
            <w:tcW w:w="1632" w:type="dxa"/>
            <w:gridSpan w:val="2"/>
            <w:tcBorders>
              <w:top w:val="nil"/>
              <w:left w:val="nil"/>
              <w:bottom w:val="nil"/>
              <w:right w:val="nil"/>
            </w:tcBorders>
            <w:shd w:val="clear" w:color="auto" w:fill="FFFFFF"/>
            <w:vAlign w:val="center"/>
          </w:tcPr>
          <w:p w14:paraId="1BC4DC58" w14:textId="77777777" w:rsidR="00846175" w:rsidRPr="006968CB" w:rsidRDefault="00846175" w:rsidP="009C5227">
            <w:pPr>
              <w:autoSpaceDE w:val="0"/>
              <w:autoSpaceDN w:val="0"/>
              <w:adjustRightInd w:val="0"/>
              <w:spacing w:after="0" w:line="240" w:lineRule="auto"/>
              <w:rPr>
                <w:rFonts w:cs="Times New Roman"/>
                <w:sz w:val="22"/>
              </w:rPr>
            </w:pPr>
          </w:p>
        </w:tc>
      </w:tr>
      <w:tr w:rsidR="00846175" w:rsidRPr="00277DAF" w14:paraId="6EF86AC7" w14:textId="77777777" w:rsidTr="003425E2">
        <w:trPr>
          <w:cantSplit/>
          <w:jc w:val="center"/>
        </w:trPr>
        <w:tc>
          <w:tcPr>
            <w:tcW w:w="2597" w:type="dxa"/>
            <w:vMerge/>
            <w:tcBorders>
              <w:top w:val="nil"/>
              <w:left w:val="nil"/>
              <w:bottom w:val="double" w:sz="8" w:space="0" w:color="000000"/>
              <w:right w:val="nil"/>
            </w:tcBorders>
            <w:shd w:val="clear" w:color="auto" w:fill="FFFFFF"/>
          </w:tcPr>
          <w:p w14:paraId="1422AF5B" w14:textId="77777777" w:rsidR="00846175" w:rsidRPr="006968CB" w:rsidRDefault="00846175" w:rsidP="009C5227">
            <w:pPr>
              <w:autoSpaceDE w:val="0"/>
              <w:autoSpaceDN w:val="0"/>
              <w:adjustRightInd w:val="0"/>
              <w:spacing w:after="0" w:line="240" w:lineRule="auto"/>
              <w:rPr>
                <w:rFonts w:cs="Times New Roman"/>
                <w:sz w:val="22"/>
              </w:rPr>
            </w:pPr>
          </w:p>
        </w:tc>
        <w:tc>
          <w:tcPr>
            <w:tcW w:w="3357" w:type="dxa"/>
            <w:tcBorders>
              <w:top w:val="nil"/>
              <w:left w:val="nil"/>
              <w:bottom w:val="nil"/>
              <w:right w:val="nil"/>
            </w:tcBorders>
            <w:shd w:val="clear" w:color="auto" w:fill="E7E6E6" w:themeFill="background2"/>
          </w:tcPr>
          <w:p w14:paraId="11ADEC4F"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r w:rsidRPr="006968CB">
              <w:rPr>
                <w:rFonts w:cs="Times New Roman"/>
                <w:color w:val="000000"/>
                <w:sz w:val="22"/>
              </w:rPr>
              <w:t>Mínimo</w:t>
            </w:r>
          </w:p>
        </w:tc>
        <w:tc>
          <w:tcPr>
            <w:tcW w:w="1061" w:type="dxa"/>
            <w:tcBorders>
              <w:top w:val="nil"/>
              <w:left w:val="nil"/>
              <w:bottom w:val="nil"/>
              <w:right w:val="nil"/>
            </w:tcBorders>
            <w:shd w:val="clear" w:color="auto" w:fill="E7E6E6" w:themeFill="background2"/>
          </w:tcPr>
          <w:p w14:paraId="584F59A8"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0,824</w:t>
            </w:r>
          </w:p>
        </w:tc>
        <w:tc>
          <w:tcPr>
            <w:tcW w:w="1632" w:type="dxa"/>
            <w:gridSpan w:val="2"/>
            <w:tcBorders>
              <w:top w:val="nil"/>
              <w:left w:val="nil"/>
              <w:bottom w:val="nil"/>
              <w:right w:val="nil"/>
            </w:tcBorders>
            <w:shd w:val="clear" w:color="auto" w:fill="E7E6E6" w:themeFill="background2"/>
            <w:vAlign w:val="center"/>
          </w:tcPr>
          <w:p w14:paraId="772F5C64" w14:textId="77777777" w:rsidR="00846175" w:rsidRPr="006968CB" w:rsidRDefault="00846175" w:rsidP="009C5227">
            <w:pPr>
              <w:autoSpaceDE w:val="0"/>
              <w:autoSpaceDN w:val="0"/>
              <w:adjustRightInd w:val="0"/>
              <w:spacing w:after="0" w:line="240" w:lineRule="auto"/>
              <w:rPr>
                <w:rFonts w:cs="Times New Roman"/>
                <w:sz w:val="22"/>
              </w:rPr>
            </w:pPr>
          </w:p>
        </w:tc>
      </w:tr>
      <w:tr w:rsidR="00846175" w:rsidRPr="00277DAF" w14:paraId="207199C1" w14:textId="77777777" w:rsidTr="003425E2">
        <w:trPr>
          <w:cantSplit/>
          <w:jc w:val="center"/>
        </w:trPr>
        <w:tc>
          <w:tcPr>
            <w:tcW w:w="2597" w:type="dxa"/>
            <w:vMerge/>
            <w:tcBorders>
              <w:top w:val="nil"/>
              <w:left w:val="nil"/>
              <w:bottom w:val="double" w:sz="8" w:space="0" w:color="000000"/>
              <w:right w:val="nil"/>
            </w:tcBorders>
            <w:shd w:val="clear" w:color="auto" w:fill="FFFFFF"/>
          </w:tcPr>
          <w:p w14:paraId="4B253746" w14:textId="77777777" w:rsidR="00846175" w:rsidRPr="006968CB" w:rsidRDefault="00846175" w:rsidP="009C5227">
            <w:pPr>
              <w:autoSpaceDE w:val="0"/>
              <w:autoSpaceDN w:val="0"/>
              <w:adjustRightInd w:val="0"/>
              <w:spacing w:after="0" w:line="240" w:lineRule="auto"/>
              <w:rPr>
                <w:rFonts w:cs="Times New Roman"/>
                <w:sz w:val="22"/>
              </w:rPr>
            </w:pPr>
          </w:p>
        </w:tc>
        <w:tc>
          <w:tcPr>
            <w:tcW w:w="3357" w:type="dxa"/>
            <w:tcBorders>
              <w:top w:val="nil"/>
              <w:left w:val="nil"/>
              <w:bottom w:val="nil"/>
              <w:right w:val="nil"/>
            </w:tcBorders>
            <w:shd w:val="clear" w:color="auto" w:fill="FFFFFF"/>
          </w:tcPr>
          <w:p w14:paraId="6DC65051"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r w:rsidRPr="006968CB">
              <w:rPr>
                <w:rFonts w:cs="Times New Roman"/>
                <w:color w:val="000000"/>
                <w:sz w:val="22"/>
              </w:rPr>
              <w:t>Máximo</w:t>
            </w:r>
          </w:p>
        </w:tc>
        <w:tc>
          <w:tcPr>
            <w:tcW w:w="1061" w:type="dxa"/>
            <w:tcBorders>
              <w:top w:val="nil"/>
              <w:left w:val="nil"/>
              <w:bottom w:val="nil"/>
              <w:right w:val="nil"/>
            </w:tcBorders>
            <w:shd w:val="clear" w:color="auto" w:fill="FFFFFF"/>
          </w:tcPr>
          <w:p w14:paraId="6C043619"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100,000</w:t>
            </w:r>
          </w:p>
        </w:tc>
        <w:tc>
          <w:tcPr>
            <w:tcW w:w="1632" w:type="dxa"/>
            <w:gridSpan w:val="2"/>
            <w:tcBorders>
              <w:top w:val="nil"/>
              <w:left w:val="nil"/>
              <w:bottom w:val="nil"/>
              <w:right w:val="nil"/>
            </w:tcBorders>
            <w:shd w:val="clear" w:color="auto" w:fill="FFFFFF"/>
            <w:vAlign w:val="center"/>
          </w:tcPr>
          <w:p w14:paraId="789C54E4" w14:textId="77777777" w:rsidR="00846175" w:rsidRPr="006968CB" w:rsidRDefault="00846175" w:rsidP="009C5227">
            <w:pPr>
              <w:autoSpaceDE w:val="0"/>
              <w:autoSpaceDN w:val="0"/>
              <w:adjustRightInd w:val="0"/>
              <w:spacing w:after="0" w:line="240" w:lineRule="auto"/>
              <w:rPr>
                <w:rFonts w:cs="Times New Roman"/>
                <w:sz w:val="22"/>
              </w:rPr>
            </w:pPr>
          </w:p>
        </w:tc>
      </w:tr>
      <w:tr w:rsidR="00846175" w:rsidRPr="00277DAF" w14:paraId="17C37D5A" w14:textId="77777777" w:rsidTr="003425E2">
        <w:trPr>
          <w:cantSplit/>
          <w:jc w:val="center"/>
        </w:trPr>
        <w:tc>
          <w:tcPr>
            <w:tcW w:w="2597" w:type="dxa"/>
            <w:vMerge/>
            <w:tcBorders>
              <w:top w:val="nil"/>
              <w:left w:val="nil"/>
              <w:bottom w:val="double" w:sz="8" w:space="0" w:color="000000"/>
              <w:right w:val="nil"/>
            </w:tcBorders>
            <w:shd w:val="clear" w:color="auto" w:fill="FFFFFF"/>
          </w:tcPr>
          <w:p w14:paraId="41243C62" w14:textId="77777777" w:rsidR="00846175" w:rsidRPr="006968CB" w:rsidRDefault="00846175" w:rsidP="009C5227">
            <w:pPr>
              <w:autoSpaceDE w:val="0"/>
              <w:autoSpaceDN w:val="0"/>
              <w:adjustRightInd w:val="0"/>
              <w:spacing w:after="0" w:line="240" w:lineRule="auto"/>
              <w:rPr>
                <w:rFonts w:cs="Times New Roman"/>
                <w:sz w:val="22"/>
              </w:rPr>
            </w:pPr>
          </w:p>
        </w:tc>
        <w:tc>
          <w:tcPr>
            <w:tcW w:w="3357" w:type="dxa"/>
            <w:tcBorders>
              <w:top w:val="nil"/>
              <w:left w:val="nil"/>
              <w:bottom w:val="nil"/>
              <w:right w:val="nil"/>
            </w:tcBorders>
            <w:shd w:val="clear" w:color="auto" w:fill="E7E6E6" w:themeFill="background2"/>
          </w:tcPr>
          <w:p w14:paraId="262D4914"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r w:rsidRPr="006968CB">
              <w:rPr>
                <w:rFonts w:cs="Times New Roman"/>
                <w:color w:val="000000"/>
                <w:sz w:val="22"/>
              </w:rPr>
              <w:t>Amplitude</w:t>
            </w:r>
          </w:p>
        </w:tc>
        <w:tc>
          <w:tcPr>
            <w:tcW w:w="1061" w:type="dxa"/>
            <w:tcBorders>
              <w:top w:val="nil"/>
              <w:left w:val="nil"/>
              <w:bottom w:val="nil"/>
              <w:right w:val="nil"/>
            </w:tcBorders>
            <w:shd w:val="clear" w:color="auto" w:fill="E7E6E6" w:themeFill="background2"/>
          </w:tcPr>
          <w:p w14:paraId="32595710"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99,176</w:t>
            </w:r>
          </w:p>
        </w:tc>
        <w:tc>
          <w:tcPr>
            <w:tcW w:w="1632" w:type="dxa"/>
            <w:gridSpan w:val="2"/>
            <w:tcBorders>
              <w:top w:val="nil"/>
              <w:left w:val="nil"/>
              <w:bottom w:val="nil"/>
              <w:right w:val="nil"/>
            </w:tcBorders>
            <w:shd w:val="clear" w:color="auto" w:fill="E7E6E6" w:themeFill="background2"/>
            <w:vAlign w:val="center"/>
          </w:tcPr>
          <w:p w14:paraId="286DCFA4" w14:textId="77777777" w:rsidR="00846175" w:rsidRPr="006968CB" w:rsidRDefault="00846175" w:rsidP="009C5227">
            <w:pPr>
              <w:autoSpaceDE w:val="0"/>
              <w:autoSpaceDN w:val="0"/>
              <w:adjustRightInd w:val="0"/>
              <w:spacing w:after="0" w:line="240" w:lineRule="auto"/>
              <w:rPr>
                <w:rFonts w:cs="Times New Roman"/>
                <w:sz w:val="22"/>
              </w:rPr>
            </w:pPr>
          </w:p>
        </w:tc>
      </w:tr>
      <w:tr w:rsidR="00846175" w:rsidRPr="00277DAF" w14:paraId="600DBBD9" w14:textId="77777777" w:rsidTr="003425E2">
        <w:trPr>
          <w:cantSplit/>
          <w:jc w:val="center"/>
        </w:trPr>
        <w:tc>
          <w:tcPr>
            <w:tcW w:w="2597" w:type="dxa"/>
            <w:vMerge/>
            <w:tcBorders>
              <w:top w:val="nil"/>
              <w:left w:val="nil"/>
              <w:bottom w:val="double" w:sz="8" w:space="0" w:color="000000"/>
              <w:right w:val="nil"/>
            </w:tcBorders>
            <w:shd w:val="clear" w:color="auto" w:fill="FFFFFF"/>
          </w:tcPr>
          <w:p w14:paraId="41ACB711" w14:textId="77777777" w:rsidR="00846175" w:rsidRPr="006968CB" w:rsidRDefault="00846175" w:rsidP="009C5227">
            <w:pPr>
              <w:autoSpaceDE w:val="0"/>
              <w:autoSpaceDN w:val="0"/>
              <w:adjustRightInd w:val="0"/>
              <w:spacing w:after="0" w:line="240" w:lineRule="auto"/>
              <w:rPr>
                <w:rFonts w:cs="Times New Roman"/>
                <w:sz w:val="22"/>
              </w:rPr>
            </w:pPr>
          </w:p>
        </w:tc>
        <w:tc>
          <w:tcPr>
            <w:tcW w:w="3357" w:type="dxa"/>
            <w:tcBorders>
              <w:top w:val="nil"/>
              <w:left w:val="nil"/>
              <w:bottom w:val="nil"/>
              <w:right w:val="nil"/>
            </w:tcBorders>
            <w:shd w:val="clear" w:color="auto" w:fill="FFFFFF"/>
          </w:tcPr>
          <w:p w14:paraId="19F7EB0F"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r w:rsidRPr="006968CB">
              <w:rPr>
                <w:rFonts w:cs="Times New Roman"/>
                <w:color w:val="000000"/>
                <w:sz w:val="22"/>
              </w:rPr>
              <w:t>Amplitude interquartil</w:t>
            </w:r>
          </w:p>
        </w:tc>
        <w:tc>
          <w:tcPr>
            <w:tcW w:w="1061" w:type="dxa"/>
            <w:tcBorders>
              <w:top w:val="nil"/>
              <w:left w:val="nil"/>
              <w:bottom w:val="nil"/>
              <w:right w:val="nil"/>
            </w:tcBorders>
            <w:shd w:val="clear" w:color="auto" w:fill="FFFFFF"/>
          </w:tcPr>
          <w:p w14:paraId="570156CB"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22,569</w:t>
            </w:r>
          </w:p>
        </w:tc>
        <w:tc>
          <w:tcPr>
            <w:tcW w:w="1632" w:type="dxa"/>
            <w:gridSpan w:val="2"/>
            <w:tcBorders>
              <w:top w:val="nil"/>
              <w:left w:val="nil"/>
              <w:bottom w:val="nil"/>
              <w:right w:val="nil"/>
            </w:tcBorders>
            <w:shd w:val="clear" w:color="auto" w:fill="FFFFFF"/>
            <w:vAlign w:val="center"/>
          </w:tcPr>
          <w:p w14:paraId="696B9A5C" w14:textId="77777777" w:rsidR="00846175" w:rsidRPr="006968CB" w:rsidRDefault="00846175" w:rsidP="009C5227">
            <w:pPr>
              <w:autoSpaceDE w:val="0"/>
              <w:autoSpaceDN w:val="0"/>
              <w:adjustRightInd w:val="0"/>
              <w:spacing w:after="0" w:line="240" w:lineRule="auto"/>
              <w:rPr>
                <w:rFonts w:cs="Times New Roman"/>
                <w:sz w:val="22"/>
              </w:rPr>
            </w:pPr>
          </w:p>
        </w:tc>
      </w:tr>
      <w:tr w:rsidR="00846175" w:rsidRPr="00277DAF" w14:paraId="5FCEF0D9" w14:textId="77777777" w:rsidTr="003425E2">
        <w:trPr>
          <w:cantSplit/>
          <w:jc w:val="center"/>
        </w:trPr>
        <w:tc>
          <w:tcPr>
            <w:tcW w:w="2597" w:type="dxa"/>
            <w:vMerge/>
            <w:tcBorders>
              <w:top w:val="nil"/>
              <w:left w:val="nil"/>
              <w:bottom w:val="double" w:sz="8" w:space="0" w:color="000000"/>
              <w:right w:val="nil"/>
            </w:tcBorders>
            <w:shd w:val="clear" w:color="auto" w:fill="FFFFFF"/>
          </w:tcPr>
          <w:p w14:paraId="09EC5A6A" w14:textId="77777777" w:rsidR="00846175" w:rsidRPr="006968CB" w:rsidRDefault="00846175" w:rsidP="009C5227">
            <w:pPr>
              <w:autoSpaceDE w:val="0"/>
              <w:autoSpaceDN w:val="0"/>
              <w:adjustRightInd w:val="0"/>
              <w:spacing w:after="0" w:line="240" w:lineRule="auto"/>
              <w:rPr>
                <w:rFonts w:cs="Times New Roman"/>
                <w:sz w:val="22"/>
              </w:rPr>
            </w:pPr>
          </w:p>
        </w:tc>
        <w:tc>
          <w:tcPr>
            <w:tcW w:w="3357" w:type="dxa"/>
            <w:tcBorders>
              <w:top w:val="nil"/>
              <w:left w:val="nil"/>
              <w:bottom w:val="nil"/>
              <w:right w:val="nil"/>
            </w:tcBorders>
            <w:shd w:val="clear" w:color="auto" w:fill="E7E6E6" w:themeFill="background2"/>
          </w:tcPr>
          <w:p w14:paraId="4B553B2C"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r w:rsidRPr="006968CB">
              <w:rPr>
                <w:rFonts w:cs="Times New Roman"/>
                <w:color w:val="000000"/>
                <w:sz w:val="22"/>
              </w:rPr>
              <w:t>Assimetria</w:t>
            </w:r>
          </w:p>
        </w:tc>
        <w:tc>
          <w:tcPr>
            <w:tcW w:w="1061" w:type="dxa"/>
            <w:tcBorders>
              <w:top w:val="nil"/>
              <w:left w:val="nil"/>
              <w:bottom w:val="nil"/>
              <w:right w:val="nil"/>
            </w:tcBorders>
            <w:shd w:val="clear" w:color="auto" w:fill="E7E6E6" w:themeFill="background2"/>
          </w:tcPr>
          <w:p w14:paraId="1FCBD656"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0,710</w:t>
            </w:r>
          </w:p>
        </w:tc>
        <w:tc>
          <w:tcPr>
            <w:tcW w:w="1632" w:type="dxa"/>
            <w:gridSpan w:val="2"/>
            <w:tcBorders>
              <w:top w:val="nil"/>
              <w:left w:val="nil"/>
              <w:bottom w:val="nil"/>
              <w:right w:val="nil"/>
            </w:tcBorders>
            <w:shd w:val="clear" w:color="auto" w:fill="E7E6E6" w:themeFill="background2"/>
          </w:tcPr>
          <w:p w14:paraId="69EA626D"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0,078</w:t>
            </w:r>
          </w:p>
        </w:tc>
      </w:tr>
      <w:tr w:rsidR="00846175" w:rsidRPr="00277DAF" w14:paraId="07F82A7C" w14:textId="77777777" w:rsidTr="003425E2">
        <w:trPr>
          <w:cantSplit/>
          <w:jc w:val="center"/>
        </w:trPr>
        <w:tc>
          <w:tcPr>
            <w:tcW w:w="2597" w:type="dxa"/>
            <w:vMerge/>
            <w:tcBorders>
              <w:top w:val="nil"/>
              <w:left w:val="nil"/>
              <w:bottom w:val="double" w:sz="6" w:space="0" w:color="000000"/>
              <w:right w:val="nil"/>
            </w:tcBorders>
            <w:shd w:val="clear" w:color="auto" w:fill="FFFFFF"/>
          </w:tcPr>
          <w:p w14:paraId="20FA9B56" w14:textId="77777777" w:rsidR="00846175" w:rsidRPr="006968CB" w:rsidRDefault="00846175" w:rsidP="009C5227">
            <w:pPr>
              <w:autoSpaceDE w:val="0"/>
              <w:autoSpaceDN w:val="0"/>
              <w:adjustRightInd w:val="0"/>
              <w:spacing w:after="0" w:line="240" w:lineRule="auto"/>
              <w:rPr>
                <w:rFonts w:cs="Times New Roman"/>
                <w:color w:val="000000"/>
                <w:sz w:val="22"/>
              </w:rPr>
            </w:pPr>
          </w:p>
        </w:tc>
        <w:tc>
          <w:tcPr>
            <w:tcW w:w="3357" w:type="dxa"/>
            <w:tcBorders>
              <w:top w:val="nil"/>
              <w:left w:val="nil"/>
              <w:bottom w:val="double" w:sz="6" w:space="0" w:color="000000"/>
              <w:right w:val="nil"/>
            </w:tcBorders>
            <w:shd w:val="clear" w:color="auto" w:fill="FFFFFF"/>
          </w:tcPr>
          <w:p w14:paraId="4925F84D" w14:textId="77777777" w:rsidR="00846175" w:rsidRPr="006968CB" w:rsidRDefault="00846175" w:rsidP="009C5227">
            <w:pPr>
              <w:autoSpaceDE w:val="0"/>
              <w:autoSpaceDN w:val="0"/>
              <w:adjustRightInd w:val="0"/>
              <w:spacing w:after="0" w:line="240" w:lineRule="auto"/>
              <w:ind w:left="60" w:right="60"/>
              <w:rPr>
                <w:rFonts w:cs="Times New Roman"/>
                <w:color w:val="000000"/>
                <w:sz w:val="22"/>
              </w:rPr>
            </w:pPr>
            <w:proofErr w:type="spellStart"/>
            <w:r w:rsidRPr="006968CB">
              <w:rPr>
                <w:rFonts w:cs="Times New Roman"/>
                <w:color w:val="000000"/>
                <w:sz w:val="22"/>
              </w:rPr>
              <w:t>Curtose</w:t>
            </w:r>
            <w:proofErr w:type="spellEnd"/>
          </w:p>
        </w:tc>
        <w:tc>
          <w:tcPr>
            <w:tcW w:w="1061" w:type="dxa"/>
            <w:tcBorders>
              <w:top w:val="nil"/>
              <w:left w:val="nil"/>
              <w:bottom w:val="double" w:sz="6" w:space="0" w:color="000000"/>
              <w:right w:val="nil"/>
            </w:tcBorders>
            <w:shd w:val="clear" w:color="auto" w:fill="FFFFFF"/>
          </w:tcPr>
          <w:p w14:paraId="50B37571"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0,327</w:t>
            </w:r>
          </w:p>
        </w:tc>
        <w:tc>
          <w:tcPr>
            <w:tcW w:w="1632" w:type="dxa"/>
            <w:gridSpan w:val="2"/>
            <w:tcBorders>
              <w:top w:val="nil"/>
              <w:left w:val="nil"/>
              <w:bottom w:val="double" w:sz="6" w:space="0" w:color="000000"/>
              <w:right w:val="nil"/>
            </w:tcBorders>
            <w:shd w:val="clear" w:color="auto" w:fill="FFFFFF"/>
          </w:tcPr>
          <w:p w14:paraId="0FAD573B" w14:textId="77777777" w:rsidR="00846175" w:rsidRPr="006968CB" w:rsidRDefault="0084617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0,155</w:t>
            </w:r>
          </w:p>
        </w:tc>
      </w:tr>
    </w:tbl>
    <w:p w14:paraId="72B4D441" w14:textId="556D7C30" w:rsidR="0027041B" w:rsidRDefault="00313AEA" w:rsidP="008943B8">
      <w:pPr>
        <w:spacing w:before="240" w:line="360" w:lineRule="auto"/>
        <w:jc w:val="both"/>
        <w:rPr>
          <w:rFonts w:eastAsiaTheme="minorEastAsia" w:cs="Times New Roman"/>
          <w:szCs w:val="24"/>
        </w:rPr>
      </w:pPr>
      <w:r>
        <w:rPr>
          <w:rFonts w:cs="Times New Roman"/>
        </w:rPr>
        <w:lastRenderedPageBreak/>
        <w:t xml:space="preserve">Como se pode </w:t>
      </w:r>
      <w:r w:rsidR="00D9490A">
        <w:rPr>
          <w:rFonts w:cs="Times New Roman"/>
        </w:rPr>
        <w:t>constatar</w:t>
      </w:r>
      <w:r>
        <w:rPr>
          <w:rFonts w:cs="Times New Roman"/>
        </w:rPr>
        <w:t xml:space="preserve">, </w:t>
      </w:r>
      <w:r w:rsidR="00D26594">
        <w:rPr>
          <w:rFonts w:eastAsiaTheme="minorEastAsia" w:cs="Times New Roman"/>
          <w:szCs w:val="24"/>
        </w:rPr>
        <w:t>992</w:t>
      </w:r>
      <w:r w:rsidR="00D9490A">
        <w:rPr>
          <w:rFonts w:eastAsiaTheme="minorEastAsia" w:cs="Times New Roman"/>
          <w:szCs w:val="24"/>
        </w:rPr>
        <w:t xml:space="preserve"> observações estão incluídas no grupo de</w:t>
      </w:r>
      <w:r w:rsidR="00D26594">
        <w:rPr>
          <w:rFonts w:eastAsiaTheme="minorEastAsia" w:cs="Times New Roman"/>
          <w:szCs w:val="24"/>
        </w:rPr>
        <w:t xml:space="preserve"> municípios</w:t>
      </w:r>
      <w:r w:rsidR="00D9490A">
        <w:rPr>
          <w:rFonts w:eastAsiaTheme="minorEastAsia" w:cs="Times New Roman"/>
          <w:szCs w:val="24"/>
        </w:rPr>
        <w:t xml:space="preserve"> que</w:t>
      </w:r>
      <w:r w:rsidR="00D26594">
        <w:rPr>
          <w:rFonts w:eastAsiaTheme="minorEastAsia" w:cs="Times New Roman"/>
          <w:szCs w:val="24"/>
        </w:rPr>
        <w:t xml:space="preserve"> </w:t>
      </w:r>
      <w:r w:rsidR="00E62B84">
        <w:rPr>
          <w:rFonts w:eastAsiaTheme="minorEastAsia" w:cs="Times New Roman"/>
          <w:szCs w:val="24"/>
        </w:rPr>
        <w:t>são de</w:t>
      </w:r>
      <w:r w:rsidR="00D26594">
        <w:rPr>
          <w:rFonts w:eastAsiaTheme="minorEastAsia" w:cs="Times New Roman"/>
          <w:szCs w:val="24"/>
        </w:rPr>
        <w:t xml:space="preserve"> ideologia de partido político de esquerda e 548</w:t>
      </w:r>
      <w:r w:rsidR="00D9490A">
        <w:rPr>
          <w:rFonts w:eastAsiaTheme="minorEastAsia" w:cs="Times New Roman"/>
          <w:szCs w:val="24"/>
        </w:rPr>
        <w:t xml:space="preserve"> observações</w:t>
      </w:r>
      <w:r w:rsidR="00D26594">
        <w:rPr>
          <w:rFonts w:eastAsiaTheme="minorEastAsia" w:cs="Times New Roman"/>
          <w:szCs w:val="24"/>
        </w:rPr>
        <w:t xml:space="preserve"> </w:t>
      </w:r>
      <w:r w:rsidR="00E62B84">
        <w:rPr>
          <w:rFonts w:eastAsiaTheme="minorEastAsia" w:cs="Times New Roman"/>
          <w:szCs w:val="24"/>
        </w:rPr>
        <w:t>de</w:t>
      </w:r>
      <w:r w:rsidR="00D26594">
        <w:rPr>
          <w:rFonts w:eastAsiaTheme="minorEastAsia" w:cs="Times New Roman"/>
          <w:szCs w:val="24"/>
        </w:rPr>
        <w:t xml:space="preserve"> ideologia de partido de direita</w:t>
      </w:r>
      <w:r w:rsidR="005C126E">
        <w:rPr>
          <w:rFonts w:eastAsiaTheme="minorEastAsia" w:cs="Times New Roman"/>
          <w:szCs w:val="24"/>
        </w:rPr>
        <w:t xml:space="preserve"> não sendo os seus</w:t>
      </w:r>
      <w:r>
        <w:rPr>
          <w:rFonts w:cs="Times New Roman"/>
        </w:rPr>
        <w:t xml:space="preserve"> valores médios do ITM</w:t>
      </w:r>
      <w:r w:rsidR="00C37FB3">
        <w:rPr>
          <w:rFonts w:cs="Times New Roman"/>
        </w:rPr>
        <w:t>, muito diferentes</w:t>
      </w:r>
      <w:r w:rsidR="00452327">
        <w:rPr>
          <w:rFonts w:cs="Times New Roman"/>
        </w:rPr>
        <w:t>:</w:t>
      </w:r>
      <w:r w:rsidR="00C37FB3">
        <w:rPr>
          <w:rFonts w:cs="Times New Roman"/>
        </w:rPr>
        <w:t xml:space="preserve"> </w:t>
      </w:r>
      <w:r w:rsidR="000D1E45" w:rsidRPr="00690CCD">
        <w:rPr>
          <w:rFonts w:cs="Times New Roman"/>
        </w:rPr>
        <w:t>(42,298)</w:t>
      </w:r>
      <w:r w:rsidR="00452327">
        <w:rPr>
          <w:rFonts w:cs="Times New Roman"/>
        </w:rPr>
        <w:t xml:space="preserve"> para os municípios liderados por p</w:t>
      </w:r>
      <w:r w:rsidR="00452327" w:rsidRPr="006968CB">
        <w:rPr>
          <w:rFonts w:cs="Times New Roman"/>
          <w:color w:val="000000"/>
          <w:sz w:val="22"/>
        </w:rPr>
        <w:t xml:space="preserve">artido </w:t>
      </w:r>
      <w:r w:rsidR="00452327" w:rsidRPr="00690CCD">
        <w:rPr>
          <w:rFonts w:cs="Times New Roman"/>
        </w:rPr>
        <w:t>político de direita</w:t>
      </w:r>
      <w:r w:rsidR="00452327">
        <w:rPr>
          <w:rFonts w:cs="Times New Roman"/>
        </w:rPr>
        <w:t xml:space="preserve"> e</w:t>
      </w:r>
      <w:r w:rsidR="00A270F2">
        <w:rPr>
          <w:rFonts w:cs="Times New Roman"/>
        </w:rPr>
        <w:t xml:space="preserve"> (43,194)</w:t>
      </w:r>
      <w:r w:rsidR="00452327">
        <w:rPr>
          <w:rFonts w:cs="Times New Roman"/>
        </w:rPr>
        <w:t xml:space="preserve"> </w:t>
      </w:r>
      <w:r w:rsidR="00AC19CA">
        <w:rPr>
          <w:rFonts w:cs="Times New Roman"/>
        </w:rPr>
        <w:t>municípios liderados por p</w:t>
      </w:r>
      <w:r w:rsidR="00AC19CA" w:rsidRPr="00690CCD">
        <w:rPr>
          <w:rFonts w:cs="Times New Roman"/>
        </w:rPr>
        <w:t>artido político de esquerda</w:t>
      </w:r>
      <w:r w:rsidR="003D2AC3" w:rsidRPr="00690CCD">
        <w:rPr>
          <w:rFonts w:cs="Times New Roman"/>
        </w:rPr>
        <w:t>. Como a</w:t>
      </w:r>
      <w:r w:rsidR="00A212B2" w:rsidRPr="00690CCD">
        <w:rPr>
          <w:rFonts w:cs="Times New Roman"/>
        </w:rPr>
        <w:t>mbas as</w:t>
      </w:r>
      <w:r w:rsidR="003D2AC3" w:rsidRPr="00690CCD">
        <w:rPr>
          <w:rFonts w:cs="Times New Roman"/>
        </w:rPr>
        <w:t xml:space="preserve"> distribuiç</w:t>
      </w:r>
      <w:r w:rsidR="00A212B2" w:rsidRPr="00690CCD">
        <w:rPr>
          <w:rFonts w:cs="Times New Roman"/>
        </w:rPr>
        <w:t xml:space="preserve">ões apresentam assimetria </w:t>
      </w:r>
      <w:r w:rsidR="003D2AC3">
        <w:rPr>
          <w:rFonts w:cs="Times New Roman"/>
          <w:color w:val="000000"/>
          <w:sz w:val="22"/>
        </w:rPr>
        <w:t xml:space="preserve"> </w:t>
      </w:r>
      <m:oMath>
        <m:f>
          <m:fPr>
            <m:ctrlPr>
              <w:rPr>
                <w:rFonts w:ascii="Cambria Math" w:hAnsi="Cambria Math" w:cs="Times New Roman"/>
                <w:i/>
                <w:szCs w:val="24"/>
              </w:rPr>
            </m:ctrlPr>
          </m:fPr>
          <m:num>
            <m:r>
              <m:rPr>
                <m:sty m:val="p"/>
              </m:rPr>
              <w:rPr>
                <w:rFonts w:ascii="Cambria Math" w:hAnsi="Cambria Math" w:cs="Times New Roman"/>
                <w:sz w:val="22"/>
              </w:rPr>
              <m:t>0,808</m:t>
            </m:r>
          </m:num>
          <m:den>
            <m:r>
              <m:rPr>
                <m:sty m:val="p"/>
              </m:rPr>
              <w:rPr>
                <w:rFonts w:ascii="Cambria Math" w:hAnsi="Cambria Math" w:cs="Times New Roman"/>
                <w:sz w:val="22"/>
              </w:rPr>
              <m:t>0,104</m:t>
            </m:r>
          </m:den>
        </m:f>
        <m:r>
          <w:rPr>
            <w:rFonts w:ascii="Cambria Math" w:hAnsi="Cambria Math" w:cs="Times New Roman"/>
            <w:szCs w:val="24"/>
          </w:rPr>
          <m:t>=7,769&gt;1,96</m:t>
        </m:r>
      </m:oMath>
      <w:r w:rsidR="000420EB" w:rsidRPr="003425E2">
        <w:rPr>
          <w:rFonts w:eastAsiaTheme="minorEastAsia" w:cs="Times New Roman"/>
          <w:szCs w:val="24"/>
        </w:rPr>
        <w:t xml:space="preserve"> e </w:t>
      </w:r>
      <m:oMath>
        <m:f>
          <m:fPr>
            <m:ctrlPr>
              <w:rPr>
                <w:rFonts w:ascii="Cambria Math" w:hAnsi="Cambria Math" w:cs="Times New Roman"/>
                <w:i/>
                <w:szCs w:val="24"/>
              </w:rPr>
            </m:ctrlPr>
          </m:fPr>
          <m:num>
            <m:r>
              <m:rPr>
                <m:sty m:val="p"/>
              </m:rPr>
              <w:rPr>
                <w:rFonts w:ascii="Cambria Math" w:hAnsi="Cambria Math" w:cs="Times New Roman"/>
                <w:sz w:val="22"/>
              </w:rPr>
              <m:t>0,710</m:t>
            </m:r>
          </m:num>
          <m:den>
            <m:r>
              <m:rPr>
                <m:sty m:val="p"/>
              </m:rPr>
              <w:rPr>
                <w:rFonts w:ascii="Cambria Math" w:hAnsi="Cambria Math" w:cs="Times New Roman"/>
                <w:sz w:val="22"/>
              </w:rPr>
              <m:t>0,078</m:t>
            </m:r>
          </m:den>
        </m:f>
        <m:r>
          <w:rPr>
            <w:rFonts w:ascii="Cambria Math" w:hAnsi="Cambria Math" w:cs="Times New Roman"/>
            <w:szCs w:val="24"/>
          </w:rPr>
          <m:t>=9,103&gt;1,96,</m:t>
        </m:r>
      </m:oMath>
      <w:r w:rsidR="005217FB" w:rsidRPr="003425E2">
        <w:rPr>
          <w:rFonts w:eastAsiaTheme="minorEastAsia" w:cs="Times New Roman"/>
          <w:szCs w:val="24"/>
        </w:rPr>
        <w:t xml:space="preserve"> </w:t>
      </w:r>
      <w:r w:rsidR="006C3C1A">
        <w:rPr>
          <w:rFonts w:eastAsiaTheme="minorEastAsia" w:cs="Times New Roman"/>
          <w:szCs w:val="24"/>
        </w:rPr>
        <w:t xml:space="preserve">isto </w:t>
      </w:r>
      <w:r w:rsidR="00434098" w:rsidRPr="003425E2">
        <w:rPr>
          <w:rFonts w:eastAsiaTheme="minorEastAsia" w:cs="Times New Roman"/>
          <w:szCs w:val="24"/>
        </w:rPr>
        <w:t>l</w:t>
      </w:r>
      <w:r w:rsidR="00607A73" w:rsidRPr="003425E2">
        <w:rPr>
          <w:rFonts w:eastAsiaTheme="minorEastAsia" w:cs="Times New Roman"/>
          <w:szCs w:val="24"/>
        </w:rPr>
        <w:t xml:space="preserve">evou-nos </w:t>
      </w:r>
      <w:r w:rsidR="00434098" w:rsidRPr="003425E2">
        <w:rPr>
          <w:rFonts w:eastAsiaTheme="minorEastAsia" w:cs="Times New Roman"/>
          <w:szCs w:val="24"/>
        </w:rPr>
        <w:t xml:space="preserve">às opções </w:t>
      </w:r>
      <w:r w:rsidR="000744DE" w:rsidRPr="003425E2">
        <w:rPr>
          <w:rFonts w:eastAsiaTheme="minorEastAsia" w:cs="Times New Roman"/>
          <w:szCs w:val="24"/>
        </w:rPr>
        <w:t>metodológicas de</w:t>
      </w:r>
      <w:r w:rsidR="005E4FC0" w:rsidRPr="003425E2">
        <w:rPr>
          <w:rFonts w:eastAsiaTheme="minorEastAsia" w:cs="Times New Roman"/>
          <w:szCs w:val="24"/>
        </w:rPr>
        <w:t xml:space="preserve"> análise</w:t>
      </w:r>
      <w:r w:rsidR="008943B8" w:rsidRPr="003425E2">
        <w:rPr>
          <w:rFonts w:eastAsiaTheme="minorEastAsia" w:cs="Times New Roman"/>
          <w:szCs w:val="24"/>
        </w:rPr>
        <w:t xml:space="preserve"> </w:t>
      </w:r>
      <w:r w:rsidR="00D82F9D" w:rsidRPr="003425E2">
        <w:rPr>
          <w:rFonts w:eastAsiaTheme="minorEastAsia" w:cs="Times New Roman"/>
          <w:szCs w:val="24"/>
        </w:rPr>
        <w:t>descr</w:t>
      </w:r>
      <w:r w:rsidR="000744DE" w:rsidRPr="003425E2">
        <w:rPr>
          <w:rFonts w:eastAsiaTheme="minorEastAsia" w:cs="Times New Roman"/>
          <w:szCs w:val="24"/>
        </w:rPr>
        <w:t>itas</w:t>
      </w:r>
      <w:r w:rsidR="00D82F9D" w:rsidRPr="003425E2">
        <w:rPr>
          <w:rFonts w:eastAsiaTheme="minorEastAsia" w:cs="Times New Roman"/>
          <w:szCs w:val="24"/>
        </w:rPr>
        <w:t xml:space="preserve"> no</w:t>
      </w:r>
      <w:r w:rsidR="000744DE" w:rsidRPr="003425E2">
        <w:rPr>
          <w:rFonts w:eastAsiaTheme="minorEastAsia" w:cs="Times New Roman"/>
          <w:szCs w:val="24"/>
        </w:rPr>
        <w:t>s</w:t>
      </w:r>
      <w:r w:rsidR="00D82F9D" w:rsidRPr="003425E2">
        <w:rPr>
          <w:rFonts w:eastAsiaTheme="minorEastAsia" w:cs="Times New Roman"/>
          <w:szCs w:val="24"/>
        </w:rPr>
        <w:t xml:space="preserve"> ponto</w:t>
      </w:r>
      <w:r w:rsidR="000744DE" w:rsidRPr="003425E2">
        <w:rPr>
          <w:rFonts w:eastAsiaTheme="minorEastAsia" w:cs="Times New Roman"/>
          <w:szCs w:val="24"/>
        </w:rPr>
        <w:t>s</w:t>
      </w:r>
      <w:r w:rsidR="00D82F9D" w:rsidRPr="003425E2">
        <w:rPr>
          <w:rFonts w:eastAsiaTheme="minorEastAsia" w:cs="Times New Roman"/>
          <w:szCs w:val="24"/>
        </w:rPr>
        <w:t xml:space="preserve"> 4.3.2 e 4.3.3</w:t>
      </w:r>
      <w:r w:rsidR="00434098" w:rsidRPr="003425E2">
        <w:rPr>
          <w:rFonts w:eastAsiaTheme="minorEastAsia" w:cs="Times New Roman"/>
          <w:szCs w:val="24"/>
        </w:rPr>
        <w:t xml:space="preserve">, </w:t>
      </w:r>
      <w:r w:rsidR="008F226E" w:rsidRPr="003425E2">
        <w:rPr>
          <w:rFonts w:eastAsiaTheme="minorEastAsia" w:cs="Times New Roman"/>
          <w:szCs w:val="24"/>
        </w:rPr>
        <w:t>depois da</w:t>
      </w:r>
      <w:r w:rsidR="005C1544" w:rsidRPr="003425E2">
        <w:rPr>
          <w:rFonts w:eastAsiaTheme="minorEastAsia" w:cs="Times New Roman"/>
          <w:szCs w:val="24"/>
        </w:rPr>
        <w:t xml:space="preserve"> análise da normalidade das mesmas</w:t>
      </w:r>
      <w:r w:rsidR="00032E28">
        <w:rPr>
          <w:rStyle w:val="Refdenotaderodap"/>
          <w:rFonts w:eastAsiaTheme="minorEastAsia" w:cs="Times New Roman"/>
          <w:szCs w:val="24"/>
        </w:rPr>
        <w:footnoteReference w:id="5"/>
      </w:r>
      <w:r w:rsidR="00075D27" w:rsidRPr="003425E2">
        <w:rPr>
          <w:rFonts w:eastAsiaTheme="minorEastAsia" w:cs="Times New Roman"/>
          <w:szCs w:val="24"/>
        </w:rPr>
        <w:t xml:space="preserve"> </w:t>
      </w:r>
      <w:r w:rsidR="00075D27" w:rsidRPr="00962182">
        <w:rPr>
          <w:rFonts w:eastAsiaTheme="minorEastAsia" w:cs="Times New Roman"/>
          <w:szCs w:val="24"/>
        </w:rPr>
        <w:t>(</w:t>
      </w:r>
      <w:r w:rsidR="00F338BB">
        <w:rPr>
          <w:rFonts w:eastAsiaTheme="minorEastAsia" w:cs="Times New Roman"/>
          <w:szCs w:val="24"/>
        </w:rPr>
        <w:t>A</w:t>
      </w:r>
      <w:r w:rsidR="007F35DF" w:rsidRPr="00962182">
        <w:rPr>
          <w:rFonts w:eastAsiaTheme="minorEastAsia" w:cs="Times New Roman"/>
          <w:szCs w:val="24"/>
        </w:rPr>
        <w:t>pêndice</w:t>
      </w:r>
      <w:r w:rsidR="008943B8" w:rsidRPr="00962182">
        <w:rPr>
          <w:rFonts w:eastAsiaTheme="minorEastAsia" w:cs="Times New Roman"/>
          <w:szCs w:val="24"/>
        </w:rPr>
        <w:t xml:space="preserve"> </w:t>
      </w:r>
      <w:r w:rsidR="00651FAB" w:rsidRPr="00962182">
        <w:rPr>
          <w:rFonts w:eastAsiaTheme="minorEastAsia" w:cs="Times New Roman"/>
          <w:szCs w:val="24"/>
        </w:rPr>
        <w:t>3</w:t>
      </w:r>
      <w:r w:rsidR="008943B8" w:rsidRPr="00962182">
        <w:rPr>
          <w:rFonts w:eastAsiaTheme="minorEastAsia" w:cs="Times New Roman"/>
          <w:szCs w:val="24"/>
        </w:rPr>
        <w:t>).</w:t>
      </w:r>
    </w:p>
    <w:p w14:paraId="063F06BF" w14:textId="5CE301A6" w:rsidR="00D9490A" w:rsidRPr="00962182" w:rsidRDefault="006C3C1A" w:rsidP="00373E56">
      <w:pPr>
        <w:spacing w:before="240" w:line="360" w:lineRule="auto"/>
        <w:jc w:val="both"/>
        <w:rPr>
          <w:rFonts w:eastAsiaTheme="minorEastAsia" w:cs="Times New Roman"/>
          <w:szCs w:val="24"/>
        </w:rPr>
      </w:pPr>
      <w:r>
        <w:rPr>
          <w:rFonts w:eastAsiaTheme="minorEastAsia" w:cs="Times New Roman"/>
          <w:szCs w:val="24"/>
        </w:rPr>
        <w:t>É d</w:t>
      </w:r>
      <w:r w:rsidR="00D9490A">
        <w:rPr>
          <w:rFonts w:eastAsiaTheme="minorEastAsia" w:cs="Times New Roman"/>
          <w:szCs w:val="24"/>
        </w:rPr>
        <w:t xml:space="preserve">e salientar que o </w:t>
      </w:r>
      <w:r w:rsidR="00471CB6">
        <w:rPr>
          <w:rFonts w:eastAsiaTheme="minorEastAsia" w:cs="Times New Roman"/>
          <w:szCs w:val="24"/>
        </w:rPr>
        <w:t xml:space="preserve">presente </w:t>
      </w:r>
      <w:r w:rsidR="00D9490A">
        <w:rPr>
          <w:rFonts w:eastAsiaTheme="minorEastAsia" w:cs="Times New Roman"/>
          <w:szCs w:val="24"/>
        </w:rPr>
        <w:t>estudo incide sobre os anos de 2013 a 2017</w:t>
      </w:r>
      <w:r w:rsidR="001C77AB">
        <w:rPr>
          <w:rFonts w:eastAsiaTheme="minorEastAsia" w:cs="Times New Roman"/>
          <w:szCs w:val="24"/>
        </w:rPr>
        <w:t xml:space="preserve"> e que em 2013 e 2017, precisamente, ocorreram eleições autárquicas</w:t>
      </w:r>
      <w:r w:rsidR="00373E56">
        <w:rPr>
          <w:rFonts w:eastAsiaTheme="minorEastAsia" w:cs="Times New Roman"/>
          <w:szCs w:val="24"/>
        </w:rPr>
        <w:t>.</w:t>
      </w:r>
      <w:r w:rsidR="001C77AB">
        <w:rPr>
          <w:rFonts w:eastAsiaTheme="minorEastAsia" w:cs="Times New Roman"/>
          <w:szCs w:val="24"/>
        </w:rPr>
        <w:t xml:space="preserve"> </w:t>
      </w:r>
    </w:p>
    <w:p w14:paraId="1BE291B4" w14:textId="3AD6653F" w:rsidR="007B7123" w:rsidRPr="002079A9" w:rsidRDefault="000744DE" w:rsidP="0026683E">
      <w:pPr>
        <w:spacing w:line="360" w:lineRule="auto"/>
        <w:jc w:val="both"/>
        <w:rPr>
          <w:rFonts w:cs="Times New Roman"/>
          <w:color w:val="FF0000"/>
        </w:rPr>
      </w:pPr>
      <w:r>
        <w:rPr>
          <w:rFonts w:cs="Times New Roman"/>
        </w:rPr>
        <w:t>Ainda assim, p</w:t>
      </w:r>
      <w:r w:rsidR="000668D5">
        <w:rPr>
          <w:rFonts w:cs="Times New Roman"/>
        </w:rPr>
        <w:t xml:space="preserve">ela importância, em outros estudos da variável ideologia </w:t>
      </w:r>
      <w:r w:rsidR="003425E2">
        <w:rPr>
          <w:rFonts w:cs="Times New Roman"/>
        </w:rPr>
        <w:t>política</w:t>
      </w:r>
      <w:r w:rsidR="000668D5">
        <w:rPr>
          <w:rFonts w:cs="Times New Roman"/>
        </w:rPr>
        <w:t>, IPP</w:t>
      </w:r>
      <w:r w:rsidR="00BE1250">
        <w:rPr>
          <w:rFonts w:cs="Times New Roman"/>
        </w:rPr>
        <w:t xml:space="preserve">, procedeu-se </w:t>
      </w:r>
      <w:r w:rsidR="005A226F">
        <w:rPr>
          <w:rFonts w:cs="Times New Roman"/>
        </w:rPr>
        <w:t xml:space="preserve">à </w:t>
      </w:r>
      <w:r w:rsidR="003425E2">
        <w:rPr>
          <w:rFonts w:cs="Times New Roman"/>
        </w:rPr>
        <w:t>análise</w:t>
      </w:r>
      <w:r w:rsidR="005A226F">
        <w:rPr>
          <w:rFonts w:cs="Times New Roman"/>
        </w:rPr>
        <w:t xml:space="preserve"> do ITM considerando a IPP </w:t>
      </w:r>
      <w:r w:rsidR="00C104FA">
        <w:rPr>
          <w:rFonts w:cs="Times New Roman"/>
        </w:rPr>
        <w:t xml:space="preserve">por </w:t>
      </w:r>
      <w:r w:rsidR="00115A38">
        <w:rPr>
          <w:rFonts w:cs="Times New Roman"/>
        </w:rPr>
        <w:t>ano e por região</w:t>
      </w:r>
      <w:r w:rsidR="00273D73">
        <w:rPr>
          <w:rFonts w:cs="Times New Roman"/>
        </w:rPr>
        <w:t xml:space="preserve"> </w:t>
      </w:r>
      <w:r w:rsidR="005A226F" w:rsidRPr="007F35DF">
        <w:rPr>
          <w:rFonts w:cs="Times New Roman"/>
        </w:rPr>
        <w:t>(</w:t>
      </w:r>
      <w:r w:rsidR="00F338BB">
        <w:rPr>
          <w:rFonts w:cs="Times New Roman"/>
        </w:rPr>
        <w:t>A</w:t>
      </w:r>
      <w:r w:rsidR="005A226F" w:rsidRPr="007F35DF">
        <w:rPr>
          <w:rFonts w:cs="Times New Roman"/>
        </w:rPr>
        <w:t xml:space="preserve">nexo </w:t>
      </w:r>
      <w:r w:rsidR="007F35DF" w:rsidRPr="007F35DF">
        <w:rPr>
          <w:rFonts w:cs="Times New Roman"/>
        </w:rPr>
        <w:t>1</w:t>
      </w:r>
      <w:r w:rsidR="005A226F" w:rsidRPr="007F35DF">
        <w:rPr>
          <w:rFonts w:cs="Times New Roman"/>
        </w:rPr>
        <w:t>)</w:t>
      </w:r>
      <w:r w:rsidR="002C7242" w:rsidRPr="007F35DF">
        <w:rPr>
          <w:rFonts w:cs="Times New Roman"/>
        </w:rPr>
        <w:t>.</w:t>
      </w:r>
      <w:r w:rsidR="002C7242">
        <w:rPr>
          <w:rFonts w:cs="Times New Roman"/>
        </w:rPr>
        <w:t xml:space="preserve"> </w:t>
      </w:r>
      <w:r w:rsidR="002C7242" w:rsidRPr="003425E2">
        <w:rPr>
          <w:rFonts w:cs="Times New Roman"/>
        </w:rPr>
        <w:t>O cálculo d</w:t>
      </w:r>
      <w:r w:rsidR="006779EF" w:rsidRPr="003425E2">
        <w:rPr>
          <w:rFonts w:cs="Times New Roman"/>
        </w:rPr>
        <w:t xml:space="preserve">as </w:t>
      </w:r>
      <w:r w:rsidR="006779EF">
        <w:rPr>
          <w:rFonts w:cs="Times New Roman"/>
        </w:rPr>
        <w:t xml:space="preserve">diferenças dos valores médios do </w:t>
      </w:r>
      <w:r w:rsidR="008E54CA">
        <w:rPr>
          <w:rFonts w:cs="Times New Roman"/>
        </w:rPr>
        <w:t>ITM,</w:t>
      </w:r>
      <w:r w:rsidR="006779EF">
        <w:rPr>
          <w:rFonts w:cs="Times New Roman"/>
        </w:rPr>
        <w:t xml:space="preserve"> para a mesma região no mesmo ano</w:t>
      </w:r>
      <w:r w:rsidR="008E54CA">
        <w:rPr>
          <w:rFonts w:cs="Times New Roman"/>
        </w:rPr>
        <w:t>,</w:t>
      </w:r>
      <w:r w:rsidR="004F2174">
        <w:rPr>
          <w:rFonts w:cs="Times New Roman"/>
        </w:rPr>
        <w:t xml:space="preserve"> foi registado na </w:t>
      </w:r>
      <w:r w:rsidR="00B4646C">
        <w:rPr>
          <w:rFonts w:cs="Times New Roman"/>
        </w:rPr>
        <w:t>T</w:t>
      </w:r>
      <w:r w:rsidR="004F2174">
        <w:rPr>
          <w:rFonts w:cs="Times New Roman"/>
        </w:rPr>
        <w:t>abela 4.4</w:t>
      </w:r>
      <w:r w:rsidR="006779EF">
        <w:rPr>
          <w:rFonts w:cs="Times New Roman"/>
        </w:rPr>
        <w:t xml:space="preserve"> com o intuito </w:t>
      </w:r>
      <w:r w:rsidR="00AC0D3E">
        <w:rPr>
          <w:rFonts w:cs="Times New Roman"/>
        </w:rPr>
        <w:t xml:space="preserve">de </w:t>
      </w:r>
      <w:r w:rsidR="00C861D7">
        <w:rPr>
          <w:rFonts w:cs="Times New Roman"/>
        </w:rPr>
        <w:t>melhor percecionar o comportamento d</w:t>
      </w:r>
      <w:r w:rsidR="008E5C62">
        <w:rPr>
          <w:rFonts w:cs="Times New Roman"/>
        </w:rPr>
        <w:t xml:space="preserve">a transparência por </w:t>
      </w:r>
      <w:r w:rsidR="00AC0D3E">
        <w:rPr>
          <w:rFonts w:cs="Times New Roman"/>
        </w:rPr>
        <w:t>ideologia polític</w:t>
      </w:r>
      <w:r w:rsidR="008E5C62">
        <w:rPr>
          <w:rFonts w:cs="Times New Roman"/>
        </w:rPr>
        <w:t>a</w:t>
      </w:r>
      <w:r w:rsidR="00A044BA">
        <w:rPr>
          <w:rFonts w:cs="Times New Roman"/>
        </w:rPr>
        <w:t>.</w:t>
      </w:r>
    </w:p>
    <w:p w14:paraId="4F5149EF" w14:textId="77777777" w:rsidR="00DD229F" w:rsidRDefault="00DD229F" w:rsidP="00DD229F">
      <w:pPr>
        <w:spacing w:before="240" w:line="360" w:lineRule="auto"/>
        <w:jc w:val="both"/>
        <w:rPr>
          <w:rFonts w:cs="Times New Roman"/>
        </w:rPr>
      </w:pPr>
      <w:bookmarkStart w:id="86" w:name="_Toc38553157"/>
      <w:r>
        <w:rPr>
          <w:rFonts w:cs="Times New Roman"/>
        </w:rPr>
        <w:t>Os valores apresentados resultam do cálculo da diferença da média do ITM para partidos com ideologia política de direita e da média do ITM para partidos com ideologia política de esquerda, para cada um dos anos em estudo:</w:t>
      </w:r>
    </w:p>
    <w:p w14:paraId="7C8E282B" w14:textId="0D7217B6" w:rsidR="00DD229F" w:rsidRDefault="0043154B" w:rsidP="00DD229F">
      <w:pPr>
        <w:spacing w:before="240" w:line="360" w:lineRule="auto"/>
        <w:jc w:val="center"/>
        <w:rPr>
          <w:rFonts w:cs="Times New Roman"/>
        </w:rPr>
      </w:pPr>
      <m:oMath>
        <m:sSub>
          <m:sSubPr>
            <m:ctrlPr>
              <w:rPr>
                <w:rFonts w:ascii="Cambria Math" w:hAnsi="Cambria Math" w:cs="Times New Roman"/>
                <w:i/>
              </w:rPr>
            </m:ctrlPr>
          </m:sSubPr>
          <m:e>
            <m:r>
              <w:rPr>
                <w:rFonts w:ascii="Cambria Math" w:hAnsi="Cambria Math" w:cs="Times New Roman"/>
              </w:rPr>
              <m:t>MITM</m:t>
            </m:r>
          </m:e>
          <m:sub>
            <m:r>
              <w:rPr>
                <w:rFonts w:ascii="Cambria Math" w:hAnsi="Cambria Math" w:cs="Times New Roman"/>
              </w:rPr>
              <m:t>IPPD, i</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MITM</m:t>
            </m:r>
          </m:e>
          <m:sub>
            <m:r>
              <w:rPr>
                <w:rFonts w:ascii="Cambria Math" w:hAnsi="Cambria Math" w:cs="Times New Roman"/>
              </w:rPr>
              <m:t>IPPE, i</m:t>
            </m:r>
          </m:sub>
        </m:sSub>
      </m:oMath>
      <w:r w:rsidR="00DD229F">
        <w:rPr>
          <w:rFonts w:cs="Times New Roman"/>
        </w:rPr>
        <w:t xml:space="preserve"> , com i = 2013, 2014, 2015, 2016 e 2017.</w:t>
      </w:r>
    </w:p>
    <w:p w14:paraId="50AE0BDB" w14:textId="22E9F855" w:rsidR="007C00CF" w:rsidRPr="007C00CF" w:rsidRDefault="007C00CF" w:rsidP="0036727C">
      <w:pPr>
        <w:pStyle w:val="Legenda"/>
        <w:keepNext/>
        <w:spacing w:after="60"/>
        <w:jc w:val="center"/>
        <w:rPr>
          <w:b w:val="0"/>
          <w:color w:val="auto"/>
          <w:sz w:val="24"/>
        </w:rPr>
      </w:pPr>
      <w:bookmarkStart w:id="87" w:name="_Toc58853164"/>
      <w:bookmarkStart w:id="88" w:name="_Toc66624253"/>
      <w:r w:rsidRPr="007C00CF">
        <w:rPr>
          <w:color w:val="auto"/>
          <w:sz w:val="24"/>
        </w:rPr>
        <w:t xml:space="preserve">Tabela </w:t>
      </w:r>
      <w:r w:rsidR="00843BFC">
        <w:rPr>
          <w:color w:val="auto"/>
          <w:sz w:val="24"/>
        </w:rPr>
        <w:fldChar w:fldCharType="begin"/>
      </w:r>
      <w:r w:rsidR="00843BFC">
        <w:rPr>
          <w:color w:val="auto"/>
          <w:sz w:val="24"/>
        </w:rPr>
        <w:instrText xml:space="preserve"> STYLEREF 1 \s </w:instrText>
      </w:r>
      <w:r w:rsidR="00843BFC">
        <w:rPr>
          <w:color w:val="auto"/>
          <w:sz w:val="24"/>
        </w:rPr>
        <w:fldChar w:fldCharType="separate"/>
      </w:r>
      <w:r w:rsidR="00380A6F">
        <w:rPr>
          <w:noProof/>
          <w:color w:val="auto"/>
          <w:sz w:val="24"/>
        </w:rPr>
        <w:t>4</w:t>
      </w:r>
      <w:r w:rsidR="00843BFC">
        <w:rPr>
          <w:color w:val="auto"/>
          <w:sz w:val="24"/>
        </w:rPr>
        <w:fldChar w:fldCharType="end"/>
      </w:r>
      <w:r w:rsidR="00843BFC">
        <w:rPr>
          <w:color w:val="auto"/>
          <w:sz w:val="24"/>
        </w:rPr>
        <w:t>.</w:t>
      </w:r>
      <w:r w:rsidR="00843BFC">
        <w:rPr>
          <w:color w:val="auto"/>
          <w:sz w:val="24"/>
        </w:rPr>
        <w:fldChar w:fldCharType="begin"/>
      </w:r>
      <w:r w:rsidR="00843BFC">
        <w:rPr>
          <w:color w:val="auto"/>
          <w:sz w:val="24"/>
        </w:rPr>
        <w:instrText xml:space="preserve"> SEQ Tabela \* ARABIC \s 1 </w:instrText>
      </w:r>
      <w:r w:rsidR="00843BFC">
        <w:rPr>
          <w:color w:val="auto"/>
          <w:sz w:val="24"/>
        </w:rPr>
        <w:fldChar w:fldCharType="separate"/>
      </w:r>
      <w:r w:rsidR="00380A6F">
        <w:rPr>
          <w:noProof/>
          <w:color w:val="auto"/>
          <w:sz w:val="24"/>
        </w:rPr>
        <w:t>4</w:t>
      </w:r>
      <w:r w:rsidR="00843BFC">
        <w:rPr>
          <w:color w:val="auto"/>
          <w:sz w:val="24"/>
        </w:rPr>
        <w:fldChar w:fldCharType="end"/>
      </w:r>
      <w:r w:rsidRPr="007C00CF">
        <w:rPr>
          <w:b w:val="0"/>
          <w:color w:val="auto"/>
          <w:sz w:val="24"/>
        </w:rPr>
        <w:t xml:space="preserve"> - </w:t>
      </w:r>
      <w:r w:rsidRPr="007C00CF">
        <w:rPr>
          <w:rFonts w:cs="Times New Roman"/>
          <w:b w:val="0"/>
          <w:color w:val="auto"/>
          <w:sz w:val="24"/>
        </w:rPr>
        <w:t>Diferença entre os valores médios do ITM para cada ideologia política ao longo ano em estudo por região</w:t>
      </w:r>
      <w:bookmarkEnd w:id="86"/>
      <w:bookmarkEnd w:id="87"/>
      <w:bookmarkEnd w:id="88"/>
    </w:p>
    <w:tbl>
      <w:tblPr>
        <w:tblStyle w:val="TabeladeLista6Colorida1"/>
        <w:tblW w:w="7812" w:type="dxa"/>
        <w:jc w:val="center"/>
        <w:tblLook w:val="04A0" w:firstRow="1" w:lastRow="0" w:firstColumn="1" w:lastColumn="0" w:noHBand="0" w:noVBand="1"/>
      </w:tblPr>
      <w:tblGrid>
        <w:gridCol w:w="1660"/>
        <w:gridCol w:w="960"/>
        <w:gridCol w:w="960"/>
        <w:gridCol w:w="960"/>
        <w:gridCol w:w="960"/>
        <w:gridCol w:w="960"/>
        <w:gridCol w:w="1352"/>
      </w:tblGrid>
      <w:tr w:rsidR="00B059F9" w:rsidRPr="00A32816" w14:paraId="101AF743" w14:textId="77777777" w:rsidTr="00952CC5">
        <w:trPr>
          <w:cnfStyle w:val="100000000000" w:firstRow="1" w:lastRow="0" w:firstColumn="0" w:lastColumn="0" w:oddVBand="0" w:evenVBand="0" w:oddHBand="0" w:evenHBand="0" w:firstRowFirstColumn="0" w:firstRowLastColumn="0" w:lastRowFirstColumn="0" w:lastRowLastColumn="0"/>
          <w:trHeight w:val="356"/>
          <w:jc w:val="center"/>
        </w:trPr>
        <w:tc>
          <w:tcPr>
            <w:cnfStyle w:val="001000000000" w:firstRow="0" w:lastRow="0" w:firstColumn="1" w:lastColumn="0" w:oddVBand="0" w:evenVBand="0" w:oddHBand="0" w:evenHBand="0" w:firstRowFirstColumn="0" w:firstRowLastColumn="0" w:lastRowFirstColumn="0" w:lastRowLastColumn="0"/>
            <w:tcW w:w="1660" w:type="dxa"/>
            <w:vMerge w:val="restart"/>
            <w:tcBorders>
              <w:top w:val="double" w:sz="4" w:space="0" w:color="auto"/>
              <w:right w:val="single" w:sz="4" w:space="0" w:color="auto"/>
            </w:tcBorders>
            <w:noWrap/>
            <w:vAlign w:val="center"/>
            <w:hideMark/>
          </w:tcPr>
          <w:p w14:paraId="20728B02" w14:textId="1B868D34" w:rsidR="00B059F9" w:rsidRPr="00A32816" w:rsidRDefault="00B059F9" w:rsidP="009C5227">
            <w:pPr>
              <w:spacing w:line="276" w:lineRule="auto"/>
              <w:rPr>
                <w:rFonts w:ascii="Calibri" w:eastAsia="Times New Roman" w:hAnsi="Calibri" w:cs="Times New Roman"/>
                <w:color w:val="000000"/>
                <w:sz w:val="22"/>
                <w:lang w:eastAsia="pt-PT"/>
              </w:rPr>
            </w:pPr>
            <w:r w:rsidRPr="00A32816">
              <w:rPr>
                <w:rFonts w:eastAsia="Times New Roman" w:cs="Times New Roman"/>
                <w:b w:val="0"/>
                <w:bCs w:val="0"/>
                <w:color w:val="000000"/>
                <w:sz w:val="22"/>
                <w:lang w:eastAsia="pt-PT"/>
              </w:rPr>
              <w:t>MÉDIA</w:t>
            </w:r>
          </w:p>
        </w:tc>
        <w:tc>
          <w:tcPr>
            <w:tcW w:w="960" w:type="dxa"/>
            <w:tcBorders>
              <w:top w:val="double" w:sz="4" w:space="0" w:color="auto"/>
              <w:left w:val="single" w:sz="4" w:space="0" w:color="auto"/>
            </w:tcBorders>
            <w:noWrap/>
            <w:hideMark/>
          </w:tcPr>
          <w:p w14:paraId="654B80A0" w14:textId="77777777" w:rsidR="00B059F9" w:rsidRPr="00A32816" w:rsidRDefault="00B059F9" w:rsidP="00330E80">
            <w:pPr>
              <w:spacing w:after="60"/>
              <w:jc w:val="right"/>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pt-PT"/>
              </w:rPr>
            </w:pPr>
            <w:r w:rsidRPr="00A32816">
              <w:rPr>
                <w:rFonts w:eastAsia="Times New Roman" w:cs="Times New Roman"/>
                <w:b w:val="0"/>
                <w:bCs w:val="0"/>
                <w:color w:val="000000"/>
                <w:sz w:val="22"/>
                <w:lang w:eastAsia="pt-PT"/>
              </w:rPr>
              <w:t>2013</w:t>
            </w:r>
          </w:p>
        </w:tc>
        <w:tc>
          <w:tcPr>
            <w:tcW w:w="960" w:type="dxa"/>
            <w:tcBorders>
              <w:top w:val="double" w:sz="4" w:space="0" w:color="auto"/>
            </w:tcBorders>
            <w:noWrap/>
            <w:hideMark/>
          </w:tcPr>
          <w:p w14:paraId="1C925D1C" w14:textId="77777777" w:rsidR="00B059F9" w:rsidRPr="00A32816" w:rsidRDefault="00B059F9" w:rsidP="00330E80">
            <w:pPr>
              <w:spacing w:after="60"/>
              <w:jc w:val="right"/>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pt-PT"/>
              </w:rPr>
            </w:pPr>
            <w:r w:rsidRPr="00A32816">
              <w:rPr>
                <w:rFonts w:eastAsia="Times New Roman" w:cs="Times New Roman"/>
                <w:b w:val="0"/>
                <w:bCs w:val="0"/>
                <w:color w:val="000000"/>
                <w:sz w:val="22"/>
                <w:lang w:eastAsia="pt-PT"/>
              </w:rPr>
              <w:t>2014</w:t>
            </w:r>
          </w:p>
        </w:tc>
        <w:tc>
          <w:tcPr>
            <w:tcW w:w="960" w:type="dxa"/>
            <w:tcBorders>
              <w:top w:val="double" w:sz="4" w:space="0" w:color="auto"/>
            </w:tcBorders>
            <w:noWrap/>
            <w:hideMark/>
          </w:tcPr>
          <w:p w14:paraId="360AACA0" w14:textId="77777777" w:rsidR="00B059F9" w:rsidRPr="00A32816" w:rsidRDefault="00B059F9" w:rsidP="00330E80">
            <w:pPr>
              <w:spacing w:after="60"/>
              <w:jc w:val="right"/>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pt-PT"/>
              </w:rPr>
            </w:pPr>
            <w:r w:rsidRPr="00A32816">
              <w:rPr>
                <w:rFonts w:eastAsia="Times New Roman" w:cs="Times New Roman"/>
                <w:b w:val="0"/>
                <w:bCs w:val="0"/>
                <w:color w:val="000000"/>
                <w:sz w:val="22"/>
                <w:lang w:eastAsia="pt-PT"/>
              </w:rPr>
              <w:t>2015</w:t>
            </w:r>
          </w:p>
        </w:tc>
        <w:tc>
          <w:tcPr>
            <w:tcW w:w="960" w:type="dxa"/>
            <w:tcBorders>
              <w:top w:val="double" w:sz="4" w:space="0" w:color="auto"/>
            </w:tcBorders>
            <w:noWrap/>
            <w:hideMark/>
          </w:tcPr>
          <w:p w14:paraId="528D4B78" w14:textId="77777777" w:rsidR="00B059F9" w:rsidRPr="00A32816" w:rsidRDefault="00B059F9" w:rsidP="00330E80">
            <w:pPr>
              <w:spacing w:after="60"/>
              <w:jc w:val="right"/>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pt-PT"/>
              </w:rPr>
            </w:pPr>
            <w:r w:rsidRPr="00A32816">
              <w:rPr>
                <w:rFonts w:eastAsia="Times New Roman" w:cs="Times New Roman"/>
                <w:b w:val="0"/>
                <w:bCs w:val="0"/>
                <w:color w:val="000000"/>
                <w:sz w:val="22"/>
                <w:lang w:eastAsia="pt-PT"/>
              </w:rPr>
              <w:t>2016</w:t>
            </w:r>
          </w:p>
        </w:tc>
        <w:tc>
          <w:tcPr>
            <w:tcW w:w="960" w:type="dxa"/>
            <w:tcBorders>
              <w:top w:val="double" w:sz="4" w:space="0" w:color="auto"/>
            </w:tcBorders>
            <w:noWrap/>
            <w:hideMark/>
          </w:tcPr>
          <w:p w14:paraId="1195102A" w14:textId="77777777" w:rsidR="00B059F9" w:rsidRPr="00A32816" w:rsidRDefault="00B059F9" w:rsidP="00330E80">
            <w:pPr>
              <w:spacing w:after="60"/>
              <w:jc w:val="right"/>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pt-PT"/>
              </w:rPr>
            </w:pPr>
            <w:r w:rsidRPr="00A32816">
              <w:rPr>
                <w:rFonts w:eastAsia="Times New Roman" w:cs="Times New Roman"/>
                <w:b w:val="0"/>
                <w:bCs w:val="0"/>
                <w:color w:val="000000"/>
                <w:sz w:val="22"/>
                <w:lang w:eastAsia="pt-PT"/>
              </w:rPr>
              <w:t>2017</w:t>
            </w:r>
          </w:p>
        </w:tc>
        <w:tc>
          <w:tcPr>
            <w:tcW w:w="1352" w:type="dxa"/>
            <w:tcBorders>
              <w:top w:val="double" w:sz="4" w:space="0" w:color="auto"/>
            </w:tcBorders>
            <w:noWrap/>
            <w:hideMark/>
          </w:tcPr>
          <w:p w14:paraId="1E99DF5F" w14:textId="2BB7259B" w:rsidR="00B059F9" w:rsidRPr="00A32816" w:rsidRDefault="00992617" w:rsidP="00330E80">
            <w:pPr>
              <w:spacing w:after="6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lang w:eastAsia="pt-PT"/>
              </w:rPr>
            </w:pPr>
            <w:r w:rsidRPr="00A32816">
              <w:rPr>
                <w:rFonts w:eastAsia="Times New Roman" w:cs="Times New Roman"/>
                <w:noProof/>
                <w:color w:val="000000"/>
                <w:sz w:val="22"/>
                <w:lang w:eastAsia="pt-PT"/>
              </w:rPr>
              <mc:AlternateContent>
                <mc:Choice Requires="wps">
                  <w:drawing>
                    <wp:anchor distT="0" distB="0" distL="114300" distR="114300" simplePos="0" relativeHeight="251658245" behindDoc="0" locked="0" layoutInCell="1" allowOverlap="1" wp14:anchorId="08D6F91B" wp14:editId="7BF1BD00">
                      <wp:simplePos x="0" y="0"/>
                      <wp:positionH relativeFrom="column">
                        <wp:posOffset>474345</wp:posOffset>
                      </wp:positionH>
                      <wp:positionV relativeFrom="paragraph">
                        <wp:posOffset>235585</wp:posOffset>
                      </wp:positionV>
                      <wp:extent cx="292100" cy="196850"/>
                      <wp:effectExtent l="0" t="0" r="12700" b="12700"/>
                      <wp:wrapNone/>
                      <wp:docPr id="26" name="Oval 26"/>
                      <wp:cNvGraphicFramePr/>
                      <a:graphic xmlns:a="http://schemas.openxmlformats.org/drawingml/2006/main">
                        <a:graphicData uri="http://schemas.microsoft.com/office/word/2010/wordprocessingShape">
                          <wps:wsp>
                            <wps:cNvSpPr/>
                            <wps:spPr>
                              <a:xfrm>
                                <a:off x="0" y="0"/>
                                <a:ext cx="292100" cy="1968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12EB2E9" id="Oval 26" o:spid="_x0000_s1026" style="position:absolute;margin-left:37.35pt;margin-top:18.55pt;width:23pt;height:15.5pt;z-index:25165824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Tz8lAIAAIQFAAAOAAAAZHJzL2Uyb0RvYy54bWysVN9PGzEMfp+0/yHK+7i7ChhUXFEF6jQJ&#10;AQImntNc0ouUxFmS9tr99XNyP6gG2sO0Plzj2P5sf7F9db03muyEDwpsTauTkhJhOTTKbmr642X1&#10;5YKSEJltmAYranoQgV4vPn+66txczKAF3QhPEMSGeedq2sbo5kUReCsMCyfghEWlBG9YRNFvisaz&#10;DtGNLmZleV504BvngYsQ8Pa2V9JFxpdS8PggZRCR6JpibjF/ff6u07dYXLH5xjPXKj6kwf4hC8OU&#10;xaAT1C2LjGy9egdlFPcQQMYTDqYAKRUXuQaspir/qOa5ZU7kWpCc4Caawv+D5fe7R09UU9PZOSWW&#10;GXyjhx3TBEXkpnNhjibP7tEPUsBjKnQvvUn/WALZZz4PE59iHwnHy9nlrCqRdY6q6vL84izzXbw5&#10;Ox/iNwGGpENNhdbKhVQxm7PdXYgYE61Hq3RtYaW0zq+mbboIoFWT7rLgN+sb7QkWUNPVqsRfqgIx&#10;jsxQSq5Fqq2vJp/iQYuEoe2TkMhIyj9nkntRTLCMc2Fj1ata1og+2tlxsNS9ySOHzoAJWWKWE/YA&#10;MFr2ICN2n/Ngn1xFbuXJufxbYr3z5JEjg42Ts1EW/EcAGqsaIvf2I0k9NYmlNTQH7BcP/SAFx1cK&#10;n+6OhfjIPE4OvjZug/iAH6mhqykMJ0pa8L8+uk/22NCopaTDSaxp+LllXlCiv1ts9cvq9DSNbhZO&#10;z77OUPDHmvWxxm7NDeDrV7h3HM/HZB/1eJQezCsujWWKiipmOcauKY9+FG5ivyFw7XCxXGYzHFfH&#10;4p19djyBJ1ZTX77sX5l3Q/9GbPx7GKf2XQ/3tsnTwnIbQarc4G+8DnzjqOfGGdZS2iXHcrZ6W56L&#10;3wAAAP//AwBQSwMEFAAGAAgAAAAhAPTqVYfcAAAACAEAAA8AAABkcnMvZG93bnJldi54bWxMj8FO&#10;wzAQRO9I/IO1SFwQdVKQk4Y4VYXUA8cWJK7beJtE2Osodtv073FPcJyd0czbej07K840hcGzhnyR&#10;gSBuvRm40/D1uX0uQYSIbNB6Jg1XCrBu7u9qrIy/8I7O+9iJVMKhQg19jGMlZWh7chgWfiRO3tFP&#10;DmOSUyfNhJdU7qxcZpmSDgdOCz2O9N5T+7M/OQ2bq4x2F1bbJ6NYqfgdPtCWWj8+zJs3EJHm+BeG&#10;G35ChyYxHfyJTRBWQ/FapKSGlyIHcfOXWTocNKgyB9nU8v8DzS8AAAD//wMAUEsBAi0AFAAGAAgA&#10;AAAhALaDOJL+AAAA4QEAABMAAAAAAAAAAAAAAAAAAAAAAFtDb250ZW50X1R5cGVzXS54bWxQSwEC&#10;LQAUAAYACAAAACEAOP0h/9YAAACUAQAACwAAAAAAAAAAAAAAAAAvAQAAX3JlbHMvLnJlbHNQSwEC&#10;LQAUAAYACAAAACEAwEk8/JQCAACEBQAADgAAAAAAAAAAAAAAAAAuAgAAZHJzL2Uyb0RvYy54bWxQ&#10;SwECLQAUAAYACAAAACEA9OpVh9wAAAAIAQAADwAAAAAAAAAAAAAAAADuBAAAZHJzL2Rvd25yZXYu&#10;eG1sUEsFBgAAAAAEAAQA8wAAAPcFAAAAAA==&#10;" filled="f" strokecolor="red" strokeweight="1pt">
                      <v:stroke joinstyle="miter"/>
                    </v:oval>
                  </w:pict>
                </mc:Fallback>
              </mc:AlternateContent>
            </w:r>
            <w:r w:rsidR="00B059F9" w:rsidRPr="00A32816">
              <w:rPr>
                <w:rFonts w:eastAsia="Times New Roman" w:cs="Times New Roman"/>
                <w:b w:val="0"/>
                <w:bCs w:val="0"/>
                <w:color w:val="000000"/>
                <w:sz w:val="22"/>
                <w:lang w:eastAsia="pt-PT"/>
              </w:rPr>
              <w:t>Total Geral</w:t>
            </w:r>
          </w:p>
        </w:tc>
      </w:tr>
      <w:tr w:rsidR="00B059F9" w:rsidRPr="00A32816" w14:paraId="55A73803" w14:textId="77777777" w:rsidTr="00C808B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660" w:type="dxa"/>
            <w:vMerge/>
            <w:tcBorders>
              <w:bottom w:val="single" w:sz="4" w:space="0" w:color="auto"/>
              <w:right w:val="single" w:sz="4" w:space="0" w:color="auto"/>
            </w:tcBorders>
            <w:noWrap/>
            <w:hideMark/>
          </w:tcPr>
          <w:p w14:paraId="758C7E35" w14:textId="0CCC7A90" w:rsidR="00B059F9" w:rsidRPr="00A32816" w:rsidRDefault="00B059F9" w:rsidP="009C5227">
            <w:pPr>
              <w:spacing w:line="276" w:lineRule="auto"/>
              <w:rPr>
                <w:rFonts w:eastAsia="Times New Roman" w:cs="Times New Roman"/>
                <w:b w:val="0"/>
                <w:bCs w:val="0"/>
                <w:color w:val="000000"/>
                <w:sz w:val="22"/>
                <w:lang w:eastAsia="pt-PT"/>
              </w:rPr>
            </w:pPr>
          </w:p>
        </w:tc>
        <w:tc>
          <w:tcPr>
            <w:tcW w:w="960" w:type="dxa"/>
            <w:tcBorders>
              <w:left w:val="single" w:sz="4" w:space="0" w:color="auto"/>
              <w:bottom w:val="single" w:sz="4" w:space="0" w:color="auto"/>
            </w:tcBorders>
            <w:shd w:val="clear" w:color="auto" w:fill="E7E6E6" w:themeFill="background2"/>
            <w:noWrap/>
            <w:hideMark/>
          </w:tcPr>
          <w:p w14:paraId="29D2B24A" w14:textId="3BC5BC60" w:rsidR="00B059F9" w:rsidRPr="00A32816" w:rsidRDefault="00B059F9"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1,4</w:t>
            </w:r>
          </w:p>
        </w:tc>
        <w:tc>
          <w:tcPr>
            <w:tcW w:w="960" w:type="dxa"/>
            <w:tcBorders>
              <w:bottom w:val="single" w:sz="4" w:space="0" w:color="auto"/>
            </w:tcBorders>
            <w:shd w:val="clear" w:color="auto" w:fill="E7E6E6" w:themeFill="background2"/>
            <w:noWrap/>
            <w:hideMark/>
          </w:tcPr>
          <w:p w14:paraId="130E7E1A" w14:textId="5372A548" w:rsidR="00B059F9" w:rsidRPr="00A32816" w:rsidRDefault="00B059F9"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pt-PT"/>
              </w:rPr>
            </w:pPr>
            <w:r w:rsidRPr="00A32816">
              <w:rPr>
                <w:rFonts w:eastAsia="Times New Roman" w:cs="Times New Roman"/>
                <w:b/>
                <w:bCs/>
                <w:color w:val="000000"/>
                <w:sz w:val="22"/>
                <w:lang w:eastAsia="pt-PT"/>
              </w:rPr>
              <w:t>-0,5</w:t>
            </w:r>
          </w:p>
        </w:tc>
        <w:tc>
          <w:tcPr>
            <w:tcW w:w="960" w:type="dxa"/>
            <w:tcBorders>
              <w:bottom w:val="single" w:sz="4" w:space="0" w:color="auto"/>
            </w:tcBorders>
            <w:shd w:val="clear" w:color="auto" w:fill="E7E6E6" w:themeFill="background2"/>
            <w:noWrap/>
            <w:hideMark/>
          </w:tcPr>
          <w:p w14:paraId="2E086E48" w14:textId="7CAFFD8F" w:rsidR="00B059F9" w:rsidRPr="00A32816" w:rsidRDefault="00B059F9"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pt-PT"/>
              </w:rPr>
            </w:pPr>
            <w:r w:rsidRPr="00A32816">
              <w:rPr>
                <w:rFonts w:eastAsia="Times New Roman" w:cs="Times New Roman"/>
                <w:b/>
                <w:bCs/>
                <w:color w:val="000000"/>
                <w:sz w:val="22"/>
                <w:lang w:eastAsia="pt-PT"/>
              </w:rPr>
              <w:t>-2</w:t>
            </w:r>
          </w:p>
        </w:tc>
        <w:tc>
          <w:tcPr>
            <w:tcW w:w="960" w:type="dxa"/>
            <w:tcBorders>
              <w:bottom w:val="single" w:sz="4" w:space="0" w:color="auto"/>
            </w:tcBorders>
            <w:shd w:val="clear" w:color="auto" w:fill="E7E6E6" w:themeFill="background2"/>
            <w:noWrap/>
            <w:hideMark/>
          </w:tcPr>
          <w:p w14:paraId="147B9AE6" w14:textId="10238C19" w:rsidR="00B059F9" w:rsidRPr="00A32816" w:rsidRDefault="00B059F9"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pt-PT"/>
              </w:rPr>
            </w:pPr>
            <w:r w:rsidRPr="00A32816">
              <w:rPr>
                <w:rFonts w:eastAsia="Times New Roman" w:cs="Times New Roman"/>
                <w:b/>
                <w:bCs/>
                <w:color w:val="000000"/>
                <w:sz w:val="22"/>
                <w:lang w:eastAsia="pt-PT"/>
              </w:rPr>
              <w:t>-3</w:t>
            </w:r>
          </w:p>
        </w:tc>
        <w:tc>
          <w:tcPr>
            <w:tcW w:w="960" w:type="dxa"/>
            <w:tcBorders>
              <w:bottom w:val="single" w:sz="4" w:space="0" w:color="auto"/>
            </w:tcBorders>
            <w:shd w:val="clear" w:color="auto" w:fill="E7E6E6" w:themeFill="background2"/>
            <w:noWrap/>
            <w:hideMark/>
          </w:tcPr>
          <w:p w14:paraId="64F21BC1" w14:textId="70B0FB2E" w:rsidR="00B059F9" w:rsidRPr="00A32816" w:rsidRDefault="00B059F9"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0,4</w:t>
            </w:r>
          </w:p>
        </w:tc>
        <w:tc>
          <w:tcPr>
            <w:tcW w:w="1352" w:type="dxa"/>
            <w:tcBorders>
              <w:bottom w:val="single" w:sz="4" w:space="0" w:color="auto"/>
            </w:tcBorders>
            <w:shd w:val="clear" w:color="auto" w:fill="E7E6E6" w:themeFill="background2"/>
            <w:noWrap/>
            <w:hideMark/>
          </w:tcPr>
          <w:p w14:paraId="371FAFC7" w14:textId="4AD36ADB" w:rsidR="00B059F9" w:rsidRPr="00A32816" w:rsidRDefault="00B059F9"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pt-PT"/>
              </w:rPr>
            </w:pPr>
            <w:r w:rsidRPr="00A32816">
              <w:rPr>
                <w:rFonts w:eastAsia="Times New Roman" w:cs="Times New Roman"/>
                <w:b/>
                <w:bCs/>
                <w:color w:val="000000"/>
                <w:sz w:val="22"/>
                <w:lang w:eastAsia="pt-PT"/>
              </w:rPr>
              <w:t>-0,9</w:t>
            </w:r>
          </w:p>
        </w:tc>
      </w:tr>
      <w:tr w:rsidR="00407FEC" w:rsidRPr="00A32816" w14:paraId="6FD6E203" w14:textId="77777777" w:rsidTr="009B6BC9">
        <w:trPr>
          <w:trHeight w:val="300"/>
          <w:jc w:val="center"/>
        </w:trPr>
        <w:tc>
          <w:tcPr>
            <w:cnfStyle w:val="001000000000" w:firstRow="0" w:lastRow="0" w:firstColumn="1" w:lastColumn="0" w:oddVBand="0" w:evenVBand="0" w:oddHBand="0" w:evenHBand="0" w:firstRowFirstColumn="0" w:firstRowLastColumn="0" w:lastRowFirstColumn="0" w:lastRowLastColumn="0"/>
            <w:tcW w:w="1660" w:type="dxa"/>
            <w:tcBorders>
              <w:top w:val="single" w:sz="4" w:space="0" w:color="auto"/>
              <w:right w:val="single" w:sz="4" w:space="0" w:color="auto"/>
            </w:tcBorders>
            <w:noWrap/>
            <w:hideMark/>
          </w:tcPr>
          <w:p w14:paraId="0B1CB950" w14:textId="77777777" w:rsidR="00407FEC" w:rsidRPr="00A32816" w:rsidRDefault="00407FEC" w:rsidP="009C5227">
            <w:pPr>
              <w:spacing w:line="276" w:lineRule="auto"/>
              <w:ind w:firstLineChars="100" w:firstLine="221"/>
              <w:rPr>
                <w:rFonts w:eastAsia="Times New Roman" w:cs="Times New Roman"/>
                <w:color w:val="000000"/>
                <w:sz w:val="22"/>
                <w:lang w:eastAsia="pt-PT"/>
              </w:rPr>
            </w:pPr>
            <w:r w:rsidRPr="00A32816">
              <w:rPr>
                <w:rFonts w:eastAsia="Times New Roman" w:cs="Times New Roman"/>
                <w:color w:val="000000"/>
                <w:sz w:val="22"/>
                <w:lang w:eastAsia="pt-PT"/>
              </w:rPr>
              <w:t>Açores</w:t>
            </w:r>
          </w:p>
        </w:tc>
        <w:tc>
          <w:tcPr>
            <w:tcW w:w="960" w:type="dxa"/>
            <w:tcBorders>
              <w:top w:val="single" w:sz="4" w:space="0" w:color="auto"/>
              <w:left w:val="single" w:sz="4" w:space="0" w:color="auto"/>
            </w:tcBorders>
            <w:noWrap/>
            <w:hideMark/>
          </w:tcPr>
          <w:p w14:paraId="67FDECF4" w14:textId="475D0423" w:rsidR="00407FEC" w:rsidRPr="00A32816" w:rsidRDefault="0036727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11</w:t>
            </w:r>
          </w:p>
        </w:tc>
        <w:tc>
          <w:tcPr>
            <w:tcW w:w="960" w:type="dxa"/>
            <w:tcBorders>
              <w:top w:val="single" w:sz="4" w:space="0" w:color="auto"/>
            </w:tcBorders>
            <w:noWrap/>
            <w:hideMark/>
          </w:tcPr>
          <w:p w14:paraId="13784401" w14:textId="2BDDB6BC" w:rsidR="00407FEC" w:rsidRPr="00A32816" w:rsidRDefault="0036727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5,4</w:t>
            </w:r>
          </w:p>
        </w:tc>
        <w:tc>
          <w:tcPr>
            <w:tcW w:w="960" w:type="dxa"/>
            <w:tcBorders>
              <w:top w:val="single" w:sz="4" w:space="0" w:color="auto"/>
            </w:tcBorders>
            <w:noWrap/>
            <w:hideMark/>
          </w:tcPr>
          <w:p w14:paraId="07D59B68" w14:textId="5E3DA0AE" w:rsidR="00407FEC" w:rsidRPr="00A32816" w:rsidRDefault="00407FE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10,8</w:t>
            </w:r>
          </w:p>
        </w:tc>
        <w:tc>
          <w:tcPr>
            <w:tcW w:w="960" w:type="dxa"/>
            <w:tcBorders>
              <w:top w:val="single" w:sz="4" w:space="0" w:color="auto"/>
            </w:tcBorders>
            <w:noWrap/>
            <w:hideMark/>
          </w:tcPr>
          <w:p w14:paraId="28B78B5F" w14:textId="24760229" w:rsidR="00407FEC" w:rsidRPr="00A32816" w:rsidRDefault="0036727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-4,7</w:t>
            </w:r>
          </w:p>
        </w:tc>
        <w:tc>
          <w:tcPr>
            <w:tcW w:w="960" w:type="dxa"/>
            <w:tcBorders>
              <w:top w:val="single" w:sz="4" w:space="0" w:color="auto"/>
            </w:tcBorders>
            <w:noWrap/>
            <w:hideMark/>
          </w:tcPr>
          <w:p w14:paraId="246A83E5" w14:textId="6058CE04" w:rsidR="00407FEC" w:rsidRPr="00A32816" w:rsidRDefault="0036727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8,7</w:t>
            </w:r>
          </w:p>
        </w:tc>
        <w:tc>
          <w:tcPr>
            <w:tcW w:w="1352" w:type="dxa"/>
            <w:tcBorders>
              <w:top w:val="single" w:sz="4" w:space="0" w:color="auto"/>
            </w:tcBorders>
            <w:noWrap/>
            <w:hideMark/>
          </w:tcPr>
          <w:p w14:paraId="2552AD81" w14:textId="2E30EACD" w:rsidR="00407FEC" w:rsidRPr="00A32816" w:rsidRDefault="0036727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7</w:t>
            </w:r>
          </w:p>
        </w:tc>
      </w:tr>
      <w:tr w:rsidR="00407FEC" w:rsidRPr="00A32816" w14:paraId="48E7B879" w14:textId="77777777" w:rsidTr="00C808B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660" w:type="dxa"/>
            <w:tcBorders>
              <w:right w:val="single" w:sz="4" w:space="0" w:color="auto"/>
            </w:tcBorders>
            <w:shd w:val="clear" w:color="auto" w:fill="E7E6E6" w:themeFill="background2"/>
            <w:noWrap/>
            <w:hideMark/>
          </w:tcPr>
          <w:p w14:paraId="21A9771E" w14:textId="77777777" w:rsidR="00407FEC" w:rsidRPr="00A32816" w:rsidRDefault="00407FEC" w:rsidP="009C5227">
            <w:pPr>
              <w:spacing w:line="276" w:lineRule="auto"/>
              <w:ind w:firstLineChars="100" w:firstLine="221"/>
              <w:rPr>
                <w:rFonts w:eastAsia="Times New Roman" w:cs="Times New Roman"/>
                <w:color w:val="000000"/>
                <w:sz w:val="22"/>
                <w:lang w:eastAsia="pt-PT"/>
              </w:rPr>
            </w:pPr>
            <w:r w:rsidRPr="00A32816">
              <w:rPr>
                <w:rFonts w:eastAsia="Times New Roman" w:cs="Times New Roman"/>
                <w:color w:val="000000"/>
                <w:sz w:val="22"/>
                <w:lang w:eastAsia="pt-PT"/>
              </w:rPr>
              <w:t>Alentejo</w:t>
            </w:r>
          </w:p>
        </w:tc>
        <w:tc>
          <w:tcPr>
            <w:tcW w:w="960" w:type="dxa"/>
            <w:tcBorders>
              <w:left w:val="single" w:sz="4" w:space="0" w:color="auto"/>
            </w:tcBorders>
            <w:shd w:val="clear" w:color="auto" w:fill="E7E6E6" w:themeFill="background2"/>
            <w:noWrap/>
            <w:hideMark/>
          </w:tcPr>
          <w:p w14:paraId="7D4B6E45" w14:textId="7A99E105" w:rsidR="00407FEC" w:rsidRPr="00A32816" w:rsidRDefault="0036727C"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pt-PT"/>
              </w:rPr>
            </w:pPr>
            <w:r w:rsidRPr="00A32816">
              <w:rPr>
                <w:rFonts w:eastAsia="Times New Roman" w:cs="Times New Roman"/>
                <w:b/>
                <w:bCs/>
                <w:color w:val="000000"/>
                <w:sz w:val="22"/>
                <w:lang w:eastAsia="pt-PT"/>
              </w:rPr>
              <w:t>-3,5</w:t>
            </w:r>
          </w:p>
        </w:tc>
        <w:tc>
          <w:tcPr>
            <w:tcW w:w="960" w:type="dxa"/>
            <w:shd w:val="clear" w:color="auto" w:fill="E7E6E6" w:themeFill="background2"/>
            <w:noWrap/>
            <w:hideMark/>
          </w:tcPr>
          <w:p w14:paraId="51D24BFF" w14:textId="7C5A8482" w:rsidR="00407FEC" w:rsidRPr="00A32816" w:rsidRDefault="00407FEC"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pt-PT"/>
              </w:rPr>
            </w:pPr>
            <w:r w:rsidRPr="00A32816">
              <w:rPr>
                <w:rFonts w:eastAsia="Times New Roman" w:cs="Times New Roman"/>
                <w:b/>
                <w:bCs/>
                <w:color w:val="000000"/>
                <w:sz w:val="22"/>
                <w:lang w:eastAsia="pt-PT"/>
              </w:rPr>
              <w:t>-1,4</w:t>
            </w:r>
          </w:p>
        </w:tc>
        <w:tc>
          <w:tcPr>
            <w:tcW w:w="960" w:type="dxa"/>
            <w:shd w:val="clear" w:color="auto" w:fill="E7E6E6" w:themeFill="background2"/>
            <w:noWrap/>
            <w:hideMark/>
          </w:tcPr>
          <w:p w14:paraId="0BBA43F1" w14:textId="3A6CA3D0" w:rsidR="00407FEC" w:rsidRPr="00A32816" w:rsidRDefault="0036727C"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9,7</w:t>
            </w:r>
          </w:p>
        </w:tc>
        <w:tc>
          <w:tcPr>
            <w:tcW w:w="960" w:type="dxa"/>
            <w:shd w:val="clear" w:color="auto" w:fill="E7E6E6" w:themeFill="background2"/>
            <w:noWrap/>
            <w:hideMark/>
          </w:tcPr>
          <w:p w14:paraId="03CD20EA" w14:textId="208C65F8" w:rsidR="00407FEC" w:rsidRPr="00A32816" w:rsidRDefault="0036727C"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11,2</w:t>
            </w:r>
          </w:p>
        </w:tc>
        <w:tc>
          <w:tcPr>
            <w:tcW w:w="960" w:type="dxa"/>
            <w:shd w:val="clear" w:color="auto" w:fill="E7E6E6" w:themeFill="background2"/>
            <w:noWrap/>
            <w:hideMark/>
          </w:tcPr>
          <w:p w14:paraId="6F745280" w14:textId="4D51F314" w:rsidR="00407FEC" w:rsidRPr="00A32816" w:rsidRDefault="0036727C"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5,5</w:t>
            </w:r>
          </w:p>
        </w:tc>
        <w:tc>
          <w:tcPr>
            <w:tcW w:w="1352" w:type="dxa"/>
            <w:shd w:val="clear" w:color="auto" w:fill="E7E6E6" w:themeFill="background2"/>
            <w:noWrap/>
            <w:hideMark/>
          </w:tcPr>
          <w:p w14:paraId="5C8DD9C1" w14:textId="173359B3" w:rsidR="00407FEC" w:rsidRPr="00A32816" w:rsidRDefault="0036727C"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3,8</w:t>
            </w:r>
          </w:p>
        </w:tc>
      </w:tr>
      <w:tr w:rsidR="00407FEC" w:rsidRPr="00A32816" w14:paraId="64A50720" w14:textId="77777777" w:rsidTr="009B6BC9">
        <w:trPr>
          <w:trHeight w:val="300"/>
          <w:jc w:val="center"/>
        </w:trPr>
        <w:tc>
          <w:tcPr>
            <w:cnfStyle w:val="001000000000" w:firstRow="0" w:lastRow="0" w:firstColumn="1" w:lastColumn="0" w:oddVBand="0" w:evenVBand="0" w:oddHBand="0" w:evenHBand="0" w:firstRowFirstColumn="0" w:firstRowLastColumn="0" w:lastRowFirstColumn="0" w:lastRowLastColumn="0"/>
            <w:tcW w:w="1660" w:type="dxa"/>
            <w:tcBorders>
              <w:right w:val="single" w:sz="4" w:space="0" w:color="auto"/>
            </w:tcBorders>
            <w:noWrap/>
            <w:hideMark/>
          </w:tcPr>
          <w:p w14:paraId="7C9CE15B" w14:textId="77777777" w:rsidR="00407FEC" w:rsidRPr="00A32816" w:rsidRDefault="00407FEC" w:rsidP="009C5227">
            <w:pPr>
              <w:spacing w:line="276" w:lineRule="auto"/>
              <w:ind w:firstLineChars="100" w:firstLine="221"/>
              <w:rPr>
                <w:rFonts w:eastAsia="Times New Roman" w:cs="Times New Roman"/>
                <w:color w:val="000000"/>
                <w:sz w:val="22"/>
                <w:lang w:eastAsia="pt-PT"/>
              </w:rPr>
            </w:pPr>
            <w:r w:rsidRPr="00A32816">
              <w:rPr>
                <w:rFonts w:eastAsia="Times New Roman" w:cs="Times New Roman"/>
                <w:color w:val="000000"/>
                <w:sz w:val="22"/>
                <w:lang w:eastAsia="pt-PT"/>
              </w:rPr>
              <w:t>Algarve</w:t>
            </w:r>
          </w:p>
        </w:tc>
        <w:tc>
          <w:tcPr>
            <w:tcW w:w="960" w:type="dxa"/>
            <w:tcBorders>
              <w:left w:val="single" w:sz="4" w:space="0" w:color="auto"/>
            </w:tcBorders>
            <w:noWrap/>
            <w:hideMark/>
          </w:tcPr>
          <w:p w14:paraId="297E5360" w14:textId="1F2BE9CF" w:rsidR="00407FEC" w:rsidRPr="00A32816" w:rsidRDefault="0036727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3,6</w:t>
            </w:r>
          </w:p>
        </w:tc>
        <w:tc>
          <w:tcPr>
            <w:tcW w:w="960" w:type="dxa"/>
            <w:noWrap/>
            <w:hideMark/>
          </w:tcPr>
          <w:p w14:paraId="6E515254" w14:textId="5BE72922" w:rsidR="00407FEC" w:rsidRPr="00A32816" w:rsidRDefault="00407FE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lang w:eastAsia="pt-PT"/>
              </w:rPr>
            </w:pPr>
            <w:r w:rsidRPr="00A32816">
              <w:rPr>
                <w:rFonts w:eastAsia="Times New Roman" w:cs="Times New Roman"/>
                <w:b/>
                <w:bCs/>
                <w:color w:val="000000"/>
                <w:sz w:val="22"/>
                <w:lang w:eastAsia="pt-PT"/>
              </w:rPr>
              <w:t>-1,3</w:t>
            </w:r>
          </w:p>
        </w:tc>
        <w:tc>
          <w:tcPr>
            <w:tcW w:w="960" w:type="dxa"/>
            <w:noWrap/>
            <w:hideMark/>
          </w:tcPr>
          <w:p w14:paraId="40D05328" w14:textId="696AA841" w:rsidR="00407FEC" w:rsidRPr="00A32816" w:rsidRDefault="0036727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lang w:eastAsia="pt-PT"/>
              </w:rPr>
            </w:pPr>
            <w:r w:rsidRPr="00A32816">
              <w:rPr>
                <w:rFonts w:eastAsia="Times New Roman" w:cs="Times New Roman"/>
                <w:b/>
                <w:bCs/>
                <w:color w:val="auto"/>
                <w:sz w:val="22"/>
                <w:lang w:eastAsia="pt-PT"/>
              </w:rPr>
              <w:t>-19,5</w:t>
            </w:r>
          </w:p>
        </w:tc>
        <w:tc>
          <w:tcPr>
            <w:tcW w:w="960" w:type="dxa"/>
            <w:noWrap/>
            <w:hideMark/>
          </w:tcPr>
          <w:p w14:paraId="1312FBED" w14:textId="5C6C4FB6" w:rsidR="00407FEC" w:rsidRPr="00A32816" w:rsidRDefault="0036727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lang w:eastAsia="pt-PT"/>
              </w:rPr>
            </w:pPr>
            <w:r w:rsidRPr="00A32816">
              <w:rPr>
                <w:rFonts w:eastAsia="Times New Roman" w:cs="Times New Roman"/>
                <w:b/>
                <w:bCs/>
                <w:color w:val="auto"/>
                <w:sz w:val="22"/>
                <w:lang w:eastAsia="pt-PT"/>
              </w:rPr>
              <w:t>-28,9</w:t>
            </w:r>
          </w:p>
        </w:tc>
        <w:tc>
          <w:tcPr>
            <w:tcW w:w="960" w:type="dxa"/>
            <w:noWrap/>
            <w:hideMark/>
          </w:tcPr>
          <w:p w14:paraId="5A577722" w14:textId="5A04FD51" w:rsidR="00407FEC" w:rsidRPr="00A32816" w:rsidRDefault="0036727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auto"/>
                <w:sz w:val="22"/>
                <w:lang w:eastAsia="pt-PT"/>
              </w:rPr>
            </w:pPr>
            <w:r w:rsidRPr="00A32816">
              <w:rPr>
                <w:rFonts w:eastAsia="Times New Roman" w:cs="Times New Roman"/>
                <w:b/>
                <w:bCs/>
                <w:color w:val="auto"/>
                <w:sz w:val="22"/>
                <w:lang w:eastAsia="pt-PT"/>
              </w:rPr>
              <w:t>-14,1</w:t>
            </w:r>
          </w:p>
        </w:tc>
        <w:tc>
          <w:tcPr>
            <w:tcW w:w="1352" w:type="dxa"/>
            <w:noWrap/>
            <w:hideMark/>
          </w:tcPr>
          <w:p w14:paraId="68822A7E" w14:textId="5E3D4BD6" w:rsidR="00407FEC" w:rsidRPr="00A32816" w:rsidRDefault="0036727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auto"/>
                <w:sz w:val="22"/>
                <w:lang w:eastAsia="pt-PT"/>
              </w:rPr>
            </w:pPr>
            <w:r w:rsidRPr="00A32816">
              <w:rPr>
                <w:rFonts w:eastAsia="Times New Roman" w:cs="Times New Roman"/>
                <w:b/>
                <w:bCs/>
                <w:color w:val="auto"/>
                <w:sz w:val="22"/>
                <w:lang w:eastAsia="pt-PT"/>
              </w:rPr>
              <w:t>-11,4</w:t>
            </w:r>
          </w:p>
        </w:tc>
      </w:tr>
      <w:tr w:rsidR="00407FEC" w:rsidRPr="00A32816" w14:paraId="3475BC90" w14:textId="77777777" w:rsidTr="00C808B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660" w:type="dxa"/>
            <w:tcBorders>
              <w:right w:val="single" w:sz="4" w:space="0" w:color="auto"/>
            </w:tcBorders>
            <w:shd w:val="clear" w:color="auto" w:fill="E7E6E6" w:themeFill="background2"/>
            <w:noWrap/>
            <w:hideMark/>
          </w:tcPr>
          <w:p w14:paraId="2A0F5149" w14:textId="77777777" w:rsidR="00407FEC" w:rsidRPr="00A32816" w:rsidRDefault="00407FEC" w:rsidP="009C5227">
            <w:pPr>
              <w:spacing w:line="276" w:lineRule="auto"/>
              <w:ind w:firstLineChars="100" w:firstLine="221"/>
              <w:rPr>
                <w:rFonts w:eastAsia="Times New Roman" w:cs="Times New Roman"/>
                <w:color w:val="000000"/>
                <w:sz w:val="22"/>
                <w:lang w:eastAsia="pt-PT"/>
              </w:rPr>
            </w:pPr>
            <w:r w:rsidRPr="00A32816">
              <w:rPr>
                <w:rFonts w:eastAsia="Times New Roman" w:cs="Times New Roman"/>
                <w:color w:val="000000"/>
                <w:sz w:val="22"/>
                <w:lang w:eastAsia="pt-PT"/>
              </w:rPr>
              <w:t>Centro</w:t>
            </w:r>
          </w:p>
        </w:tc>
        <w:tc>
          <w:tcPr>
            <w:tcW w:w="960" w:type="dxa"/>
            <w:tcBorders>
              <w:left w:val="single" w:sz="4" w:space="0" w:color="auto"/>
            </w:tcBorders>
            <w:shd w:val="clear" w:color="auto" w:fill="E7E6E6" w:themeFill="background2"/>
            <w:noWrap/>
            <w:hideMark/>
          </w:tcPr>
          <w:p w14:paraId="28AE1E42" w14:textId="34F9AEF3" w:rsidR="00407FEC" w:rsidRPr="00A32816" w:rsidRDefault="0036727C"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2,0</w:t>
            </w:r>
          </w:p>
        </w:tc>
        <w:tc>
          <w:tcPr>
            <w:tcW w:w="960" w:type="dxa"/>
            <w:shd w:val="clear" w:color="auto" w:fill="E7E6E6" w:themeFill="background2"/>
            <w:noWrap/>
            <w:hideMark/>
          </w:tcPr>
          <w:p w14:paraId="3ACBA16B" w14:textId="0921BE82" w:rsidR="00407FEC" w:rsidRPr="00A32816" w:rsidRDefault="0036727C"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pt-PT"/>
              </w:rPr>
            </w:pPr>
            <w:r w:rsidRPr="00A32816">
              <w:rPr>
                <w:rFonts w:eastAsia="Times New Roman" w:cs="Times New Roman"/>
                <w:b/>
                <w:bCs/>
                <w:color w:val="000000"/>
                <w:sz w:val="22"/>
                <w:lang w:eastAsia="pt-PT"/>
              </w:rPr>
              <w:t>-0,0</w:t>
            </w:r>
          </w:p>
        </w:tc>
        <w:tc>
          <w:tcPr>
            <w:tcW w:w="960" w:type="dxa"/>
            <w:shd w:val="clear" w:color="auto" w:fill="E7E6E6" w:themeFill="background2"/>
            <w:noWrap/>
            <w:hideMark/>
          </w:tcPr>
          <w:p w14:paraId="30FC5EBD" w14:textId="323C33D0" w:rsidR="00407FEC" w:rsidRPr="00A32816" w:rsidRDefault="0036727C"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pt-PT"/>
              </w:rPr>
            </w:pPr>
            <w:r w:rsidRPr="00A32816">
              <w:rPr>
                <w:rFonts w:eastAsia="Times New Roman" w:cs="Times New Roman"/>
                <w:b/>
                <w:bCs/>
                <w:color w:val="000000"/>
                <w:sz w:val="22"/>
                <w:lang w:eastAsia="pt-PT"/>
              </w:rPr>
              <w:t>-1,9</w:t>
            </w:r>
          </w:p>
        </w:tc>
        <w:tc>
          <w:tcPr>
            <w:tcW w:w="960" w:type="dxa"/>
            <w:shd w:val="clear" w:color="auto" w:fill="E7E6E6" w:themeFill="background2"/>
            <w:noWrap/>
            <w:hideMark/>
          </w:tcPr>
          <w:p w14:paraId="5CCB3C78" w14:textId="72C8DCD4" w:rsidR="00407FEC" w:rsidRPr="00A32816" w:rsidRDefault="0036727C"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pt-PT"/>
              </w:rPr>
            </w:pPr>
            <w:r w:rsidRPr="00A32816">
              <w:rPr>
                <w:rFonts w:eastAsia="Times New Roman" w:cs="Times New Roman"/>
                <w:b/>
                <w:bCs/>
                <w:color w:val="000000"/>
                <w:sz w:val="22"/>
                <w:lang w:eastAsia="pt-PT"/>
              </w:rPr>
              <w:t>-3,0</w:t>
            </w:r>
          </w:p>
        </w:tc>
        <w:tc>
          <w:tcPr>
            <w:tcW w:w="960" w:type="dxa"/>
            <w:shd w:val="clear" w:color="auto" w:fill="E7E6E6" w:themeFill="background2"/>
            <w:noWrap/>
            <w:hideMark/>
          </w:tcPr>
          <w:p w14:paraId="7BDBB031" w14:textId="26293EE5" w:rsidR="00407FEC" w:rsidRPr="00A32816" w:rsidRDefault="0036727C"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pt-PT"/>
              </w:rPr>
            </w:pPr>
            <w:r w:rsidRPr="00A32816">
              <w:rPr>
                <w:rFonts w:eastAsia="Times New Roman" w:cs="Times New Roman"/>
                <w:b/>
                <w:bCs/>
                <w:color w:val="000000"/>
                <w:sz w:val="22"/>
                <w:lang w:eastAsia="pt-PT"/>
              </w:rPr>
              <w:t>-1,2</w:t>
            </w:r>
          </w:p>
        </w:tc>
        <w:tc>
          <w:tcPr>
            <w:tcW w:w="1352" w:type="dxa"/>
            <w:shd w:val="clear" w:color="auto" w:fill="E7E6E6" w:themeFill="background2"/>
            <w:noWrap/>
            <w:hideMark/>
          </w:tcPr>
          <w:p w14:paraId="36033785" w14:textId="212E5178" w:rsidR="00407FEC" w:rsidRPr="00A32816" w:rsidRDefault="0036727C"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pt-PT"/>
              </w:rPr>
            </w:pPr>
            <w:r w:rsidRPr="00A32816">
              <w:rPr>
                <w:rFonts w:eastAsia="Times New Roman" w:cs="Times New Roman"/>
                <w:b/>
                <w:bCs/>
                <w:color w:val="000000"/>
                <w:sz w:val="22"/>
                <w:lang w:eastAsia="pt-PT"/>
              </w:rPr>
              <w:t>-0,8</w:t>
            </w:r>
          </w:p>
        </w:tc>
      </w:tr>
      <w:tr w:rsidR="00407FEC" w:rsidRPr="00A32816" w14:paraId="1D0992A7" w14:textId="77777777" w:rsidTr="009B6BC9">
        <w:trPr>
          <w:trHeight w:val="300"/>
          <w:jc w:val="center"/>
        </w:trPr>
        <w:tc>
          <w:tcPr>
            <w:cnfStyle w:val="001000000000" w:firstRow="0" w:lastRow="0" w:firstColumn="1" w:lastColumn="0" w:oddVBand="0" w:evenVBand="0" w:oddHBand="0" w:evenHBand="0" w:firstRowFirstColumn="0" w:firstRowLastColumn="0" w:lastRowFirstColumn="0" w:lastRowLastColumn="0"/>
            <w:tcW w:w="1660" w:type="dxa"/>
            <w:tcBorders>
              <w:right w:val="single" w:sz="4" w:space="0" w:color="auto"/>
            </w:tcBorders>
            <w:noWrap/>
            <w:hideMark/>
          </w:tcPr>
          <w:p w14:paraId="23CFB296" w14:textId="77777777" w:rsidR="00407FEC" w:rsidRPr="00A32816" w:rsidRDefault="00407FEC" w:rsidP="009C5227">
            <w:pPr>
              <w:spacing w:line="276" w:lineRule="auto"/>
              <w:ind w:firstLineChars="100" w:firstLine="221"/>
              <w:rPr>
                <w:rFonts w:eastAsia="Times New Roman" w:cs="Times New Roman"/>
                <w:color w:val="000000"/>
                <w:sz w:val="22"/>
                <w:lang w:eastAsia="pt-PT"/>
              </w:rPr>
            </w:pPr>
            <w:r w:rsidRPr="00A32816">
              <w:rPr>
                <w:rFonts w:eastAsia="Times New Roman" w:cs="Times New Roman"/>
                <w:color w:val="000000"/>
                <w:sz w:val="22"/>
                <w:lang w:eastAsia="pt-PT"/>
              </w:rPr>
              <w:t>Lisboa</w:t>
            </w:r>
          </w:p>
        </w:tc>
        <w:tc>
          <w:tcPr>
            <w:tcW w:w="960" w:type="dxa"/>
            <w:tcBorders>
              <w:left w:val="single" w:sz="4" w:space="0" w:color="auto"/>
            </w:tcBorders>
            <w:noWrap/>
            <w:hideMark/>
          </w:tcPr>
          <w:p w14:paraId="7202E8E6" w14:textId="26128BBC" w:rsidR="00407FEC" w:rsidRPr="00A32816" w:rsidRDefault="0036727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lang w:eastAsia="pt-PT"/>
              </w:rPr>
            </w:pPr>
            <w:r w:rsidRPr="00A32816">
              <w:rPr>
                <w:rFonts w:eastAsia="Times New Roman" w:cs="Times New Roman"/>
                <w:b/>
                <w:bCs/>
                <w:color w:val="000000"/>
                <w:sz w:val="22"/>
                <w:lang w:eastAsia="pt-PT"/>
              </w:rPr>
              <w:t>-0,6</w:t>
            </w:r>
          </w:p>
        </w:tc>
        <w:tc>
          <w:tcPr>
            <w:tcW w:w="960" w:type="dxa"/>
            <w:noWrap/>
            <w:hideMark/>
          </w:tcPr>
          <w:p w14:paraId="74ADB989" w14:textId="4F34FCF4" w:rsidR="00407FEC" w:rsidRPr="00A32816" w:rsidRDefault="0036727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0,6</w:t>
            </w:r>
          </w:p>
        </w:tc>
        <w:tc>
          <w:tcPr>
            <w:tcW w:w="960" w:type="dxa"/>
            <w:noWrap/>
            <w:hideMark/>
          </w:tcPr>
          <w:p w14:paraId="47B3B1E2" w14:textId="308772B4" w:rsidR="00407FEC" w:rsidRPr="00A32816" w:rsidRDefault="00407FE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1,8</w:t>
            </w:r>
          </w:p>
        </w:tc>
        <w:tc>
          <w:tcPr>
            <w:tcW w:w="960" w:type="dxa"/>
            <w:noWrap/>
            <w:hideMark/>
          </w:tcPr>
          <w:p w14:paraId="53BC0158" w14:textId="09FA2B41" w:rsidR="00407FEC" w:rsidRPr="00A32816" w:rsidRDefault="0036727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4,8</w:t>
            </w:r>
          </w:p>
        </w:tc>
        <w:tc>
          <w:tcPr>
            <w:tcW w:w="960" w:type="dxa"/>
            <w:noWrap/>
            <w:hideMark/>
          </w:tcPr>
          <w:p w14:paraId="6E8C696E" w14:textId="3293BB32" w:rsidR="00407FEC" w:rsidRPr="00A32816" w:rsidRDefault="0036727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18,8</w:t>
            </w:r>
          </w:p>
        </w:tc>
        <w:tc>
          <w:tcPr>
            <w:tcW w:w="1352" w:type="dxa"/>
            <w:noWrap/>
            <w:hideMark/>
          </w:tcPr>
          <w:p w14:paraId="1BB58059" w14:textId="31AA2C97" w:rsidR="00407FEC" w:rsidRPr="00A32816" w:rsidRDefault="0036727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6,6</w:t>
            </w:r>
          </w:p>
        </w:tc>
      </w:tr>
      <w:tr w:rsidR="00407FEC" w:rsidRPr="00A32816" w14:paraId="721A03C0" w14:textId="77777777" w:rsidTr="00C808BF">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660" w:type="dxa"/>
            <w:tcBorders>
              <w:right w:val="single" w:sz="4" w:space="0" w:color="auto"/>
            </w:tcBorders>
            <w:shd w:val="clear" w:color="auto" w:fill="E7E6E6" w:themeFill="background2"/>
            <w:noWrap/>
            <w:hideMark/>
          </w:tcPr>
          <w:p w14:paraId="134BCC9D" w14:textId="77777777" w:rsidR="00407FEC" w:rsidRPr="00A32816" w:rsidRDefault="00407FEC" w:rsidP="009C5227">
            <w:pPr>
              <w:spacing w:line="276" w:lineRule="auto"/>
              <w:ind w:firstLineChars="100" w:firstLine="221"/>
              <w:rPr>
                <w:rFonts w:eastAsia="Times New Roman" w:cs="Times New Roman"/>
                <w:color w:val="000000"/>
                <w:sz w:val="22"/>
                <w:lang w:eastAsia="pt-PT"/>
              </w:rPr>
            </w:pPr>
            <w:r w:rsidRPr="00A32816">
              <w:rPr>
                <w:rFonts w:eastAsia="Times New Roman" w:cs="Times New Roman"/>
                <w:color w:val="000000"/>
                <w:sz w:val="22"/>
                <w:lang w:eastAsia="pt-PT"/>
              </w:rPr>
              <w:t>Madeira</w:t>
            </w:r>
          </w:p>
        </w:tc>
        <w:tc>
          <w:tcPr>
            <w:tcW w:w="960" w:type="dxa"/>
            <w:tcBorders>
              <w:left w:val="single" w:sz="4" w:space="0" w:color="auto"/>
            </w:tcBorders>
            <w:shd w:val="clear" w:color="auto" w:fill="E7E6E6" w:themeFill="background2"/>
            <w:noWrap/>
            <w:hideMark/>
          </w:tcPr>
          <w:p w14:paraId="5DF5627F" w14:textId="3CC4BD4C" w:rsidR="00407FEC" w:rsidRPr="00A32816" w:rsidRDefault="0036727C"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0,5</w:t>
            </w:r>
          </w:p>
        </w:tc>
        <w:tc>
          <w:tcPr>
            <w:tcW w:w="960" w:type="dxa"/>
            <w:shd w:val="clear" w:color="auto" w:fill="E7E6E6" w:themeFill="background2"/>
            <w:noWrap/>
            <w:hideMark/>
          </w:tcPr>
          <w:p w14:paraId="29D09C92" w14:textId="74CC7E09" w:rsidR="00407FEC" w:rsidRPr="00A32816" w:rsidRDefault="0036727C"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1,2</w:t>
            </w:r>
          </w:p>
        </w:tc>
        <w:tc>
          <w:tcPr>
            <w:tcW w:w="960" w:type="dxa"/>
            <w:shd w:val="clear" w:color="auto" w:fill="E7E6E6" w:themeFill="background2"/>
            <w:noWrap/>
            <w:hideMark/>
          </w:tcPr>
          <w:p w14:paraId="43135F3C" w14:textId="7E9E3168" w:rsidR="00407FEC" w:rsidRPr="00A32816" w:rsidRDefault="00407FEC"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0,1</w:t>
            </w:r>
          </w:p>
        </w:tc>
        <w:tc>
          <w:tcPr>
            <w:tcW w:w="960" w:type="dxa"/>
            <w:shd w:val="clear" w:color="auto" w:fill="E7E6E6" w:themeFill="background2"/>
            <w:noWrap/>
            <w:hideMark/>
          </w:tcPr>
          <w:p w14:paraId="5939649A" w14:textId="6032240F" w:rsidR="00407FEC" w:rsidRPr="00A32816" w:rsidRDefault="0036727C"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5,8</w:t>
            </w:r>
          </w:p>
        </w:tc>
        <w:tc>
          <w:tcPr>
            <w:tcW w:w="960" w:type="dxa"/>
            <w:shd w:val="clear" w:color="auto" w:fill="E7E6E6" w:themeFill="background2"/>
            <w:noWrap/>
            <w:hideMark/>
          </w:tcPr>
          <w:p w14:paraId="09D53FB1" w14:textId="04319DF5" w:rsidR="00407FEC" w:rsidRPr="00A32816" w:rsidRDefault="0036727C"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lang w:eastAsia="pt-PT"/>
              </w:rPr>
            </w:pPr>
            <w:r w:rsidRPr="00A32816">
              <w:rPr>
                <w:rFonts w:eastAsia="Times New Roman" w:cs="Times New Roman"/>
                <w:b/>
                <w:bCs/>
                <w:color w:val="000000"/>
                <w:sz w:val="22"/>
                <w:lang w:eastAsia="pt-PT"/>
              </w:rPr>
              <w:t>-1,9</w:t>
            </w:r>
          </w:p>
        </w:tc>
        <w:tc>
          <w:tcPr>
            <w:tcW w:w="1352" w:type="dxa"/>
            <w:shd w:val="clear" w:color="auto" w:fill="E7E6E6" w:themeFill="background2"/>
            <w:noWrap/>
            <w:hideMark/>
          </w:tcPr>
          <w:p w14:paraId="54F91150" w14:textId="067B6A55" w:rsidR="00407FEC" w:rsidRPr="00A32816" w:rsidRDefault="0036727C" w:rsidP="009C5227">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0,5</w:t>
            </w:r>
          </w:p>
        </w:tc>
      </w:tr>
      <w:tr w:rsidR="00407FEC" w:rsidRPr="00A32816" w14:paraId="0FAD9804" w14:textId="77777777" w:rsidTr="009B6BC9">
        <w:trPr>
          <w:trHeight w:val="300"/>
          <w:jc w:val="center"/>
        </w:trPr>
        <w:tc>
          <w:tcPr>
            <w:cnfStyle w:val="001000000000" w:firstRow="0" w:lastRow="0" w:firstColumn="1" w:lastColumn="0" w:oddVBand="0" w:evenVBand="0" w:oddHBand="0" w:evenHBand="0" w:firstRowFirstColumn="0" w:firstRowLastColumn="0" w:lastRowFirstColumn="0" w:lastRowLastColumn="0"/>
            <w:tcW w:w="1660" w:type="dxa"/>
            <w:tcBorders>
              <w:bottom w:val="double" w:sz="4" w:space="0" w:color="auto"/>
              <w:right w:val="single" w:sz="4" w:space="0" w:color="auto"/>
            </w:tcBorders>
            <w:noWrap/>
            <w:hideMark/>
          </w:tcPr>
          <w:p w14:paraId="6B0EC6D9" w14:textId="77777777" w:rsidR="00407FEC" w:rsidRPr="00A32816" w:rsidRDefault="00407FEC" w:rsidP="009C5227">
            <w:pPr>
              <w:spacing w:line="276" w:lineRule="auto"/>
              <w:ind w:firstLineChars="100" w:firstLine="221"/>
              <w:rPr>
                <w:rFonts w:eastAsia="Times New Roman" w:cs="Times New Roman"/>
                <w:color w:val="000000"/>
                <w:sz w:val="22"/>
                <w:lang w:eastAsia="pt-PT"/>
              </w:rPr>
            </w:pPr>
            <w:r w:rsidRPr="00A32816">
              <w:rPr>
                <w:rFonts w:eastAsia="Times New Roman" w:cs="Times New Roman"/>
                <w:color w:val="000000"/>
                <w:sz w:val="22"/>
                <w:lang w:eastAsia="pt-PT"/>
              </w:rPr>
              <w:t>Norte</w:t>
            </w:r>
          </w:p>
        </w:tc>
        <w:tc>
          <w:tcPr>
            <w:tcW w:w="960" w:type="dxa"/>
            <w:tcBorders>
              <w:left w:val="single" w:sz="4" w:space="0" w:color="auto"/>
              <w:bottom w:val="double" w:sz="4" w:space="0" w:color="auto"/>
            </w:tcBorders>
            <w:noWrap/>
            <w:hideMark/>
          </w:tcPr>
          <w:p w14:paraId="30EF5477" w14:textId="41CB3933" w:rsidR="00407FEC" w:rsidRPr="00A32816" w:rsidRDefault="0036727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A32816">
              <w:rPr>
                <w:rFonts w:eastAsia="Times New Roman" w:cs="Times New Roman"/>
                <w:color w:val="000000"/>
                <w:sz w:val="22"/>
                <w:lang w:eastAsia="pt-PT"/>
              </w:rPr>
              <w:t>2,4</w:t>
            </w:r>
          </w:p>
        </w:tc>
        <w:tc>
          <w:tcPr>
            <w:tcW w:w="960" w:type="dxa"/>
            <w:tcBorders>
              <w:bottom w:val="double" w:sz="4" w:space="0" w:color="auto"/>
            </w:tcBorders>
            <w:noWrap/>
            <w:hideMark/>
          </w:tcPr>
          <w:p w14:paraId="688826C7" w14:textId="610CD65C" w:rsidR="00407FEC" w:rsidRPr="00A32816" w:rsidRDefault="0036727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lang w:eastAsia="pt-PT"/>
              </w:rPr>
            </w:pPr>
            <w:r w:rsidRPr="00A32816">
              <w:rPr>
                <w:rFonts w:eastAsia="Times New Roman" w:cs="Times New Roman"/>
                <w:b/>
                <w:bCs/>
                <w:color w:val="000000"/>
                <w:sz w:val="22"/>
                <w:lang w:eastAsia="pt-PT"/>
              </w:rPr>
              <w:t>-0,9</w:t>
            </w:r>
          </w:p>
        </w:tc>
        <w:tc>
          <w:tcPr>
            <w:tcW w:w="960" w:type="dxa"/>
            <w:tcBorders>
              <w:bottom w:val="double" w:sz="4" w:space="0" w:color="auto"/>
            </w:tcBorders>
            <w:noWrap/>
            <w:hideMark/>
          </w:tcPr>
          <w:p w14:paraId="4A44A06C" w14:textId="5DEA9DC9" w:rsidR="00407FEC" w:rsidRPr="00A32816" w:rsidRDefault="0036727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auto"/>
                <w:sz w:val="22"/>
                <w:lang w:eastAsia="pt-PT"/>
              </w:rPr>
            </w:pPr>
            <w:r w:rsidRPr="00A32816">
              <w:rPr>
                <w:rFonts w:eastAsia="Times New Roman" w:cs="Times New Roman"/>
                <w:b/>
                <w:bCs/>
                <w:color w:val="auto"/>
                <w:sz w:val="22"/>
                <w:lang w:eastAsia="pt-PT"/>
              </w:rPr>
              <w:t>-8,8</w:t>
            </w:r>
          </w:p>
        </w:tc>
        <w:tc>
          <w:tcPr>
            <w:tcW w:w="960" w:type="dxa"/>
            <w:tcBorders>
              <w:bottom w:val="double" w:sz="4" w:space="0" w:color="auto"/>
            </w:tcBorders>
            <w:noWrap/>
            <w:hideMark/>
          </w:tcPr>
          <w:p w14:paraId="45CB19F0" w14:textId="0FD44F16" w:rsidR="00407FEC" w:rsidRPr="00A32816" w:rsidRDefault="0036727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auto"/>
                <w:sz w:val="22"/>
                <w:lang w:eastAsia="pt-PT"/>
              </w:rPr>
            </w:pPr>
            <w:r w:rsidRPr="00A32816">
              <w:rPr>
                <w:rFonts w:eastAsia="Times New Roman" w:cs="Times New Roman"/>
                <w:b/>
                <w:bCs/>
                <w:color w:val="auto"/>
                <w:sz w:val="22"/>
                <w:lang w:eastAsia="pt-PT"/>
              </w:rPr>
              <w:t>-9,6</w:t>
            </w:r>
          </w:p>
        </w:tc>
        <w:tc>
          <w:tcPr>
            <w:tcW w:w="960" w:type="dxa"/>
            <w:tcBorders>
              <w:bottom w:val="double" w:sz="4" w:space="0" w:color="auto"/>
            </w:tcBorders>
            <w:noWrap/>
            <w:hideMark/>
          </w:tcPr>
          <w:p w14:paraId="1BAEE9B3" w14:textId="6D2F32DE" w:rsidR="00407FEC" w:rsidRPr="00A32816" w:rsidRDefault="0036727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lang w:eastAsia="pt-PT"/>
              </w:rPr>
            </w:pPr>
            <w:r w:rsidRPr="00A32816">
              <w:rPr>
                <w:rFonts w:eastAsia="Times New Roman" w:cs="Times New Roman"/>
                <w:b/>
                <w:bCs/>
                <w:color w:val="000000"/>
                <w:sz w:val="22"/>
                <w:lang w:eastAsia="pt-PT"/>
              </w:rPr>
              <w:t>-3,2</w:t>
            </w:r>
          </w:p>
        </w:tc>
        <w:tc>
          <w:tcPr>
            <w:tcW w:w="1352" w:type="dxa"/>
            <w:tcBorders>
              <w:bottom w:val="double" w:sz="4" w:space="0" w:color="auto"/>
            </w:tcBorders>
            <w:noWrap/>
            <w:hideMark/>
          </w:tcPr>
          <w:p w14:paraId="204845E1" w14:textId="5625CB6B" w:rsidR="00407FEC" w:rsidRPr="00A32816" w:rsidRDefault="0036727C" w:rsidP="009C5227">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lang w:eastAsia="pt-PT"/>
              </w:rPr>
            </w:pPr>
            <w:r w:rsidRPr="00A32816">
              <w:rPr>
                <w:rFonts w:eastAsia="Times New Roman" w:cs="Times New Roman"/>
                <w:b/>
                <w:bCs/>
                <w:color w:val="000000"/>
                <w:sz w:val="22"/>
                <w:lang w:eastAsia="pt-PT"/>
              </w:rPr>
              <w:t>-4,7</w:t>
            </w:r>
          </w:p>
        </w:tc>
      </w:tr>
    </w:tbl>
    <w:p w14:paraId="341D0BD2" w14:textId="231C624F" w:rsidR="009A7017" w:rsidRDefault="0011092C" w:rsidP="00DD229F">
      <w:pPr>
        <w:spacing w:before="240" w:line="360" w:lineRule="auto"/>
        <w:jc w:val="both"/>
        <w:rPr>
          <w:rFonts w:cs="Times New Roman"/>
        </w:rPr>
      </w:pPr>
      <w:r>
        <w:rPr>
          <w:rFonts w:cs="Times New Roman"/>
        </w:rPr>
        <w:lastRenderedPageBreak/>
        <w:t>Deste modo</w:t>
      </w:r>
      <w:r w:rsidR="003C015D">
        <w:rPr>
          <w:rFonts w:cs="Times New Roman"/>
        </w:rPr>
        <w:t xml:space="preserve">, </w:t>
      </w:r>
      <w:r w:rsidR="00471CB6">
        <w:rPr>
          <w:rFonts w:cs="Times New Roman"/>
        </w:rPr>
        <w:t>analisou</w:t>
      </w:r>
      <w:r w:rsidR="003C015D">
        <w:rPr>
          <w:rFonts w:cs="Times New Roman"/>
        </w:rPr>
        <w:t>-se, por exemplo, a região do Norte no ano 2014 onde se obteve uma diferença entre as médias dos índices par</w:t>
      </w:r>
      <w:r w:rsidR="0036727C">
        <w:rPr>
          <w:rFonts w:cs="Times New Roman"/>
        </w:rPr>
        <w:t>a cada ideologia política (32,7</w:t>
      </w:r>
      <w:r w:rsidR="003C015D">
        <w:rPr>
          <w:rFonts w:cs="Times New Roman"/>
        </w:rPr>
        <w:t>-33</w:t>
      </w:r>
      <w:r>
        <w:rPr>
          <w:rFonts w:cs="Times New Roman"/>
        </w:rPr>
        <w:t>,</w:t>
      </w:r>
      <w:r w:rsidR="0036727C">
        <w:rPr>
          <w:rFonts w:cs="Times New Roman"/>
        </w:rPr>
        <w:t>6) de -0,9</w:t>
      </w:r>
      <w:r w:rsidR="003C015D">
        <w:rPr>
          <w:rFonts w:cs="Times New Roman"/>
        </w:rPr>
        <w:t>.</w:t>
      </w:r>
      <w:r>
        <w:rPr>
          <w:rFonts w:cs="Times New Roman"/>
        </w:rPr>
        <w:t xml:space="preserve"> Este valor indica que para o ano de 2014 os municípios da região Norte com ideologia do partido de esquerda foram mais transparentes em 0,</w:t>
      </w:r>
      <w:r w:rsidR="004E140F">
        <w:rPr>
          <w:rFonts w:cs="Times New Roman"/>
        </w:rPr>
        <w:t>9</w:t>
      </w:r>
      <w:r>
        <w:rPr>
          <w:rFonts w:cs="Times New Roman"/>
        </w:rPr>
        <w:t xml:space="preserve"> do que os partidos de direita.</w:t>
      </w:r>
    </w:p>
    <w:p w14:paraId="70AD0BD2" w14:textId="527150D5" w:rsidR="00DA6995" w:rsidRDefault="009B6BC9" w:rsidP="00151643">
      <w:pPr>
        <w:spacing w:line="360" w:lineRule="auto"/>
        <w:jc w:val="both"/>
        <w:rPr>
          <w:rFonts w:cs="Times New Roman"/>
        </w:rPr>
      </w:pPr>
      <w:r>
        <w:rPr>
          <w:rFonts w:cs="Times New Roman"/>
        </w:rPr>
        <w:t>Foram assinalados a negrito, na</w:t>
      </w:r>
      <w:r w:rsidR="0036727C">
        <w:rPr>
          <w:rFonts w:cs="Times New Roman"/>
        </w:rPr>
        <w:t xml:space="preserve"> </w:t>
      </w:r>
      <w:r w:rsidR="00B4646C">
        <w:rPr>
          <w:rFonts w:cs="Times New Roman"/>
        </w:rPr>
        <w:t>T</w:t>
      </w:r>
      <w:r w:rsidR="0036727C" w:rsidRPr="00AC0D3E">
        <w:rPr>
          <w:rFonts w:cs="Times New Roman"/>
        </w:rPr>
        <w:t>abela 4.</w:t>
      </w:r>
      <w:r w:rsidR="00523DC3">
        <w:rPr>
          <w:rFonts w:cs="Times New Roman"/>
        </w:rPr>
        <w:t>4</w:t>
      </w:r>
      <w:r>
        <w:rPr>
          <w:rFonts w:cs="Times New Roman"/>
        </w:rPr>
        <w:t xml:space="preserve">, </w:t>
      </w:r>
      <w:r w:rsidR="00992617">
        <w:rPr>
          <w:rFonts w:cs="Times New Roman"/>
        </w:rPr>
        <w:t>os valores negativos resultantes do cálculo por corresponderem a situações em que o valor médio do ITM para municípios com ideologia do partido de esquerda é superior aos municípios com ideologia do partido político de direita</w:t>
      </w:r>
      <w:r w:rsidR="0011092C">
        <w:rPr>
          <w:rFonts w:cs="Times New Roman"/>
        </w:rPr>
        <w:t xml:space="preserve">. </w:t>
      </w:r>
    </w:p>
    <w:p w14:paraId="38E0CA11" w14:textId="4F42F7FE" w:rsidR="00661FC9" w:rsidRDefault="001E4348" w:rsidP="00223E1E">
      <w:pPr>
        <w:spacing w:after="360" w:line="360" w:lineRule="auto"/>
        <w:jc w:val="both"/>
        <w:rPr>
          <w:rFonts w:cs="Times New Roman"/>
        </w:rPr>
      </w:pPr>
      <w:r>
        <w:rPr>
          <w:rFonts w:cs="Times New Roman"/>
        </w:rPr>
        <w:t>Focando o estudo na média geral, as diferenças entre a</w:t>
      </w:r>
      <w:r w:rsidR="0036727C">
        <w:rPr>
          <w:rFonts w:cs="Times New Roman"/>
        </w:rPr>
        <w:t>s médias do índice foram de 1,4, -0,5, -2, -3 e 0,4</w:t>
      </w:r>
      <w:r>
        <w:rPr>
          <w:rFonts w:cs="Times New Roman"/>
        </w:rPr>
        <w:t xml:space="preserve"> cronologicamente pelos anos em estudo (2013-2017). Com estes valores conclui-se que na maioria dos anos os municípios com ideologia do partido político de esquerda mostraram-se mais transparente</w:t>
      </w:r>
      <w:r w:rsidR="00992617">
        <w:rPr>
          <w:rFonts w:cs="Times New Roman"/>
        </w:rPr>
        <w:t>s</w:t>
      </w:r>
      <w:r>
        <w:rPr>
          <w:rFonts w:cs="Times New Roman"/>
        </w:rPr>
        <w:t xml:space="preserve"> do que municípios de direita, </w:t>
      </w:r>
      <w:r w:rsidR="00075786">
        <w:rPr>
          <w:rFonts w:cs="Times New Roman"/>
        </w:rPr>
        <w:t xml:space="preserve">acrescentando </w:t>
      </w:r>
      <w:r>
        <w:rPr>
          <w:rFonts w:cs="Times New Roman"/>
        </w:rPr>
        <w:t xml:space="preserve">que os valores obtidos </w:t>
      </w:r>
      <w:r w:rsidR="00992617">
        <w:rPr>
          <w:rFonts w:cs="Times New Roman"/>
        </w:rPr>
        <w:t xml:space="preserve">embora não tivessem um grande diferencial têm tendência para valores médios de ITM de municípios com ideologia de partido </w:t>
      </w:r>
      <w:r w:rsidR="00F53998">
        <w:rPr>
          <w:rFonts w:cs="Times New Roman"/>
        </w:rPr>
        <w:t>político</w:t>
      </w:r>
      <w:r w:rsidR="00992617">
        <w:rPr>
          <w:rFonts w:cs="Times New Roman"/>
        </w:rPr>
        <w:t xml:space="preserve"> de esquerda superiores</w:t>
      </w:r>
      <w:r w:rsidR="00075786">
        <w:rPr>
          <w:rFonts w:cs="Times New Roman"/>
        </w:rPr>
        <w:t xml:space="preserve">. </w:t>
      </w:r>
      <w:bookmarkStart w:id="89" w:name="_Hlk54114149"/>
      <w:r w:rsidR="00075786">
        <w:rPr>
          <w:rFonts w:cs="Times New Roman"/>
        </w:rPr>
        <w:t>Num tota</w:t>
      </w:r>
      <w:r w:rsidR="0036727C">
        <w:rPr>
          <w:rFonts w:cs="Times New Roman"/>
        </w:rPr>
        <w:t>l geral a diferença foi de -0,9</w:t>
      </w:r>
      <w:r w:rsidR="00075786">
        <w:rPr>
          <w:rFonts w:cs="Times New Roman"/>
        </w:rPr>
        <w:t>, o que, apesar de ser valor baixo, confirma a hipótese em estudo</w:t>
      </w:r>
      <w:bookmarkEnd w:id="89"/>
      <w:r w:rsidR="00831D77">
        <w:rPr>
          <w:rFonts w:cs="Times New Roman"/>
        </w:rPr>
        <w:t xml:space="preserve"> para os anos em estudo</w:t>
      </w:r>
      <w:r w:rsidR="002306FE">
        <w:rPr>
          <w:rFonts w:cs="Times New Roman"/>
        </w:rPr>
        <w:t>.</w:t>
      </w:r>
    </w:p>
    <w:p w14:paraId="4508B52F" w14:textId="77777777" w:rsidR="00F81F8A" w:rsidRPr="00F81F8A" w:rsidRDefault="00F81F8A" w:rsidP="00F81F8A">
      <w:pPr>
        <w:pStyle w:val="PargrafodaLista"/>
        <w:numPr>
          <w:ilvl w:val="0"/>
          <w:numId w:val="37"/>
        </w:numPr>
        <w:spacing w:line="360" w:lineRule="auto"/>
        <w:jc w:val="both"/>
        <w:rPr>
          <w:rFonts w:cs="Times New Roman"/>
          <w:b/>
          <w:bCs/>
        </w:rPr>
      </w:pPr>
      <w:r>
        <w:rPr>
          <w:rFonts w:cs="Times New Roman"/>
          <w:b/>
          <w:bCs/>
        </w:rPr>
        <w:t>ITM por</w:t>
      </w:r>
      <w:r>
        <w:rPr>
          <w:rFonts w:cs="Times New Roman"/>
          <w:b/>
          <w:bCs/>
          <w:shd w:val="clear" w:color="auto" w:fill="FFFFFF" w:themeFill="background1"/>
        </w:rPr>
        <w:t xml:space="preserve"> competição política (CP)</w:t>
      </w:r>
    </w:p>
    <w:p w14:paraId="1FFF7923" w14:textId="4ABFEA81" w:rsidR="00FF3C2C" w:rsidRPr="00F81F8A" w:rsidRDefault="00FF3C2C" w:rsidP="00F81F8A">
      <w:pPr>
        <w:spacing w:line="360" w:lineRule="auto"/>
        <w:jc w:val="both"/>
        <w:rPr>
          <w:rFonts w:cs="Times New Roman"/>
          <w:b/>
          <w:bCs/>
        </w:rPr>
      </w:pPr>
      <w:r w:rsidRPr="00F81F8A">
        <w:rPr>
          <w:rFonts w:cs="Times New Roman"/>
        </w:rPr>
        <w:t xml:space="preserve">Para a prossecução do estudo das nossas hipóteses, </w:t>
      </w:r>
      <w:r w:rsidR="00EE331F">
        <w:rPr>
          <w:rFonts w:cs="Times New Roman"/>
        </w:rPr>
        <w:t>analisando</w:t>
      </w:r>
      <w:r w:rsidR="00EE331F" w:rsidRPr="00F81F8A">
        <w:rPr>
          <w:rFonts w:cs="Times New Roman"/>
        </w:rPr>
        <w:t xml:space="preserve"> </w:t>
      </w:r>
      <w:r w:rsidRPr="00F81F8A">
        <w:rPr>
          <w:rFonts w:cs="Times New Roman"/>
        </w:rPr>
        <w:t xml:space="preserve">a competição política e </w:t>
      </w:r>
      <w:r w:rsidR="00052171" w:rsidRPr="00F81F8A">
        <w:rPr>
          <w:rFonts w:cs="Times New Roman"/>
        </w:rPr>
        <w:t>o ITM</w:t>
      </w:r>
      <w:r w:rsidRPr="00F81F8A">
        <w:rPr>
          <w:rFonts w:cs="Times New Roman"/>
        </w:rPr>
        <w:t xml:space="preserve"> </w:t>
      </w:r>
      <w:r w:rsidRPr="00F81F8A">
        <w:rPr>
          <w:rFonts w:cs="Times New Roman"/>
          <w:lang w:eastAsia="pt-PT"/>
        </w:rPr>
        <w:t>procedeu-se primeiramente à classificação de municípios em dois grupos</w:t>
      </w:r>
      <w:r w:rsidR="00F15B7B" w:rsidRPr="00F81F8A">
        <w:rPr>
          <w:rFonts w:cs="Times New Roman"/>
          <w:lang w:eastAsia="pt-PT"/>
        </w:rPr>
        <w:t xml:space="preserve">, </w:t>
      </w:r>
      <w:r w:rsidRPr="00F81F8A">
        <w:rPr>
          <w:rFonts w:cs="Times New Roman"/>
          <w:lang w:eastAsia="pt-PT"/>
        </w:rPr>
        <w:t>de acordo com maior ou menor força de competição política</w:t>
      </w:r>
      <w:r w:rsidR="00850A31">
        <w:rPr>
          <w:rFonts w:cs="Times New Roman"/>
          <w:lang w:eastAsia="pt-PT"/>
        </w:rPr>
        <w:t xml:space="preserve">. </w:t>
      </w:r>
      <w:r w:rsidR="00850A31" w:rsidRPr="00962182">
        <w:rPr>
          <w:rFonts w:cs="Times New Roman"/>
          <w:lang w:eastAsia="pt-PT"/>
        </w:rPr>
        <w:t xml:space="preserve">Considerou-se um município com </w:t>
      </w:r>
      <w:r w:rsidR="00A5625E">
        <w:rPr>
          <w:rFonts w:cs="Times New Roman"/>
          <w:lang w:eastAsia="pt-PT"/>
        </w:rPr>
        <w:t>forte</w:t>
      </w:r>
      <w:r w:rsidR="00850A31" w:rsidRPr="00962182">
        <w:rPr>
          <w:rFonts w:cs="Times New Roman"/>
          <w:lang w:eastAsia="pt-PT"/>
        </w:rPr>
        <w:t xml:space="preserve"> competição </w:t>
      </w:r>
      <w:r w:rsidR="00962182" w:rsidRPr="00962182">
        <w:rPr>
          <w:rFonts w:cs="Times New Roman"/>
          <w:lang w:eastAsia="pt-PT"/>
        </w:rPr>
        <w:t>política</w:t>
      </w:r>
      <w:r w:rsidR="00850A31" w:rsidRPr="00962182">
        <w:rPr>
          <w:rFonts w:cs="Times New Roman"/>
          <w:lang w:eastAsia="pt-PT"/>
        </w:rPr>
        <w:t xml:space="preserve"> aquele que </w:t>
      </w:r>
      <w:r w:rsidR="00962182" w:rsidRPr="00962182">
        <w:rPr>
          <w:rFonts w:cs="Times New Roman"/>
          <w:lang w:eastAsia="pt-PT"/>
        </w:rPr>
        <w:t xml:space="preserve">apresenta uma taxa inferior a 50% </w:t>
      </w:r>
      <w:r w:rsidR="00850A31" w:rsidRPr="00962182">
        <w:rPr>
          <w:rFonts w:cs="Times New Roman"/>
          <w:lang w:eastAsia="pt-PT"/>
        </w:rPr>
        <w:t xml:space="preserve">e </w:t>
      </w:r>
      <w:r w:rsidR="00962182" w:rsidRPr="00962182">
        <w:rPr>
          <w:rFonts w:cs="Times New Roman"/>
          <w:lang w:eastAsia="pt-PT"/>
        </w:rPr>
        <w:t>m</w:t>
      </w:r>
      <w:r w:rsidR="00C553B1" w:rsidRPr="00962182">
        <w:rPr>
          <w:rFonts w:cs="Times New Roman"/>
          <w:lang w:eastAsia="pt-PT"/>
        </w:rPr>
        <w:t>unicípios com f</w:t>
      </w:r>
      <w:r w:rsidR="00A5625E">
        <w:rPr>
          <w:rFonts w:cs="Times New Roman"/>
          <w:lang w:eastAsia="pt-PT"/>
        </w:rPr>
        <w:t>raca</w:t>
      </w:r>
      <w:r w:rsidR="00C553B1" w:rsidRPr="00962182">
        <w:rPr>
          <w:rFonts w:cs="Times New Roman"/>
          <w:lang w:eastAsia="pt-PT"/>
        </w:rPr>
        <w:t xml:space="preserve"> competição política </w:t>
      </w:r>
      <w:r w:rsidR="00962182" w:rsidRPr="00962182">
        <w:rPr>
          <w:rFonts w:cs="Times New Roman"/>
          <w:lang w:eastAsia="pt-PT"/>
        </w:rPr>
        <w:t>o inverso.</w:t>
      </w:r>
    </w:p>
    <w:p w14:paraId="26D6FE45" w14:textId="0DE26FE2" w:rsidR="00FF3C2C" w:rsidRDefault="00FF3C2C" w:rsidP="00FF3C2C">
      <w:pPr>
        <w:pStyle w:val="PargrafodaLista"/>
        <w:numPr>
          <w:ilvl w:val="0"/>
          <w:numId w:val="19"/>
        </w:numPr>
        <w:spacing w:line="360" w:lineRule="auto"/>
        <w:jc w:val="both"/>
        <w:rPr>
          <w:rFonts w:cs="Times New Roman"/>
        </w:rPr>
      </w:pPr>
      <w:r w:rsidRPr="00A00DB8">
        <w:rPr>
          <w:rFonts w:cs="Times New Roman"/>
          <w:lang w:eastAsia="pt-PT"/>
        </w:rPr>
        <w:t xml:space="preserve">0 - Municípios </w:t>
      </w:r>
      <w:r>
        <w:rPr>
          <w:rFonts w:cs="Times New Roman"/>
          <w:lang w:eastAsia="pt-PT"/>
        </w:rPr>
        <w:t xml:space="preserve">com </w:t>
      </w:r>
      <w:r w:rsidR="00A5625E">
        <w:rPr>
          <w:rFonts w:cs="Times New Roman"/>
          <w:lang w:eastAsia="pt-PT"/>
        </w:rPr>
        <w:t>forte</w:t>
      </w:r>
      <w:r>
        <w:rPr>
          <w:rFonts w:cs="Times New Roman"/>
          <w:lang w:eastAsia="pt-PT"/>
        </w:rPr>
        <w:t xml:space="preserve"> competição política (</w:t>
      </w:r>
      <w:r w:rsidR="00C54A3B">
        <w:rPr>
          <w:rFonts w:cs="Times New Roman"/>
          <w:lang w:eastAsia="pt-PT"/>
        </w:rPr>
        <w:t>C</w:t>
      </w:r>
      <w:r>
        <w:rPr>
          <w:rFonts w:cs="Times New Roman"/>
          <w:lang w:eastAsia="pt-PT"/>
        </w:rPr>
        <w:t>CP &lt; 0,5);</w:t>
      </w:r>
      <w:r w:rsidRPr="00A00DB8">
        <w:rPr>
          <w:rFonts w:cs="Times New Roman"/>
          <w:lang w:eastAsia="pt-PT"/>
        </w:rPr>
        <w:t xml:space="preserve">  </w:t>
      </w:r>
    </w:p>
    <w:p w14:paraId="20E56CA4" w14:textId="3048BD51" w:rsidR="00FF3C2C" w:rsidRDefault="00FF3C2C" w:rsidP="00FF3C2C">
      <w:pPr>
        <w:pStyle w:val="PargrafodaLista"/>
        <w:numPr>
          <w:ilvl w:val="0"/>
          <w:numId w:val="19"/>
        </w:numPr>
        <w:spacing w:line="360" w:lineRule="auto"/>
        <w:jc w:val="both"/>
        <w:rPr>
          <w:rFonts w:cs="Times New Roman"/>
        </w:rPr>
      </w:pPr>
      <w:r w:rsidRPr="00A00DB8">
        <w:rPr>
          <w:rFonts w:cs="Times New Roman"/>
          <w:lang w:eastAsia="pt-PT"/>
        </w:rPr>
        <w:t xml:space="preserve">1 – </w:t>
      </w:r>
      <w:r w:rsidRPr="00DE4AC1">
        <w:rPr>
          <w:rFonts w:cs="Times New Roman"/>
          <w:lang w:eastAsia="pt-PT"/>
        </w:rPr>
        <w:t xml:space="preserve">Municípios </w:t>
      </w:r>
      <w:r>
        <w:rPr>
          <w:rFonts w:cs="Times New Roman"/>
          <w:lang w:eastAsia="pt-PT"/>
        </w:rPr>
        <w:t>com</w:t>
      </w:r>
      <w:r w:rsidRPr="00DE4AC1">
        <w:rPr>
          <w:rFonts w:cs="Times New Roman"/>
          <w:lang w:eastAsia="pt-PT"/>
        </w:rPr>
        <w:t xml:space="preserve"> f</w:t>
      </w:r>
      <w:r w:rsidR="00A5625E">
        <w:rPr>
          <w:rFonts w:cs="Times New Roman"/>
          <w:lang w:eastAsia="pt-PT"/>
        </w:rPr>
        <w:t>raca</w:t>
      </w:r>
      <w:r w:rsidRPr="00DE4AC1">
        <w:rPr>
          <w:rFonts w:cs="Times New Roman"/>
          <w:lang w:eastAsia="pt-PT"/>
        </w:rPr>
        <w:t xml:space="preserve"> competição política </w:t>
      </w:r>
      <w:r>
        <w:rPr>
          <w:rFonts w:cs="Times New Roman"/>
          <w:lang w:eastAsia="pt-PT"/>
        </w:rPr>
        <w:t>(</w:t>
      </w:r>
      <w:r w:rsidR="00C54A3B">
        <w:rPr>
          <w:rFonts w:cs="Times New Roman"/>
          <w:lang w:eastAsia="pt-PT"/>
        </w:rPr>
        <w:t>C</w:t>
      </w:r>
      <w:r>
        <w:rPr>
          <w:rFonts w:cs="Times New Roman"/>
          <w:lang w:eastAsia="pt-PT"/>
        </w:rPr>
        <w:t>CP ≥ 0,5);</w:t>
      </w:r>
      <w:r w:rsidRPr="00A00DB8">
        <w:rPr>
          <w:rFonts w:cs="Times New Roman"/>
          <w:lang w:eastAsia="pt-PT"/>
        </w:rPr>
        <w:t xml:space="preserve">  </w:t>
      </w:r>
    </w:p>
    <w:p w14:paraId="0BDCAD71" w14:textId="4DF700E5" w:rsidR="001732F0" w:rsidRDefault="00F42950" w:rsidP="00FF3C2C">
      <w:pPr>
        <w:spacing w:line="360" w:lineRule="auto"/>
        <w:jc w:val="both"/>
        <w:rPr>
          <w:rFonts w:cs="Times New Roman"/>
          <w:lang w:eastAsia="pt-PT"/>
        </w:rPr>
      </w:pPr>
      <w:r>
        <w:rPr>
          <w:rFonts w:cs="Times New Roman"/>
          <w:lang w:eastAsia="pt-PT"/>
        </w:rPr>
        <w:t>Prosseguiu-se</w:t>
      </w:r>
      <w:r w:rsidR="00466EDF">
        <w:rPr>
          <w:rFonts w:cs="Times New Roman"/>
          <w:lang w:eastAsia="pt-PT"/>
        </w:rPr>
        <w:t xml:space="preserve"> com </w:t>
      </w:r>
      <w:r w:rsidR="0014612F">
        <w:rPr>
          <w:rFonts w:cs="Times New Roman"/>
          <w:lang w:eastAsia="pt-PT"/>
        </w:rPr>
        <w:t xml:space="preserve">a análise </w:t>
      </w:r>
      <w:r w:rsidR="00F43A62">
        <w:rPr>
          <w:rFonts w:cs="Times New Roman"/>
          <w:lang w:eastAsia="pt-PT"/>
        </w:rPr>
        <w:t xml:space="preserve">do </w:t>
      </w:r>
      <w:r w:rsidR="00430F6C">
        <w:rPr>
          <w:rFonts w:cs="Times New Roman"/>
          <w:lang w:eastAsia="pt-PT"/>
        </w:rPr>
        <w:t xml:space="preserve">histograma </w:t>
      </w:r>
      <w:r w:rsidR="00430F6C" w:rsidRPr="007F35DF">
        <w:rPr>
          <w:rFonts w:cs="Times New Roman"/>
          <w:lang w:eastAsia="pt-PT"/>
        </w:rPr>
        <w:t>(</w:t>
      </w:r>
      <w:r w:rsidR="00F338BB">
        <w:rPr>
          <w:rFonts w:cs="Times New Roman"/>
          <w:lang w:eastAsia="pt-PT"/>
        </w:rPr>
        <w:t>A</w:t>
      </w:r>
      <w:r w:rsidR="00430F6C" w:rsidRPr="007F35DF">
        <w:rPr>
          <w:rFonts w:cs="Times New Roman"/>
          <w:lang w:eastAsia="pt-PT"/>
        </w:rPr>
        <w:t>pêndice 2) e</w:t>
      </w:r>
      <w:r w:rsidR="00430F6C">
        <w:rPr>
          <w:rFonts w:cs="Times New Roman"/>
          <w:lang w:eastAsia="pt-PT"/>
        </w:rPr>
        <w:t xml:space="preserve"> com </w:t>
      </w:r>
      <w:r w:rsidR="00466EDF">
        <w:rPr>
          <w:rFonts w:cs="Times New Roman"/>
          <w:lang w:eastAsia="pt-PT"/>
        </w:rPr>
        <w:t>o cálculo da</w:t>
      </w:r>
      <w:r w:rsidR="003425E2">
        <w:rPr>
          <w:rFonts w:cs="Times New Roman"/>
          <w:lang w:eastAsia="pt-PT"/>
        </w:rPr>
        <w:t>s</w:t>
      </w:r>
      <w:r w:rsidR="00466EDF">
        <w:rPr>
          <w:rFonts w:cs="Times New Roman"/>
          <w:lang w:eastAsia="pt-PT"/>
        </w:rPr>
        <w:t xml:space="preserve"> medidas estatísticas </w:t>
      </w:r>
      <w:r w:rsidR="00CF1D4B">
        <w:rPr>
          <w:rFonts w:cs="Times New Roman"/>
          <w:lang w:eastAsia="pt-PT"/>
        </w:rPr>
        <w:t>p</w:t>
      </w:r>
      <w:r w:rsidR="0014612F">
        <w:rPr>
          <w:rFonts w:cs="Times New Roman"/>
          <w:lang w:eastAsia="pt-PT"/>
        </w:rPr>
        <w:t xml:space="preserve">ara cada um destes </w:t>
      </w:r>
      <w:r w:rsidR="00CF1D4B">
        <w:rPr>
          <w:rFonts w:cs="Times New Roman"/>
          <w:lang w:eastAsia="pt-PT"/>
        </w:rPr>
        <w:t>grupo</w:t>
      </w:r>
      <w:r w:rsidR="0014612F">
        <w:rPr>
          <w:rFonts w:cs="Times New Roman"/>
          <w:lang w:eastAsia="pt-PT"/>
        </w:rPr>
        <w:t>s</w:t>
      </w:r>
      <w:r w:rsidR="00AE0CD3">
        <w:rPr>
          <w:rFonts w:cs="Times New Roman"/>
          <w:lang w:eastAsia="pt-PT"/>
        </w:rPr>
        <w:t xml:space="preserve">, conforme se apresenta na </w:t>
      </w:r>
      <w:r w:rsidR="00B4646C">
        <w:rPr>
          <w:rFonts w:cs="Times New Roman"/>
          <w:lang w:eastAsia="pt-PT"/>
        </w:rPr>
        <w:t>T</w:t>
      </w:r>
      <w:r w:rsidR="00AE0CD3">
        <w:rPr>
          <w:rFonts w:cs="Times New Roman"/>
          <w:lang w:eastAsia="pt-PT"/>
        </w:rPr>
        <w:t>abela 4.5</w:t>
      </w:r>
      <w:r w:rsidR="00430F6C">
        <w:rPr>
          <w:rFonts w:cs="Times New Roman"/>
          <w:lang w:eastAsia="pt-PT"/>
        </w:rPr>
        <w:t>:</w:t>
      </w:r>
    </w:p>
    <w:p w14:paraId="17EA3752" w14:textId="33D9B403" w:rsidR="002079A9" w:rsidRDefault="002079A9" w:rsidP="00FF3C2C">
      <w:pPr>
        <w:spacing w:line="360" w:lineRule="auto"/>
        <w:jc w:val="both"/>
        <w:rPr>
          <w:rFonts w:cs="Times New Roman"/>
          <w:lang w:eastAsia="pt-PT"/>
        </w:rPr>
      </w:pPr>
    </w:p>
    <w:p w14:paraId="41DBA0BF" w14:textId="7577F473" w:rsidR="002079A9" w:rsidRDefault="002079A9" w:rsidP="00FF3C2C">
      <w:pPr>
        <w:spacing w:line="360" w:lineRule="auto"/>
        <w:jc w:val="both"/>
        <w:rPr>
          <w:rFonts w:cs="Times New Roman"/>
          <w:lang w:eastAsia="pt-PT"/>
        </w:rPr>
      </w:pPr>
    </w:p>
    <w:p w14:paraId="15E9CB4D" w14:textId="77777777" w:rsidR="002079A9" w:rsidRDefault="002079A9" w:rsidP="00FF3C2C">
      <w:pPr>
        <w:spacing w:line="360" w:lineRule="auto"/>
        <w:jc w:val="both"/>
        <w:rPr>
          <w:rFonts w:cs="Times New Roman"/>
          <w:lang w:eastAsia="pt-PT"/>
        </w:rPr>
      </w:pPr>
    </w:p>
    <w:p w14:paraId="1CAC4F60" w14:textId="14EEA53F" w:rsidR="0014612F" w:rsidRPr="00697B1B" w:rsidRDefault="0014612F" w:rsidP="0014612F">
      <w:pPr>
        <w:spacing w:after="0" w:line="360" w:lineRule="auto"/>
        <w:jc w:val="center"/>
        <w:rPr>
          <w:rFonts w:cs="Times New Roman"/>
          <w:bCs/>
        </w:rPr>
      </w:pPr>
      <w:bookmarkStart w:id="90" w:name="_Toc58853165"/>
      <w:bookmarkStart w:id="91" w:name="_Toc66624254"/>
      <w:r w:rsidRPr="00523DC3">
        <w:rPr>
          <w:b/>
        </w:rPr>
        <w:lastRenderedPageBreak/>
        <w:t xml:space="preserve">Tabela </w:t>
      </w:r>
      <w:r w:rsidR="00843BFC">
        <w:rPr>
          <w:b/>
        </w:rPr>
        <w:fldChar w:fldCharType="begin"/>
      </w:r>
      <w:r w:rsidR="00843BFC">
        <w:rPr>
          <w:b/>
        </w:rPr>
        <w:instrText xml:space="preserve"> STYLEREF 1 \s </w:instrText>
      </w:r>
      <w:r w:rsidR="00843BFC">
        <w:rPr>
          <w:b/>
        </w:rPr>
        <w:fldChar w:fldCharType="separate"/>
      </w:r>
      <w:r w:rsidR="00380A6F">
        <w:rPr>
          <w:b/>
          <w:noProof/>
        </w:rPr>
        <w:t>4</w:t>
      </w:r>
      <w:r w:rsidR="00843BFC">
        <w:rPr>
          <w:b/>
        </w:rPr>
        <w:fldChar w:fldCharType="end"/>
      </w:r>
      <w:r w:rsidR="00843BFC">
        <w:rPr>
          <w:b/>
        </w:rPr>
        <w:t>.</w:t>
      </w:r>
      <w:r w:rsidR="00843BFC">
        <w:rPr>
          <w:b/>
        </w:rPr>
        <w:fldChar w:fldCharType="begin"/>
      </w:r>
      <w:r w:rsidR="00843BFC">
        <w:rPr>
          <w:b/>
        </w:rPr>
        <w:instrText xml:space="preserve"> SEQ Tabela \* ARABIC \s 1 </w:instrText>
      </w:r>
      <w:r w:rsidR="00843BFC">
        <w:rPr>
          <w:b/>
        </w:rPr>
        <w:fldChar w:fldCharType="separate"/>
      </w:r>
      <w:r w:rsidR="00380A6F">
        <w:rPr>
          <w:b/>
          <w:noProof/>
        </w:rPr>
        <w:t>5</w:t>
      </w:r>
      <w:r w:rsidR="00843BFC">
        <w:rPr>
          <w:b/>
        </w:rPr>
        <w:fldChar w:fldCharType="end"/>
      </w:r>
      <w:r w:rsidRPr="00523DC3">
        <w:rPr>
          <w:b/>
        </w:rPr>
        <w:t xml:space="preserve"> –</w:t>
      </w:r>
      <w:r w:rsidRPr="00523DC3">
        <w:t xml:space="preserve"> </w:t>
      </w:r>
      <w:r w:rsidRPr="00697B1B">
        <w:rPr>
          <w:rFonts w:cs="Times New Roman"/>
          <w:bCs/>
        </w:rPr>
        <w:t xml:space="preserve">Medidas estatísticas do ITM por </w:t>
      </w:r>
      <w:r w:rsidR="00430F6C">
        <w:rPr>
          <w:rFonts w:cs="Times New Roman"/>
          <w:bCs/>
        </w:rPr>
        <w:t>C</w:t>
      </w:r>
      <w:r w:rsidRPr="00697B1B">
        <w:rPr>
          <w:rFonts w:cs="Times New Roman"/>
          <w:bCs/>
        </w:rPr>
        <w:t>P</w:t>
      </w:r>
      <w:bookmarkEnd w:id="90"/>
      <w:bookmarkEnd w:id="91"/>
    </w:p>
    <w:tbl>
      <w:tblPr>
        <w:tblW w:w="857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68"/>
        <w:gridCol w:w="3402"/>
        <w:gridCol w:w="1134"/>
        <w:gridCol w:w="1774"/>
      </w:tblGrid>
      <w:tr w:rsidR="00791C95" w:rsidRPr="006968CB" w14:paraId="27485794" w14:textId="77777777" w:rsidTr="00C413F3">
        <w:trPr>
          <w:cantSplit/>
          <w:jc w:val="center"/>
        </w:trPr>
        <w:tc>
          <w:tcPr>
            <w:tcW w:w="5670" w:type="dxa"/>
            <w:gridSpan w:val="2"/>
            <w:tcBorders>
              <w:top w:val="double" w:sz="4" w:space="0" w:color="000000"/>
              <w:left w:val="nil"/>
              <w:bottom w:val="single" w:sz="4" w:space="0" w:color="auto"/>
              <w:right w:val="nil"/>
            </w:tcBorders>
            <w:shd w:val="clear" w:color="auto" w:fill="E7E6E6" w:themeFill="background2"/>
            <w:vAlign w:val="bottom"/>
          </w:tcPr>
          <w:p w14:paraId="196DDA10" w14:textId="2CD6E0C9" w:rsidR="00791C95" w:rsidRPr="00D85EEC" w:rsidRDefault="00791C95" w:rsidP="009C5227">
            <w:pPr>
              <w:autoSpaceDE w:val="0"/>
              <w:autoSpaceDN w:val="0"/>
              <w:adjustRightInd w:val="0"/>
              <w:spacing w:after="0" w:line="240" w:lineRule="auto"/>
              <w:ind w:left="60" w:right="60"/>
              <w:rPr>
                <w:rFonts w:cs="Times New Roman"/>
                <w:b/>
                <w:bCs/>
                <w:color w:val="000000"/>
                <w:sz w:val="22"/>
              </w:rPr>
            </w:pPr>
            <w:r w:rsidRPr="00D85EEC">
              <w:rPr>
                <w:rFonts w:cs="Times New Roman"/>
                <w:b/>
                <w:bCs/>
                <w:color w:val="000000"/>
                <w:sz w:val="22"/>
              </w:rPr>
              <w:t>Competição política</w:t>
            </w:r>
          </w:p>
        </w:tc>
        <w:tc>
          <w:tcPr>
            <w:tcW w:w="1134" w:type="dxa"/>
            <w:tcBorders>
              <w:top w:val="double" w:sz="4" w:space="0" w:color="000000"/>
              <w:left w:val="nil"/>
              <w:bottom w:val="single" w:sz="4" w:space="0" w:color="auto"/>
              <w:right w:val="nil"/>
            </w:tcBorders>
            <w:shd w:val="clear" w:color="auto" w:fill="E7E6E6" w:themeFill="background2"/>
            <w:vAlign w:val="bottom"/>
          </w:tcPr>
          <w:p w14:paraId="26535688" w14:textId="4FE9C189" w:rsidR="00791C95" w:rsidRPr="00D85EEC" w:rsidRDefault="00791C95" w:rsidP="009C5227">
            <w:pPr>
              <w:autoSpaceDE w:val="0"/>
              <w:autoSpaceDN w:val="0"/>
              <w:adjustRightInd w:val="0"/>
              <w:spacing w:after="0" w:line="240" w:lineRule="auto"/>
              <w:ind w:left="60" w:right="60"/>
              <w:jc w:val="center"/>
              <w:rPr>
                <w:rFonts w:cs="Times New Roman"/>
                <w:b/>
                <w:bCs/>
                <w:color w:val="000000"/>
                <w:sz w:val="22"/>
              </w:rPr>
            </w:pPr>
            <w:r w:rsidRPr="00D85EEC">
              <w:rPr>
                <w:rFonts w:cs="Times New Roman"/>
                <w:b/>
                <w:bCs/>
                <w:color w:val="000000"/>
                <w:sz w:val="22"/>
              </w:rPr>
              <w:t>Estatística</w:t>
            </w:r>
          </w:p>
        </w:tc>
        <w:tc>
          <w:tcPr>
            <w:tcW w:w="1774" w:type="dxa"/>
            <w:tcBorders>
              <w:top w:val="double" w:sz="4" w:space="0" w:color="000000"/>
              <w:left w:val="nil"/>
              <w:bottom w:val="single" w:sz="4" w:space="0" w:color="auto"/>
              <w:right w:val="nil"/>
            </w:tcBorders>
            <w:shd w:val="clear" w:color="auto" w:fill="E7E6E6" w:themeFill="background2"/>
            <w:vAlign w:val="bottom"/>
          </w:tcPr>
          <w:p w14:paraId="662B5427" w14:textId="3EAF75D0" w:rsidR="00791C95" w:rsidRPr="00D85EEC" w:rsidRDefault="00791C95" w:rsidP="009C5227">
            <w:pPr>
              <w:autoSpaceDE w:val="0"/>
              <w:autoSpaceDN w:val="0"/>
              <w:adjustRightInd w:val="0"/>
              <w:spacing w:after="0" w:line="240" w:lineRule="auto"/>
              <w:ind w:left="60" w:right="60"/>
              <w:jc w:val="center"/>
              <w:rPr>
                <w:rFonts w:cs="Times New Roman"/>
                <w:b/>
                <w:bCs/>
                <w:color w:val="000000"/>
                <w:sz w:val="22"/>
              </w:rPr>
            </w:pPr>
            <w:r w:rsidRPr="00D85EEC">
              <w:rPr>
                <w:rFonts w:cs="Times New Roman"/>
                <w:b/>
                <w:bCs/>
                <w:color w:val="000000"/>
                <w:sz w:val="22"/>
              </w:rPr>
              <w:t>Desvio Padrão</w:t>
            </w:r>
          </w:p>
        </w:tc>
      </w:tr>
      <w:tr w:rsidR="00791C95" w:rsidRPr="00277DAF" w14:paraId="2D3082F1" w14:textId="77777777" w:rsidTr="00C413F3">
        <w:trPr>
          <w:cantSplit/>
          <w:jc w:val="center"/>
        </w:trPr>
        <w:tc>
          <w:tcPr>
            <w:tcW w:w="2268" w:type="dxa"/>
            <w:vMerge w:val="restart"/>
            <w:tcBorders>
              <w:top w:val="single" w:sz="4" w:space="0" w:color="auto"/>
              <w:left w:val="nil"/>
              <w:right w:val="nil"/>
            </w:tcBorders>
            <w:shd w:val="clear" w:color="auto" w:fill="FFFFFF"/>
          </w:tcPr>
          <w:p w14:paraId="1D548276" w14:textId="46646CC3" w:rsidR="00791C95" w:rsidRPr="006968CB" w:rsidRDefault="00791C95" w:rsidP="009C5227">
            <w:pPr>
              <w:autoSpaceDE w:val="0"/>
              <w:autoSpaceDN w:val="0"/>
              <w:adjustRightInd w:val="0"/>
              <w:spacing w:after="0" w:line="240" w:lineRule="auto"/>
              <w:ind w:left="60" w:right="60"/>
              <w:rPr>
                <w:rFonts w:cs="Times New Roman"/>
                <w:color w:val="000000"/>
                <w:sz w:val="22"/>
              </w:rPr>
            </w:pPr>
            <w:r>
              <w:rPr>
                <w:rFonts w:cs="Times New Roman"/>
                <w:color w:val="000000"/>
                <w:sz w:val="22"/>
              </w:rPr>
              <w:t>M</w:t>
            </w:r>
            <w:r w:rsidRPr="00355D63">
              <w:rPr>
                <w:rFonts w:cs="Times New Roman"/>
                <w:color w:val="000000"/>
                <w:sz w:val="22"/>
              </w:rPr>
              <w:t xml:space="preserve">unicípios com </w:t>
            </w:r>
            <w:r w:rsidR="00A5625E">
              <w:rPr>
                <w:rFonts w:cs="Times New Roman"/>
                <w:color w:val="000000"/>
                <w:sz w:val="22"/>
              </w:rPr>
              <w:t>forte</w:t>
            </w:r>
            <w:r w:rsidRPr="00355D63">
              <w:rPr>
                <w:rFonts w:cs="Times New Roman"/>
                <w:color w:val="000000"/>
                <w:sz w:val="22"/>
              </w:rPr>
              <w:t xml:space="preserve"> competição política</w:t>
            </w:r>
          </w:p>
        </w:tc>
        <w:tc>
          <w:tcPr>
            <w:tcW w:w="3402" w:type="dxa"/>
            <w:tcBorders>
              <w:top w:val="nil"/>
              <w:left w:val="nil"/>
              <w:bottom w:val="nil"/>
              <w:right w:val="nil"/>
            </w:tcBorders>
            <w:shd w:val="clear" w:color="auto" w:fill="FFFFFF"/>
          </w:tcPr>
          <w:p w14:paraId="4E1DBD76" w14:textId="75486350" w:rsidR="00791C95" w:rsidRPr="006968CB" w:rsidRDefault="00791C95" w:rsidP="009C5227">
            <w:pPr>
              <w:autoSpaceDE w:val="0"/>
              <w:autoSpaceDN w:val="0"/>
              <w:adjustRightInd w:val="0"/>
              <w:spacing w:after="0" w:line="240" w:lineRule="auto"/>
              <w:ind w:left="60" w:right="60"/>
              <w:rPr>
                <w:rFonts w:cs="Times New Roman"/>
                <w:color w:val="000000"/>
                <w:sz w:val="22"/>
              </w:rPr>
            </w:pPr>
            <w:r w:rsidRPr="00355D63">
              <w:rPr>
                <w:rFonts w:cs="Times New Roman"/>
                <w:color w:val="000000"/>
                <w:sz w:val="22"/>
              </w:rPr>
              <w:t>N</w:t>
            </w:r>
            <w:r>
              <w:rPr>
                <w:rFonts w:cs="Times New Roman"/>
                <w:color w:val="000000"/>
                <w:sz w:val="22"/>
              </w:rPr>
              <w:t>=320</w:t>
            </w:r>
          </w:p>
        </w:tc>
        <w:tc>
          <w:tcPr>
            <w:tcW w:w="1134" w:type="dxa"/>
            <w:tcBorders>
              <w:top w:val="nil"/>
              <w:left w:val="nil"/>
              <w:bottom w:val="nil"/>
              <w:right w:val="nil"/>
            </w:tcBorders>
            <w:shd w:val="clear" w:color="auto" w:fill="FFFFFF"/>
          </w:tcPr>
          <w:p w14:paraId="65FA347A" w14:textId="7516F89C"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355D63">
              <w:rPr>
                <w:rFonts w:cs="Times New Roman"/>
                <w:color w:val="000000"/>
                <w:sz w:val="22"/>
              </w:rPr>
              <w:t>320</w:t>
            </w:r>
          </w:p>
        </w:tc>
        <w:tc>
          <w:tcPr>
            <w:tcW w:w="1774" w:type="dxa"/>
            <w:tcBorders>
              <w:top w:val="nil"/>
              <w:left w:val="nil"/>
              <w:bottom w:val="nil"/>
              <w:right w:val="nil"/>
            </w:tcBorders>
            <w:shd w:val="clear" w:color="auto" w:fill="FFFFFF"/>
          </w:tcPr>
          <w:p w14:paraId="4ABC19A4" w14:textId="77777777"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p>
        </w:tc>
      </w:tr>
      <w:tr w:rsidR="00791C95" w:rsidRPr="00277DAF" w14:paraId="1D911A69" w14:textId="77777777" w:rsidTr="00C413F3">
        <w:trPr>
          <w:cantSplit/>
          <w:jc w:val="center"/>
        </w:trPr>
        <w:tc>
          <w:tcPr>
            <w:tcW w:w="2268" w:type="dxa"/>
            <w:vMerge/>
            <w:tcBorders>
              <w:top w:val="single" w:sz="6" w:space="0" w:color="000000"/>
              <w:left w:val="nil"/>
              <w:right w:val="nil"/>
            </w:tcBorders>
            <w:shd w:val="clear" w:color="auto" w:fill="FFFFFF"/>
          </w:tcPr>
          <w:p w14:paraId="391C33A3" w14:textId="77777777" w:rsidR="00791C95" w:rsidRPr="006968CB" w:rsidRDefault="00791C95" w:rsidP="009C5227">
            <w:pPr>
              <w:autoSpaceDE w:val="0"/>
              <w:autoSpaceDN w:val="0"/>
              <w:adjustRightInd w:val="0"/>
              <w:spacing w:after="0" w:line="240" w:lineRule="auto"/>
              <w:ind w:left="60" w:right="60"/>
              <w:rPr>
                <w:rFonts w:cs="Times New Roman"/>
                <w:color w:val="000000"/>
                <w:sz w:val="22"/>
              </w:rPr>
            </w:pPr>
          </w:p>
        </w:tc>
        <w:tc>
          <w:tcPr>
            <w:tcW w:w="3402" w:type="dxa"/>
            <w:tcBorders>
              <w:top w:val="nil"/>
              <w:left w:val="nil"/>
              <w:bottom w:val="nil"/>
              <w:right w:val="nil"/>
            </w:tcBorders>
            <w:shd w:val="clear" w:color="auto" w:fill="E7E6E6" w:themeFill="background2"/>
          </w:tcPr>
          <w:p w14:paraId="09F5D720" w14:textId="45E367DE" w:rsidR="00791C95" w:rsidRPr="006968CB" w:rsidRDefault="00791C95" w:rsidP="009C5227">
            <w:pPr>
              <w:autoSpaceDE w:val="0"/>
              <w:autoSpaceDN w:val="0"/>
              <w:adjustRightInd w:val="0"/>
              <w:spacing w:after="0" w:line="240" w:lineRule="auto"/>
              <w:ind w:left="60" w:right="60"/>
              <w:rPr>
                <w:rFonts w:cs="Times New Roman"/>
                <w:color w:val="000000"/>
                <w:sz w:val="22"/>
              </w:rPr>
            </w:pPr>
            <w:r w:rsidRPr="00355D63">
              <w:rPr>
                <w:rFonts w:cs="Times New Roman"/>
                <w:color w:val="000000"/>
                <w:sz w:val="22"/>
              </w:rPr>
              <w:t>Média</w:t>
            </w:r>
          </w:p>
        </w:tc>
        <w:tc>
          <w:tcPr>
            <w:tcW w:w="1134" w:type="dxa"/>
            <w:tcBorders>
              <w:top w:val="nil"/>
              <w:left w:val="nil"/>
              <w:bottom w:val="nil"/>
              <w:right w:val="nil"/>
            </w:tcBorders>
            <w:shd w:val="clear" w:color="auto" w:fill="E7E6E6" w:themeFill="background2"/>
          </w:tcPr>
          <w:p w14:paraId="374A911C" w14:textId="70DC9BB5"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355D63">
              <w:rPr>
                <w:rFonts w:cs="Times New Roman"/>
                <w:color w:val="000000"/>
                <w:sz w:val="22"/>
              </w:rPr>
              <w:t>42,159</w:t>
            </w:r>
          </w:p>
        </w:tc>
        <w:tc>
          <w:tcPr>
            <w:tcW w:w="1774" w:type="dxa"/>
            <w:tcBorders>
              <w:top w:val="nil"/>
              <w:left w:val="nil"/>
              <w:bottom w:val="nil"/>
              <w:right w:val="nil"/>
            </w:tcBorders>
            <w:shd w:val="clear" w:color="auto" w:fill="E7E6E6" w:themeFill="background2"/>
          </w:tcPr>
          <w:p w14:paraId="42ADB8A3" w14:textId="77777777"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0,70857</w:t>
            </w:r>
          </w:p>
        </w:tc>
      </w:tr>
      <w:tr w:rsidR="00791C95" w:rsidRPr="00277DAF" w14:paraId="70498881" w14:textId="77777777" w:rsidTr="00C413F3">
        <w:trPr>
          <w:cantSplit/>
          <w:jc w:val="center"/>
        </w:trPr>
        <w:tc>
          <w:tcPr>
            <w:tcW w:w="2268" w:type="dxa"/>
            <w:vMerge/>
            <w:tcBorders>
              <w:top w:val="single" w:sz="16" w:space="0" w:color="000000"/>
              <w:left w:val="nil"/>
              <w:right w:val="nil"/>
            </w:tcBorders>
            <w:shd w:val="clear" w:color="auto" w:fill="FFFFFF"/>
          </w:tcPr>
          <w:p w14:paraId="62AEF5C6" w14:textId="77777777" w:rsidR="00791C95" w:rsidRPr="006968CB" w:rsidRDefault="00791C95" w:rsidP="009C5227">
            <w:pPr>
              <w:autoSpaceDE w:val="0"/>
              <w:autoSpaceDN w:val="0"/>
              <w:adjustRightInd w:val="0"/>
              <w:spacing w:after="0" w:line="240" w:lineRule="auto"/>
              <w:rPr>
                <w:rFonts w:cs="Times New Roman"/>
                <w:sz w:val="22"/>
              </w:rPr>
            </w:pPr>
          </w:p>
        </w:tc>
        <w:tc>
          <w:tcPr>
            <w:tcW w:w="3402" w:type="dxa"/>
            <w:tcBorders>
              <w:top w:val="nil"/>
              <w:left w:val="nil"/>
              <w:bottom w:val="nil"/>
              <w:right w:val="nil"/>
            </w:tcBorders>
            <w:shd w:val="clear" w:color="auto" w:fill="FFFFFF"/>
          </w:tcPr>
          <w:p w14:paraId="6D179FA4" w14:textId="0A96C646" w:rsidR="00791C95" w:rsidRPr="006968CB" w:rsidRDefault="00791C95" w:rsidP="009C5227">
            <w:pPr>
              <w:autoSpaceDE w:val="0"/>
              <w:autoSpaceDN w:val="0"/>
              <w:adjustRightInd w:val="0"/>
              <w:spacing w:after="0" w:line="240" w:lineRule="auto"/>
              <w:ind w:left="60" w:right="60"/>
              <w:rPr>
                <w:rFonts w:cs="Times New Roman"/>
                <w:color w:val="000000"/>
                <w:sz w:val="22"/>
              </w:rPr>
            </w:pPr>
            <w:r w:rsidRPr="00355D63">
              <w:rPr>
                <w:rFonts w:cs="Times New Roman"/>
                <w:color w:val="000000"/>
                <w:sz w:val="22"/>
              </w:rPr>
              <w:t>Mediana</w:t>
            </w:r>
          </w:p>
        </w:tc>
        <w:tc>
          <w:tcPr>
            <w:tcW w:w="1134" w:type="dxa"/>
            <w:tcBorders>
              <w:top w:val="nil"/>
              <w:left w:val="nil"/>
              <w:bottom w:val="nil"/>
              <w:right w:val="nil"/>
            </w:tcBorders>
            <w:shd w:val="clear" w:color="auto" w:fill="FFFFFF"/>
          </w:tcPr>
          <w:p w14:paraId="3E545A4D" w14:textId="3EF51453"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355D63">
              <w:rPr>
                <w:rFonts w:cs="Times New Roman"/>
                <w:color w:val="000000"/>
                <w:sz w:val="22"/>
              </w:rPr>
              <w:t>39,624</w:t>
            </w:r>
          </w:p>
        </w:tc>
        <w:tc>
          <w:tcPr>
            <w:tcW w:w="1774" w:type="dxa"/>
            <w:tcBorders>
              <w:top w:val="nil"/>
              <w:left w:val="nil"/>
              <w:bottom w:val="nil"/>
              <w:right w:val="nil"/>
            </w:tcBorders>
            <w:shd w:val="clear" w:color="auto" w:fill="FFFFFF"/>
            <w:vAlign w:val="center"/>
          </w:tcPr>
          <w:p w14:paraId="45192266" w14:textId="77777777" w:rsidR="00791C95" w:rsidRPr="006968CB" w:rsidRDefault="00791C95" w:rsidP="009C5227">
            <w:pPr>
              <w:autoSpaceDE w:val="0"/>
              <w:autoSpaceDN w:val="0"/>
              <w:adjustRightInd w:val="0"/>
              <w:spacing w:after="0" w:line="240" w:lineRule="auto"/>
              <w:rPr>
                <w:rFonts w:cs="Times New Roman"/>
                <w:sz w:val="22"/>
              </w:rPr>
            </w:pPr>
          </w:p>
        </w:tc>
      </w:tr>
      <w:tr w:rsidR="00791C95" w:rsidRPr="00277DAF" w14:paraId="2AF993B6" w14:textId="77777777" w:rsidTr="00C413F3">
        <w:trPr>
          <w:cantSplit/>
          <w:jc w:val="center"/>
        </w:trPr>
        <w:tc>
          <w:tcPr>
            <w:tcW w:w="2268" w:type="dxa"/>
            <w:vMerge/>
            <w:tcBorders>
              <w:top w:val="single" w:sz="16" w:space="0" w:color="000000"/>
              <w:left w:val="nil"/>
              <w:right w:val="nil"/>
            </w:tcBorders>
            <w:shd w:val="clear" w:color="auto" w:fill="FFFFFF"/>
          </w:tcPr>
          <w:p w14:paraId="5006BAD1" w14:textId="77777777" w:rsidR="00791C95" w:rsidRPr="006968CB" w:rsidRDefault="00791C95" w:rsidP="009C5227">
            <w:pPr>
              <w:autoSpaceDE w:val="0"/>
              <w:autoSpaceDN w:val="0"/>
              <w:adjustRightInd w:val="0"/>
              <w:spacing w:after="0" w:line="240" w:lineRule="auto"/>
              <w:rPr>
                <w:rFonts w:cs="Times New Roman"/>
                <w:sz w:val="22"/>
              </w:rPr>
            </w:pPr>
          </w:p>
        </w:tc>
        <w:tc>
          <w:tcPr>
            <w:tcW w:w="3402" w:type="dxa"/>
            <w:tcBorders>
              <w:top w:val="nil"/>
              <w:left w:val="nil"/>
              <w:bottom w:val="nil"/>
              <w:right w:val="nil"/>
            </w:tcBorders>
            <w:shd w:val="clear" w:color="auto" w:fill="E7E6E6" w:themeFill="background2"/>
          </w:tcPr>
          <w:p w14:paraId="2D39CACE" w14:textId="7C669217" w:rsidR="00791C95" w:rsidRPr="006968CB" w:rsidRDefault="00791C95" w:rsidP="009C5227">
            <w:pPr>
              <w:autoSpaceDE w:val="0"/>
              <w:autoSpaceDN w:val="0"/>
              <w:adjustRightInd w:val="0"/>
              <w:spacing w:after="0" w:line="240" w:lineRule="auto"/>
              <w:ind w:left="60" w:right="60"/>
              <w:rPr>
                <w:rFonts w:cs="Times New Roman"/>
                <w:color w:val="000000"/>
                <w:sz w:val="22"/>
              </w:rPr>
            </w:pPr>
            <w:r w:rsidRPr="00355D63">
              <w:rPr>
                <w:rFonts w:cs="Times New Roman"/>
                <w:color w:val="000000"/>
                <w:sz w:val="22"/>
              </w:rPr>
              <w:t>Variância</w:t>
            </w:r>
          </w:p>
        </w:tc>
        <w:tc>
          <w:tcPr>
            <w:tcW w:w="1134" w:type="dxa"/>
            <w:tcBorders>
              <w:top w:val="nil"/>
              <w:left w:val="nil"/>
              <w:bottom w:val="nil"/>
              <w:right w:val="nil"/>
            </w:tcBorders>
            <w:shd w:val="clear" w:color="auto" w:fill="E7E6E6" w:themeFill="background2"/>
          </w:tcPr>
          <w:p w14:paraId="1D260360" w14:textId="36995D6B"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355D63">
              <w:rPr>
                <w:rFonts w:cs="Times New Roman"/>
                <w:color w:val="000000"/>
                <w:sz w:val="22"/>
              </w:rPr>
              <w:t>257,804</w:t>
            </w:r>
          </w:p>
        </w:tc>
        <w:tc>
          <w:tcPr>
            <w:tcW w:w="1774" w:type="dxa"/>
            <w:tcBorders>
              <w:top w:val="nil"/>
              <w:left w:val="nil"/>
              <w:bottom w:val="nil"/>
              <w:right w:val="nil"/>
            </w:tcBorders>
            <w:shd w:val="clear" w:color="auto" w:fill="E7E6E6" w:themeFill="background2"/>
            <w:vAlign w:val="center"/>
          </w:tcPr>
          <w:p w14:paraId="565C38BD" w14:textId="77777777" w:rsidR="00791C95" w:rsidRPr="006968CB" w:rsidRDefault="00791C95" w:rsidP="009C5227">
            <w:pPr>
              <w:autoSpaceDE w:val="0"/>
              <w:autoSpaceDN w:val="0"/>
              <w:adjustRightInd w:val="0"/>
              <w:spacing w:after="0" w:line="240" w:lineRule="auto"/>
              <w:rPr>
                <w:rFonts w:cs="Times New Roman"/>
                <w:sz w:val="22"/>
              </w:rPr>
            </w:pPr>
          </w:p>
        </w:tc>
      </w:tr>
      <w:tr w:rsidR="00791C95" w:rsidRPr="00277DAF" w14:paraId="5BC0ADA9" w14:textId="77777777" w:rsidTr="00C413F3">
        <w:trPr>
          <w:cantSplit/>
          <w:jc w:val="center"/>
        </w:trPr>
        <w:tc>
          <w:tcPr>
            <w:tcW w:w="2268" w:type="dxa"/>
            <w:vMerge/>
            <w:tcBorders>
              <w:top w:val="single" w:sz="16" w:space="0" w:color="000000"/>
              <w:left w:val="nil"/>
              <w:right w:val="nil"/>
            </w:tcBorders>
            <w:shd w:val="clear" w:color="auto" w:fill="FFFFFF"/>
          </w:tcPr>
          <w:p w14:paraId="43A479EB" w14:textId="77777777" w:rsidR="00791C95" w:rsidRPr="006968CB" w:rsidRDefault="00791C95" w:rsidP="009C5227">
            <w:pPr>
              <w:autoSpaceDE w:val="0"/>
              <w:autoSpaceDN w:val="0"/>
              <w:adjustRightInd w:val="0"/>
              <w:spacing w:after="0" w:line="240" w:lineRule="auto"/>
              <w:rPr>
                <w:rFonts w:cs="Times New Roman"/>
                <w:sz w:val="22"/>
              </w:rPr>
            </w:pPr>
          </w:p>
        </w:tc>
        <w:tc>
          <w:tcPr>
            <w:tcW w:w="3402" w:type="dxa"/>
            <w:tcBorders>
              <w:top w:val="nil"/>
              <w:left w:val="nil"/>
              <w:bottom w:val="nil"/>
              <w:right w:val="nil"/>
            </w:tcBorders>
            <w:shd w:val="clear" w:color="auto" w:fill="FFFFFF"/>
          </w:tcPr>
          <w:p w14:paraId="17E60D2E" w14:textId="35FAFCAF" w:rsidR="00791C95" w:rsidRPr="006968CB" w:rsidRDefault="00791C95" w:rsidP="009C5227">
            <w:pPr>
              <w:autoSpaceDE w:val="0"/>
              <w:autoSpaceDN w:val="0"/>
              <w:adjustRightInd w:val="0"/>
              <w:spacing w:after="0" w:line="240" w:lineRule="auto"/>
              <w:ind w:left="60" w:right="60"/>
              <w:rPr>
                <w:rFonts w:cs="Times New Roman"/>
                <w:color w:val="000000"/>
                <w:sz w:val="22"/>
              </w:rPr>
            </w:pPr>
            <w:r w:rsidRPr="00355D63">
              <w:rPr>
                <w:rFonts w:cs="Times New Roman"/>
                <w:color w:val="000000"/>
                <w:sz w:val="22"/>
              </w:rPr>
              <w:t>Erro Padrão</w:t>
            </w:r>
          </w:p>
        </w:tc>
        <w:tc>
          <w:tcPr>
            <w:tcW w:w="1134" w:type="dxa"/>
            <w:tcBorders>
              <w:top w:val="nil"/>
              <w:left w:val="nil"/>
              <w:bottom w:val="nil"/>
              <w:right w:val="nil"/>
            </w:tcBorders>
            <w:shd w:val="clear" w:color="auto" w:fill="FFFFFF"/>
          </w:tcPr>
          <w:p w14:paraId="6F946B42" w14:textId="7425FABE"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355D63">
              <w:rPr>
                <w:rFonts w:cs="Times New Roman"/>
                <w:color w:val="000000"/>
                <w:sz w:val="22"/>
              </w:rPr>
              <w:t>16,056</w:t>
            </w:r>
          </w:p>
        </w:tc>
        <w:tc>
          <w:tcPr>
            <w:tcW w:w="1774" w:type="dxa"/>
            <w:tcBorders>
              <w:top w:val="nil"/>
              <w:left w:val="nil"/>
              <w:bottom w:val="nil"/>
              <w:right w:val="nil"/>
            </w:tcBorders>
            <w:shd w:val="clear" w:color="auto" w:fill="FFFFFF"/>
            <w:vAlign w:val="center"/>
          </w:tcPr>
          <w:p w14:paraId="2BE3C31B" w14:textId="77777777" w:rsidR="00791C95" w:rsidRPr="006968CB" w:rsidRDefault="00791C95" w:rsidP="009C5227">
            <w:pPr>
              <w:autoSpaceDE w:val="0"/>
              <w:autoSpaceDN w:val="0"/>
              <w:adjustRightInd w:val="0"/>
              <w:spacing w:after="0" w:line="240" w:lineRule="auto"/>
              <w:rPr>
                <w:rFonts w:cs="Times New Roman"/>
                <w:sz w:val="22"/>
              </w:rPr>
            </w:pPr>
          </w:p>
        </w:tc>
      </w:tr>
      <w:tr w:rsidR="00791C95" w:rsidRPr="00277DAF" w14:paraId="28445467" w14:textId="77777777" w:rsidTr="00C413F3">
        <w:trPr>
          <w:cantSplit/>
          <w:jc w:val="center"/>
        </w:trPr>
        <w:tc>
          <w:tcPr>
            <w:tcW w:w="2268" w:type="dxa"/>
            <w:vMerge/>
            <w:tcBorders>
              <w:top w:val="single" w:sz="16" w:space="0" w:color="000000"/>
              <w:left w:val="nil"/>
              <w:right w:val="nil"/>
            </w:tcBorders>
            <w:shd w:val="clear" w:color="auto" w:fill="FFFFFF"/>
          </w:tcPr>
          <w:p w14:paraId="09D317D8" w14:textId="77777777" w:rsidR="00791C95" w:rsidRPr="006968CB" w:rsidRDefault="00791C95" w:rsidP="009C5227">
            <w:pPr>
              <w:autoSpaceDE w:val="0"/>
              <w:autoSpaceDN w:val="0"/>
              <w:adjustRightInd w:val="0"/>
              <w:spacing w:after="0" w:line="240" w:lineRule="auto"/>
              <w:rPr>
                <w:rFonts w:cs="Times New Roman"/>
                <w:sz w:val="22"/>
              </w:rPr>
            </w:pPr>
          </w:p>
        </w:tc>
        <w:tc>
          <w:tcPr>
            <w:tcW w:w="3402" w:type="dxa"/>
            <w:tcBorders>
              <w:top w:val="nil"/>
              <w:left w:val="nil"/>
              <w:bottom w:val="nil"/>
              <w:right w:val="nil"/>
            </w:tcBorders>
            <w:shd w:val="clear" w:color="auto" w:fill="E7E6E6" w:themeFill="background2"/>
          </w:tcPr>
          <w:p w14:paraId="02467F15" w14:textId="5FCDE0DB" w:rsidR="00791C95" w:rsidRPr="006968CB" w:rsidRDefault="00791C95" w:rsidP="009C5227">
            <w:pPr>
              <w:autoSpaceDE w:val="0"/>
              <w:autoSpaceDN w:val="0"/>
              <w:adjustRightInd w:val="0"/>
              <w:spacing w:after="0" w:line="240" w:lineRule="auto"/>
              <w:ind w:left="60" w:right="60"/>
              <w:rPr>
                <w:rFonts w:cs="Times New Roman"/>
                <w:color w:val="000000"/>
                <w:sz w:val="22"/>
              </w:rPr>
            </w:pPr>
            <w:r w:rsidRPr="00355D63">
              <w:rPr>
                <w:rFonts w:cs="Times New Roman"/>
                <w:color w:val="000000"/>
                <w:sz w:val="22"/>
              </w:rPr>
              <w:t>Mínimo</w:t>
            </w:r>
          </w:p>
        </w:tc>
        <w:tc>
          <w:tcPr>
            <w:tcW w:w="1134" w:type="dxa"/>
            <w:tcBorders>
              <w:top w:val="nil"/>
              <w:left w:val="nil"/>
              <w:bottom w:val="nil"/>
              <w:right w:val="nil"/>
            </w:tcBorders>
            <w:shd w:val="clear" w:color="auto" w:fill="E7E6E6" w:themeFill="background2"/>
          </w:tcPr>
          <w:p w14:paraId="6585F249" w14:textId="18D51CD5"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355D63">
              <w:rPr>
                <w:rFonts w:cs="Times New Roman"/>
                <w:color w:val="000000"/>
                <w:sz w:val="22"/>
              </w:rPr>
              <w:t>2,335</w:t>
            </w:r>
          </w:p>
        </w:tc>
        <w:tc>
          <w:tcPr>
            <w:tcW w:w="1774" w:type="dxa"/>
            <w:tcBorders>
              <w:top w:val="nil"/>
              <w:left w:val="nil"/>
              <w:bottom w:val="nil"/>
              <w:right w:val="nil"/>
            </w:tcBorders>
            <w:shd w:val="clear" w:color="auto" w:fill="E7E6E6" w:themeFill="background2"/>
            <w:vAlign w:val="center"/>
          </w:tcPr>
          <w:p w14:paraId="5EACDA6C" w14:textId="77777777" w:rsidR="00791C95" w:rsidRPr="006968CB" w:rsidRDefault="00791C95" w:rsidP="009C5227">
            <w:pPr>
              <w:autoSpaceDE w:val="0"/>
              <w:autoSpaceDN w:val="0"/>
              <w:adjustRightInd w:val="0"/>
              <w:spacing w:after="0" w:line="240" w:lineRule="auto"/>
              <w:rPr>
                <w:rFonts w:cs="Times New Roman"/>
                <w:sz w:val="22"/>
              </w:rPr>
            </w:pPr>
          </w:p>
        </w:tc>
      </w:tr>
      <w:tr w:rsidR="00791C95" w:rsidRPr="00277DAF" w14:paraId="50D6EFF9" w14:textId="77777777" w:rsidTr="00C413F3">
        <w:trPr>
          <w:cantSplit/>
          <w:jc w:val="center"/>
        </w:trPr>
        <w:tc>
          <w:tcPr>
            <w:tcW w:w="2268" w:type="dxa"/>
            <w:vMerge/>
            <w:tcBorders>
              <w:top w:val="single" w:sz="16" w:space="0" w:color="000000"/>
              <w:left w:val="nil"/>
              <w:right w:val="nil"/>
            </w:tcBorders>
            <w:shd w:val="clear" w:color="auto" w:fill="FFFFFF"/>
          </w:tcPr>
          <w:p w14:paraId="6066ADDC" w14:textId="77777777" w:rsidR="00791C95" w:rsidRPr="006968CB" w:rsidRDefault="00791C95" w:rsidP="009C5227">
            <w:pPr>
              <w:autoSpaceDE w:val="0"/>
              <w:autoSpaceDN w:val="0"/>
              <w:adjustRightInd w:val="0"/>
              <w:spacing w:after="0" w:line="240" w:lineRule="auto"/>
              <w:rPr>
                <w:rFonts w:cs="Times New Roman"/>
                <w:sz w:val="22"/>
              </w:rPr>
            </w:pPr>
          </w:p>
        </w:tc>
        <w:tc>
          <w:tcPr>
            <w:tcW w:w="3402" w:type="dxa"/>
            <w:tcBorders>
              <w:top w:val="nil"/>
              <w:left w:val="nil"/>
              <w:bottom w:val="nil"/>
              <w:right w:val="nil"/>
            </w:tcBorders>
            <w:shd w:val="clear" w:color="auto" w:fill="FFFFFF"/>
          </w:tcPr>
          <w:p w14:paraId="5E28C4D6" w14:textId="561D5F77" w:rsidR="00791C95" w:rsidRPr="006968CB" w:rsidRDefault="00791C95" w:rsidP="009C5227">
            <w:pPr>
              <w:autoSpaceDE w:val="0"/>
              <w:autoSpaceDN w:val="0"/>
              <w:adjustRightInd w:val="0"/>
              <w:spacing w:after="0" w:line="240" w:lineRule="auto"/>
              <w:ind w:left="60" w:right="60"/>
              <w:rPr>
                <w:rFonts w:cs="Times New Roman"/>
                <w:color w:val="000000"/>
                <w:sz w:val="22"/>
              </w:rPr>
            </w:pPr>
            <w:r w:rsidRPr="00355D63">
              <w:rPr>
                <w:rFonts w:cs="Times New Roman"/>
                <w:color w:val="000000"/>
                <w:sz w:val="22"/>
              </w:rPr>
              <w:t>Máximo</w:t>
            </w:r>
          </w:p>
        </w:tc>
        <w:tc>
          <w:tcPr>
            <w:tcW w:w="1134" w:type="dxa"/>
            <w:tcBorders>
              <w:top w:val="nil"/>
              <w:left w:val="nil"/>
              <w:bottom w:val="nil"/>
              <w:right w:val="nil"/>
            </w:tcBorders>
            <w:shd w:val="clear" w:color="auto" w:fill="FFFFFF"/>
          </w:tcPr>
          <w:p w14:paraId="5D141F81" w14:textId="33F3C516"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355D63">
              <w:rPr>
                <w:rFonts w:cs="Times New Roman"/>
                <w:color w:val="000000"/>
                <w:sz w:val="22"/>
              </w:rPr>
              <w:t>94,917</w:t>
            </w:r>
          </w:p>
        </w:tc>
        <w:tc>
          <w:tcPr>
            <w:tcW w:w="1774" w:type="dxa"/>
            <w:tcBorders>
              <w:top w:val="nil"/>
              <w:left w:val="nil"/>
              <w:bottom w:val="nil"/>
              <w:right w:val="nil"/>
            </w:tcBorders>
            <w:shd w:val="clear" w:color="auto" w:fill="FFFFFF"/>
            <w:vAlign w:val="center"/>
          </w:tcPr>
          <w:p w14:paraId="680988EE" w14:textId="77777777" w:rsidR="00791C95" w:rsidRPr="006968CB" w:rsidRDefault="00791C95" w:rsidP="009C5227">
            <w:pPr>
              <w:autoSpaceDE w:val="0"/>
              <w:autoSpaceDN w:val="0"/>
              <w:adjustRightInd w:val="0"/>
              <w:spacing w:after="0" w:line="240" w:lineRule="auto"/>
              <w:rPr>
                <w:rFonts w:cs="Times New Roman"/>
                <w:sz w:val="22"/>
              </w:rPr>
            </w:pPr>
          </w:p>
        </w:tc>
      </w:tr>
      <w:tr w:rsidR="00791C95" w:rsidRPr="00277DAF" w14:paraId="0EC612B5" w14:textId="77777777" w:rsidTr="00C413F3">
        <w:trPr>
          <w:cantSplit/>
          <w:jc w:val="center"/>
        </w:trPr>
        <w:tc>
          <w:tcPr>
            <w:tcW w:w="2268" w:type="dxa"/>
            <w:vMerge/>
            <w:tcBorders>
              <w:top w:val="single" w:sz="16" w:space="0" w:color="000000"/>
              <w:left w:val="nil"/>
              <w:right w:val="nil"/>
            </w:tcBorders>
            <w:shd w:val="clear" w:color="auto" w:fill="FFFFFF"/>
          </w:tcPr>
          <w:p w14:paraId="60C0F14E" w14:textId="77777777" w:rsidR="00791C95" w:rsidRPr="006968CB" w:rsidRDefault="00791C95" w:rsidP="009C5227">
            <w:pPr>
              <w:autoSpaceDE w:val="0"/>
              <w:autoSpaceDN w:val="0"/>
              <w:adjustRightInd w:val="0"/>
              <w:spacing w:after="0" w:line="240" w:lineRule="auto"/>
              <w:rPr>
                <w:rFonts w:cs="Times New Roman"/>
                <w:sz w:val="22"/>
              </w:rPr>
            </w:pPr>
          </w:p>
        </w:tc>
        <w:tc>
          <w:tcPr>
            <w:tcW w:w="3402" w:type="dxa"/>
            <w:tcBorders>
              <w:top w:val="nil"/>
              <w:left w:val="nil"/>
              <w:bottom w:val="nil"/>
              <w:right w:val="nil"/>
            </w:tcBorders>
            <w:shd w:val="clear" w:color="auto" w:fill="E7E6E6" w:themeFill="background2"/>
          </w:tcPr>
          <w:p w14:paraId="64F632F9" w14:textId="1261E66F" w:rsidR="00791C95" w:rsidRPr="006968CB" w:rsidRDefault="00791C95" w:rsidP="009C5227">
            <w:pPr>
              <w:autoSpaceDE w:val="0"/>
              <w:autoSpaceDN w:val="0"/>
              <w:adjustRightInd w:val="0"/>
              <w:spacing w:after="0" w:line="240" w:lineRule="auto"/>
              <w:ind w:left="60" w:right="60"/>
              <w:rPr>
                <w:rFonts w:cs="Times New Roman"/>
                <w:color w:val="000000"/>
                <w:sz w:val="22"/>
              </w:rPr>
            </w:pPr>
            <w:r w:rsidRPr="00355D63">
              <w:rPr>
                <w:rFonts w:cs="Times New Roman"/>
                <w:color w:val="000000"/>
                <w:sz w:val="22"/>
              </w:rPr>
              <w:t>Amplitude</w:t>
            </w:r>
          </w:p>
        </w:tc>
        <w:tc>
          <w:tcPr>
            <w:tcW w:w="1134" w:type="dxa"/>
            <w:tcBorders>
              <w:top w:val="nil"/>
              <w:left w:val="nil"/>
              <w:bottom w:val="nil"/>
              <w:right w:val="nil"/>
            </w:tcBorders>
            <w:shd w:val="clear" w:color="auto" w:fill="E7E6E6" w:themeFill="background2"/>
          </w:tcPr>
          <w:p w14:paraId="540E5B0A" w14:textId="21A6A3EB"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355D63">
              <w:rPr>
                <w:rFonts w:cs="Times New Roman"/>
                <w:color w:val="000000"/>
                <w:sz w:val="22"/>
              </w:rPr>
              <w:t>92,582</w:t>
            </w:r>
          </w:p>
        </w:tc>
        <w:tc>
          <w:tcPr>
            <w:tcW w:w="1774" w:type="dxa"/>
            <w:tcBorders>
              <w:top w:val="nil"/>
              <w:left w:val="nil"/>
              <w:bottom w:val="nil"/>
              <w:right w:val="nil"/>
            </w:tcBorders>
            <w:shd w:val="clear" w:color="auto" w:fill="E7E6E6" w:themeFill="background2"/>
            <w:vAlign w:val="center"/>
          </w:tcPr>
          <w:p w14:paraId="45C76DA4" w14:textId="77777777" w:rsidR="00791C95" w:rsidRPr="006968CB" w:rsidRDefault="00791C95" w:rsidP="009C5227">
            <w:pPr>
              <w:autoSpaceDE w:val="0"/>
              <w:autoSpaceDN w:val="0"/>
              <w:adjustRightInd w:val="0"/>
              <w:spacing w:after="0" w:line="240" w:lineRule="auto"/>
              <w:rPr>
                <w:rFonts w:cs="Times New Roman"/>
                <w:sz w:val="22"/>
              </w:rPr>
            </w:pPr>
          </w:p>
        </w:tc>
      </w:tr>
      <w:tr w:rsidR="00791C95" w:rsidRPr="00277DAF" w14:paraId="60A356B8" w14:textId="77777777" w:rsidTr="00C413F3">
        <w:trPr>
          <w:cantSplit/>
          <w:jc w:val="center"/>
        </w:trPr>
        <w:tc>
          <w:tcPr>
            <w:tcW w:w="2268" w:type="dxa"/>
            <w:vMerge/>
            <w:tcBorders>
              <w:top w:val="single" w:sz="16" w:space="0" w:color="000000"/>
              <w:left w:val="nil"/>
              <w:right w:val="nil"/>
            </w:tcBorders>
            <w:shd w:val="clear" w:color="auto" w:fill="FFFFFF"/>
          </w:tcPr>
          <w:p w14:paraId="5FC87355" w14:textId="77777777" w:rsidR="00791C95" w:rsidRPr="006968CB" w:rsidRDefault="00791C95" w:rsidP="009C5227">
            <w:pPr>
              <w:autoSpaceDE w:val="0"/>
              <w:autoSpaceDN w:val="0"/>
              <w:adjustRightInd w:val="0"/>
              <w:spacing w:after="0" w:line="240" w:lineRule="auto"/>
              <w:rPr>
                <w:rFonts w:cs="Times New Roman"/>
                <w:sz w:val="22"/>
              </w:rPr>
            </w:pPr>
          </w:p>
        </w:tc>
        <w:tc>
          <w:tcPr>
            <w:tcW w:w="3402" w:type="dxa"/>
            <w:tcBorders>
              <w:top w:val="nil"/>
              <w:left w:val="nil"/>
              <w:bottom w:val="nil"/>
              <w:right w:val="nil"/>
            </w:tcBorders>
            <w:shd w:val="clear" w:color="auto" w:fill="FFFFFF"/>
          </w:tcPr>
          <w:p w14:paraId="27FD6BF5" w14:textId="2B94A46E" w:rsidR="00791C95" w:rsidRPr="006968CB" w:rsidRDefault="00791C95" w:rsidP="009C5227">
            <w:pPr>
              <w:autoSpaceDE w:val="0"/>
              <w:autoSpaceDN w:val="0"/>
              <w:adjustRightInd w:val="0"/>
              <w:spacing w:after="0" w:line="240" w:lineRule="auto"/>
              <w:ind w:left="60" w:right="60"/>
              <w:rPr>
                <w:rFonts w:cs="Times New Roman"/>
                <w:color w:val="000000"/>
                <w:sz w:val="22"/>
              </w:rPr>
            </w:pPr>
            <w:r w:rsidRPr="00355D63">
              <w:rPr>
                <w:rFonts w:cs="Times New Roman"/>
                <w:color w:val="000000"/>
                <w:sz w:val="22"/>
              </w:rPr>
              <w:t>Amplitude interquartil</w:t>
            </w:r>
          </w:p>
        </w:tc>
        <w:tc>
          <w:tcPr>
            <w:tcW w:w="1134" w:type="dxa"/>
            <w:tcBorders>
              <w:top w:val="nil"/>
              <w:left w:val="nil"/>
              <w:bottom w:val="nil"/>
              <w:right w:val="nil"/>
            </w:tcBorders>
            <w:shd w:val="clear" w:color="auto" w:fill="FFFFFF"/>
          </w:tcPr>
          <w:p w14:paraId="402354F2" w14:textId="1F9376A6"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355D63">
              <w:rPr>
                <w:rFonts w:cs="Times New Roman"/>
                <w:color w:val="000000"/>
                <w:sz w:val="22"/>
              </w:rPr>
              <w:t>20,968</w:t>
            </w:r>
          </w:p>
        </w:tc>
        <w:tc>
          <w:tcPr>
            <w:tcW w:w="1774" w:type="dxa"/>
            <w:tcBorders>
              <w:top w:val="nil"/>
              <w:left w:val="nil"/>
              <w:bottom w:val="nil"/>
              <w:right w:val="nil"/>
            </w:tcBorders>
            <w:shd w:val="clear" w:color="auto" w:fill="FFFFFF"/>
            <w:vAlign w:val="center"/>
          </w:tcPr>
          <w:p w14:paraId="267E9192" w14:textId="77777777" w:rsidR="00791C95" w:rsidRPr="006968CB" w:rsidRDefault="00791C95" w:rsidP="009C5227">
            <w:pPr>
              <w:autoSpaceDE w:val="0"/>
              <w:autoSpaceDN w:val="0"/>
              <w:adjustRightInd w:val="0"/>
              <w:spacing w:after="0" w:line="240" w:lineRule="auto"/>
              <w:rPr>
                <w:rFonts w:cs="Times New Roman"/>
                <w:sz w:val="22"/>
              </w:rPr>
            </w:pPr>
          </w:p>
        </w:tc>
      </w:tr>
      <w:tr w:rsidR="00791C95" w:rsidRPr="00277DAF" w14:paraId="4D6082BB" w14:textId="77777777" w:rsidTr="00C413F3">
        <w:trPr>
          <w:cantSplit/>
          <w:jc w:val="center"/>
        </w:trPr>
        <w:tc>
          <w:tcPr>
            <w:tcW w:w="2268" w:type="dxa"/>
            <w:vMerge/>
            <w:tcBorders>
              <w:top w:val="single" w:sz="16" w:space="0" w:color="000000"/>
              <w:left w:val="nil"/>
              <w:right w:val="nil"/>
            </w:tcBorders>
            <w:shd w:val="clear" w:color="auto" w:fill="FFFFFF"/>
          </w:tcPr>
          <w:p w14:paraId="7542B206" w14:textId="77777777" w:rsidR="00791C95" w:rsidRPr="006968CB" w:rsidRDefault="00791C95" w:rsidP="009C5227">
            <w:pPr>
              <w:autoSpaceDE w:val="0"/>
              <w:autoSpaceDN w:val="0"/>
              <w:adjustRightInd w:val="0"/>
              <w:spacing w:after="0" w:line="240" w:lineRule="auto"/>
              <w:rPr>
                <w:rFonts w:cs="Times New Roman"/>
                <w:sz w:val="22"/>
              </w:rPr>
            </w:pPr>
          </w:p>
        </w:tc>
        <w:tc>
          <w:tcPr>
            <w:tcW w:w="3402" w:type="dxa"/>
            <w:tcBorders>
              <w:top w:val="nil"/>
              <w:left w:val="nil"/>
              <w:bottom w:val="nil"/>
              <w:right w:val="nil"/>
            </w:tcBorders>
            <w:shd w:val="clear" w:color="auto" w:fill="E7E6E6" w:themeFill="background2"/>
          </w:tcPr>
          <w:p w14:paraId="1AB48093" w14:textId="3FCAD458" w:rsidR="00791C95" w:rsidRPr="006968CB" w:rsidRDefault="00791C95" w:rsidP="009C5227">
            <w:pPr>
              <w:autoSpaceDE w:val="0"/>
              <w:autoSpaceDN w:val="0"/>
              <w:adjustRightInd w:val="0"/>
              <w:spacing w:after="0" w:line="240" w:lineRule="auto"/>
              <w:ind w:left="60" w:right="60"/>
              <w:rPr>
                <w:rFonts w:cs="Times New Roman"/>
                <w:color w:val="000000"/>
                <w:sz w:val="22"/>
              </w:rPr>
            </w:pPr>
            <w:r w:rsidRPr="00355D63">
              <w:rPr>
                <w:rFonts w:cs="Times New Roman"/>
                <w:color w:val="000000"/>
                <w:sz w:val="22"/>
              </w:rPr>
              <w:t>Assimetria</w:t>
            </w:r>
          </w:p>
        </w:tc>
        <w:tc>
          <w:tcPr>
            <w:tcW w:w="1134" w:type="dxa"/>
            <w:tcBorders>
              <w:top w:val="nil"/>
              <w:left w:val="nil"/>
              <w:bottom w:val="nil"/>
              <w:right w:val="nil"/>
            </w:tcBorders>
            <w:shd w:val="clear" w:color="auto" w:fill="E7E6E6" w:themeFill="background2"/>
          </w:tcPr>
          <w:p w14:paraId="19B54C90" w14:textId="53AFB95E"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355D63">
              <w:rPr>
                <w:rFonts w:cs="Times New Roman"/>
                <w:color w:val="000000"/>
                <w:sz w:val="22"/>
              </w:rPr>
              <w:t>0,613</w:t>
            </w:r>
          </w:p>
        </w:tc>
        <w:tc>
          <w:tcPr>
            <w:tcW w:w="1774" w:type="dxa"/>
            <w:tcBorders>
              <w:top w:val="nil"/>
              <w:left w:val="nil"/>
              <w:bottom w:val="nil"/>
              <w:right w:val="nil"/>
            </w:tcBorders>
            <w:shd w:val="clear" w:color="auto" w:fill="E7E6E6" w:themeFill="background2"/>
          </w:tcPr>
          <w:p w14:paraId="5B46FCE3" w14:textId="77777777"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0,104</w:t>
            </w:r>
          </w:p>
        </w:tc>
      </w:tr>
      <w:tr w:rsidR="00791C95" w:rsidRPr="00277DAF" w14:paraId="0EECDAB8" w14:textId="77777777" w:rsidTr="00C413F3">
        <w:trPr>
          <w:cantSplit/>
          <w:jc w:val="center"/>
        </w:trPr>
        <w:tc>
          <w:tcPr>
            <w:tcW w:w="2268" w:type="dxa"/>
            <w:vMerge/>
            <w:tcBorders>
              <w:top w:val="single" w:sz="16" w:space="0" w:color="000000"/>
              <w:left w:val="nil"/>
              <w:right w:val="nil"/>
            </w:tcBorders>
            <w:shd w:val="clear" w:color="auto" w:fill="FFFFFF"/>
          </w:tcPr>
          <w:p w14:paraId="0A8419DA" w14:textId="77777777" w:rsidR="00791C95" w:rsidRPr="006968CB" w:rsidRDefault="00791C95" w:rsidP="009C5227">
            <w:pPr>
              <w:autoSpaceDE w:val="0"/>
              <w:autoSpaceDN w:val="0"/>
              <w:adjustRightInd w:val="0"/>
              <w:spacing w:after="0" w:line="240" w:lineRule="auto"/>
              <w:rPr>
                <w:rFonts w:cs="Times New Roman"/>
                <w:color w:val="000000"/>
                <w:sz w:val="22"/>
              </w:rPr>
            </w:pPr>
          </w:p>
        </w:tc>
        <w:tc>
          <w:tcPr>
            <w:tcW w:w="3402" w:type="dxa"/>
            <w:tcBorders>
              <w:top w:val="nil"/>
              <w:left w:val="nil"/>
              <w:bottom w:val="single" w:sz="4" w:space="0" w:color="auto"/>
              <w:right w:val="nil"/>
            </w:tcBorders>
            <w:shd w:val="clear" w:color="auto" w:fill="FFFFFF"/>
          </w:tcPr>
          <w:p w14:paraId="08E0727A" w14:textId="6CB7BBEC" w:rsidR="00791C95" w:rsidRPr="006968CB" w:rsidRDefault="00791C95" w:rsidP="009C5227">
            <w:pPr>
              <w:autoSpaceDE w:val="0"/>
              <w:autoSpaceDN w:val="0"/>
              <w:adjustRightInd w:val="0"/>
              <w:spacing w:after="0" w:line="240" w:lineRule="auto"/>
              <w:ind w:left="60" w:right="60"/>
              <w:rPr>
                <w:rFonts w:cs="Times New Roman"/>
                <w:color w:val="000000"/>
                <w:sz w:val="22"/>
              </w:rPr>
            </w:pPr>
            <w:proofErr w:type="spellStart"/>
            <w:r w:rsidRPr="00355D63">
              <w:rPr>
                <w:rFonts w:cs="Times New Roman"/>
                <w:color w:val="000000"/>
                <w:sz w:val="22"/>
              </w:rPr>
              <w:t>Curtose</w:t>
            </w:r>
            <w:proofErr w:type="spellEnd"/>
          </w:p>
        </w:tc>
        <w:tc>
          <w:tcPr>
            <w:tcW w:w="1134" w:type="dxa"/>
            <w:tcBorders>
              <w:top w:val="nil"/>
              <w:left w:val="nil"/>
              <w:bottom w:val="single" w:sz="4" w:space="0" w:color="auto"/>
              <w:right w:val="nil"/>
            </w:tcBorders>
            <w:shd w:val="clear" w:color="auto" w:fill="FFFFFF"/>
          </w:tcPr>
          <w:p w14:paraId="2594613A" w14:textId="2DED3B70"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355D63">
              <w:rPr>
                <w:rFonts w:cs="Times New Roman"/>
                <w:color w:val="000000"/>
                <w:sz w:val="22"/>
              </w:rPr>
              <w:t>0,344</w:t>
            </w:r>
          </w:p>
        </w:tc>
        <w:tc>
          <w:tcPr>
            <w:tcW w:w="1774" w:type="dxa"/>
            <w:tcBorders>
              <w:top w:val="nil"/>
              <w:left w:val="nil"/>
              <w:bottom w:val="single" w:sz="4" w:space="0" w:color="auto"/>
              <w:right w:val="nil"/>
            </w:tcBorders>
            <w:shd w:val="clear" w:color="auto" w:fill="FFFFFF"/>
          </w:tcPr>
          <w:p w14:paraId="4862BCAB" w14:textId="77777777"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0,208</w:t>
            </w:r>
          </w:p>
        </w:tc>
      </w:tr>
      <w:tr w:rsidR="00791C95" w:rsidRPr="00277DAF" w14:paraId="69CA46D4" w14:textId="77777777" w:rsidTr="00C413F3">
        <w:trPr>
          <w:cantSplit/>
          <w:jc w:val="center"/>
        </w:trPr>
        <w:tc>
          <w:tcPr>
            <w:tcW w:w="2268" w:type="dxa"/>
            <w:vMerge w:val="restart"/>
            <w:tcBorders>
              <w:top w:val="nil"/>
              <w:left w:val="nil"/>
              <w:bottom w:val="double" w:sz="8" w:space="0" w:color="000000"/>
              <w:right w:val="nil"/>
            </w:tcBorders>
            <w:shd w:val="clear" w:color="auto" w:fill="FFFFFF"/>
          </w:tcPr>
          <w:p w14:paraId="2F8F7C38" w14:textId="23FF4872" w:rsidR="00791C95" w:rsidRPr="006968CB" w:rsidRDefault="00791C95" w:rsidP="009C5227">
            <w:pPr>
              <w:autoSpaceDE w:val="0"/>
              <w:autoSpaceDN w:val="0"/>
              <w:adjustRightInd w:val="0"/>
              <w:spacing w:after="0" w:line="240" w:lineRule="auto"/>
              <w:ind w:left="60" w:right="60"/>
              <w:rPr>
                <w:rFonts w:cs="Times New Roman"/>
                <w:color w:val="000000"/>
                <w:sz w:val="22"/>
              </w:rPr>
            </w:pPr>
            <w:r>
              <w:rPr>
                <w:rFonts w:cs="Times New Roman"/>
                <w:color w:val="000000"/>
                <w:sz w:val="22"/>
              </w:rPr>
              <w:t>M</w:t>
            </w:r>
            <w:r w:rsidRPr="00355D63">
              <w:rPr>
                <w:rFonts w:cs="Times New Roman"/>
                <w:color w:val="000000"/>
                <w:sz w:val="22"/>
              </w:rPr>
              <w:t>unicípios com f</w:t>
            </w:r>
            <w:r w:rsidR="00A5625E">
              <w:rPr>
                <w:rFonts w:cs="Times New Roman"/>
                <w:color w:val="000000"/>
                <w:sz w:val="22"/>
              </w:rPr>
              <w:t>raca</w:t>
            </w:r>
            <w:r w:rsidRPr="00355D63">
              <w:rPr>
                <w:rFonts w:cs="Times New Roman"/>
                <w:color w:val="000000"/>
                <w:sz w:val="22"/>
              </w:rPr>
              <w:t xml:space="preserve"> competição política</w:t>
            </w:r>
          </w:p>
        </w:tc>
        <w:tc>
          <w:tcPr>
            <w:tcW w:w="3402" w:type="dxa"/>
            <w:tcBorders>
              <w:top w:val="single" w:sz="4" w:space="0" w:color="auto"/>
              <w:left w:val="nil"/>
              <w:bottom w:val="nil"/>
              <w:right w:val="nil"/>
            </w:tcBorders>
            <w:shd w:val="clear" w:color="auto" w:fill="FFFFFF"/>
          </w:tcPr>
          <w:p w14:paraId="2E9D2CBD" w14:textId="353FD858" w:rsidR="00791C95" w:rsidRPr="006968CB" w:rsidRDefault="00791C95" w:rsidP="009C5227">
            <w:pPr>
              <w:autoSpaceDE w:val="0"/>
              <w:autoSpaceDN w:val="0"/>
              <w:adjustRightInd w:val="0"/>
              <w:spacing w:after="0" w:line="240" w:lineRule="auto"/>
              <w:ind w:left="60" w:right="60"/>
              <w:rPr>
                <w:rFonts w:cs="Times New Roman"/>
                <w:color w:val="000000"/>
                <w:sz w:val="22"/>
              </w:rPr>
            </w:pPr>
            <w:r w:rsidRPr="00355D63">
              <w:rPr>
                <w:rFonts w:cs="Times New Roman"/>
                <w:color w:val="000000"/>
                <w:sz w:val="22"/>
              </w:rPr>
              <w:t>N</w:t>
            </w:r>
            <w:r>
              <w:rPr>
                <w:rFonts w:cs="Times New Roman"/>
                <w:color w:val="000000"/>
                <w:sz w:val="22"/>
              </w:rPr>
              <w:t>=1220</w:t>
            </w:r>
          </w:p>
        </w:tc>
        <w:tc>
          <w:tcPr>
            <w:tcW w:w="1134" w:type="dxa"/>
            <w:tcBorders>
              <w:top w:val="single" w:sz="4" w:space="0" w:color="auto"/>
              <w:left w:val="nil"/>
              <w:bottom w:val="nil"/>
              <w:right w:val="nil"/>
            </w:tcBorders>
            <w:shd w:val="clear" w:color="auto" w:fill="FFFFFF"/>
          </w:tcPr>
          <w:p w14:paraId="5ECA1192" w14:textId="6D5B6FDC"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355D63">
              <w:rPr>
                <w:rFonts w:cs="Times New Roman"/>
                <w:color w:val="000000"/>
                <w:sz w:val="22"/>
              </w:rPr>
              <w:t>1220</w:t>
            </w:r>
          </w:p>
        </w:tc>
        <w:tc>
          <w:tcPr>
            <w:tcW w:w="1774" w:type="dxa"/>
            <w:tcBorders>
              <w:top w:val="single" w:sz="4" w:space="0" w:color="auto"/>
              <w:left w:val="nil"/>
              <w:bottom w:val="nil"/>
              <w:right w:val="nil"/>
            </w:tcBorders>
            <w:shd w:val="clear" w:color="auto" w:fill="FFFFFF"/>
          </w:tcPr>
          <w:p w14:paraId="0910EFC0" w14:textId="77777777"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p>
        </w:tc>
      </w:tr>
      <w:tr w:rsidR="00791C95" w:rsidRPr="00277DAF" w14:paraId="0A484D71" w14:textId="77777777" w:rsidTr="00C413F3">
        <w:trPr>
          <w:cantSplit/>
          <w:jc w:val="center"/>
        </w:trPr>
        <w:tc>
          <w:tcPr>
            <w:tcW w:w="2268" w:type="dxa"/>
            <w:vMerge/>
            <w:tcBorders>
              <w:top w:val="nil"/>
              <w:left w:val="nil"/>
              <w:bottom w:val="double" w:sz="8" w:space="0" w:color="000000"/>
              <w:right w:val="nil"/>
            </w:tcBorders>
            <w:shd w:val="clear" w:color="auto" w:fill="FFFFFF"/>
          </w:tcPr>
          <w:p w14:paraId="100C280F" w14:textId="77777777" w:rsidR="00791C95" w:rsidRPr="006968CB" w:rsidRDefault="00791C95" w:rsidP="009C5227">
            <w:pPr>
              <w:autoSpaceDE w:val="0"/>
              <w:autoSpaceDN w:val="0"/>
              <w:adjustRightInd w:val="0"/>
              <w:spacing w:after="0" w:line="240" w:lineRule="auto"/>
              <w:ind w:left="60" w:right="60"/>
              <w:rPr>
                <w:rFonts w:cs="Times New Roman"/>
                <w:color w:val="000000"/>
                <w:sz w:val="22"/>
              </w:rPr>
            </w:pPr>
          </w:p>
        </w:tc>
        <w:tc>
          <w:tcPr>
            <w:tcW w:w="3402" w:type="dxa"/>
            <w:tcBorders>
              <w:top w:val="nil"/>
              <w:left w:val="nil"/>
              <w:bottom w:val="nil"/>
              <w:right w:val="nil"/>
            </w:tcBorders>
            <w:shd w:val="clear" w:color="auto" w:fill="E7E6E6" w:themeFill="background2"/>
          </w:tcPr>
          <w:p w14:paraId="3D697049" w14:textId="7B143AB2" w:rsidR="00791C95" w:rsidRPr="006968CB" w:rsidRDefault="00791C95" w:rsidP="009C5227">
            <w:pPr>
              <w:autoSpaceDE w:val="0"/>
              <w:autoSpaceDN w:val="0"/>
              <w:adjustRightInd w:val="0"/>
              <w:spacing w:after="0" w:line="240" w:lineRule="auto"/>
              <w:ind w:left="60" w:right="60"/>
              <w:rPr>
                <w:rFonts w:cs="Times New Roman"/>
                <w:color w:val="000000"/>
                <w:sz w:val="22"/>
              </w:rPr>
            </w:pPr>
            <w:r w:rsidRPr="00355D63">
              <w:rPr>
                <w:rFonts w:cs="Times New Roman"/>
                <w:color w:val="000000"/>
                <w:sz w:val="22"/>
              </w:rPr>
              <w:t>Média</w:t>
            </w:r>
          </w:p>
        </w:tc>
        <w:tc>
          <w:tcPr>
            <w:tcW w:w="1134" w:type="dxa"/>
            <w:tcBorders>
              <w:top w:val="nil"/>
              <w:left w:val="nil"/>
              <w:bottom w:val="nil"/>
              <w:right w:val="nil"/>
            </w:tcBorders>
            <w:shd w:val="clear" w:color="auto" w:fill="E7E6E6" w:themeFill="background2"/>
          </w:tcPr>
          <w:p w14:paraId="11057A23" w14:textId="3493B3CE"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355D63">
              <w:rPr>
                <w:rFonts w:cs="Times New Roman"/>
                <w:color w:val="000000"/>
                <w:sz w:val="22"/>
              </w:rPr>
              <w:t>43,063</w:t>
            </w:r>
          </w:p>
        </w:tc>
        <w:tc>
          <w:tcPr>
            <w:tcW w:w="1774" w:type="dxa"/>
            <w:tcBorders>
              <w:top w:val="nil"/>
              <w:left w:val="nil"/>
              <w:bottom w:val="nil"/>
              <w:right w:val="nil"/>
            </w:tcBorders>
            <w:shd w:val="clear" w:color="auto" w:fill="E7E6E6" w:themeFill="background2"/>
          </w:tcPr>
          <w:p w14:paraId="1A2B4D7C" w14:textId="77777777"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0,57662</w:t>
            </w:r>
          </w:p>
        </w:tc>
      </w:tr>
      <w:tr w:rsidR="00791C95" w:rsidRPr="00277DAF" w14:paraId="78F6942E" w14:textId="77777777" w:rsidTr="00C413F3">
        <w:trPr>
          <w:cantSplit/>
          <w:jc w:val="center"/>
        </w:trPr>
        <w:tc>
          <w:tcPr>
            <w:tcW w:w="2268" w:type="dxa"/>
            <w:vMerge/>
            <w:tcBorders>
              <w:top w:val="nil"/>
              <w:left w:val="nil"/>
              <w:bottom w:val="double" w:sz="8" w:space="0" w:color="000000"/>
              <w:right w:val="nil"/>
            </w:tcBorders>
            <w:shd w:val="clear" w:color="auto" w:fill="FFFFFF"/>
          </w:tcPr>
          <w:p w14:paraId="12CF8ECB" w14:textId="77777777" w:rsidR="00791C95" w:rsidRPr="006968CB" w:rsidRDefault="00791C95" w:rsidP="009C5227">
            <w:pPr>
              <w:autoSpaceDE w:val="0"/>
              <w:autoSpaceDN w:val="0"/>
              <w:adjustRightInd w:val="0"/>
              <w:spacing w:after="0" w:line="240" w:lineRule="auto"/>
              <w:rPr>
                <w:rFonts w:cs="Times New Roman"/>
                <w:sz w:val="22"/>
              </w:rPr>
            </w:pPr>
          </w:p>
        </w:tc>
        <w:tc>
          <w:tcPr>
            <w:tcW w:w="3402" w:type="dxa"/>
            <w:tcBorders>
              <w:top w:val="nil"/>
              <w:left w:val="nil"/>
              <w:bottom w:val="nil"/>
              <w:right w:val="nil"/>
            </w:tcBorders>
            <w:shd w:val="clear" w:color="auto" w:fill="FFFFFF"/>
          </w:tcPr>
          <w:p w14:paraId="3FA5B1B3" w14:textId="585A374D" w:rsidR="00791C95" w:rsidRPr="006968CB" w:rsidRDefault="00791C95" w:rsidP="009C5227">
            <w:pPr>
              <w:autoSpaceDE w:val="0"/>
              <w:autoSpaceDN w:val="0"/>
              <w:adjustRightInd w:val="0"/>
              <w:spacing w:after="0" w:line="240" w:lineRule="auto"/>
              <w:ind w:left="60" w:right="60"/>
              <w:rPr>
                <w:rFonts w:cs="Times New Roman"/>
                <w:color w:val="000000"/>
                <w:sz w:val="22"/>
              </w:rPr>
            </w:pPr>
            <w:r w:rsidRPr="00355D63">
              <w:rPr>
                <w:rFonts w:cs="Times New Roman"/>
                <w:color w:val="000000"/>
                <w:sz w:val="22"/>
              </w:rPr>
              <w:t>Mediana</w:t>
            </w:r>
          </w:p>
        </w:tc>
        <w:tc>
          <w:tcPr>
            <w:tcW w:w="1134" w:type="dxa"/>
            <w:tcBorders>
              <w:top w:val="nil"/>
              <w:left w:val="nil"/>
              <w:bottom w:val="nil"/>
              <w:right w:val="nil"/>
            </w:tcBorders>
            <w:shd w:val="clear" w:color="auto" w:fill="FFFFFF"/>
          </w:tcPr>
          <w:p w14:paraId="529F0375" w14:textId="170CE200"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355D63">
              <w:rPr>
                <w:rFonts w:cs="Times New Roman"/>
                <w:color w:val="000000"/>
                <w:sz w:val="22"/>
              </w:rPr>
              <w:t>39,626</w:t>
            </w:r>
          </w:p>
        </w:tc>
        <w:tc>
          <w:tcPr>
            <w:tcW w:w="1774" w:type="dxa"/>
            <w:tcBorders>
              <w:top w:val="nil"/>
              <w:left w:val="nil"/>
              <w:bottom w:val="nil"/>
              <w:right w:val="nil"/>
            </w:tcBorders>
            <w:shd w:val="clear" w:color="auto" w:fill="FFFFFF"/>
            <w:vAlign w:val="center"/>
          </w:tcPr>
          <w:p w14:paraId="39547AC4" w14:textId="77777777" w:rsidR="00791C95" w:rsidRPr="006968CB" w:rsidRDefault="00791C95" w:rsidP="009C5227">
            <w:pPr>
              <w:autoSpaceDE w:val="0"/>
              <w:autoSpaceDN w:val="0"/>
              <w:adjustRightInd w:val="0"/>
              <w:spacing w:after="0" w:line="240" w:lineRule="auto"/>
              <w:rPr>
                <w:rFonts w:cs="Times New Roman"/>
                <w:sz w:val="22"/>
              </w:rPr>
            </w:pPr>
          </w:p>
        </w:tc>
      </w:tr>
      <w:tr w:rsidR="00791C95" w:rsidRPr="00277DAF" w14:paraId="34ECA4C7" w14:textId="77777777" w:rsidTr="00C413F3">
        <w:trPr>
          <w:cantSplit/>
          <w:jc w:val="center"/>
        </w:trPr>
        <w:tc>
          <w:tcPr>
            <w:tcW w:w="2268" w:type="dxa"/>
            <w:vMerge/>
            <w:tcBorders>
              <w:top w:val="nil"/>
              <w:left w:val="nil"/>
              <w:bottom w:val="double" w:sz="8" w:space="0" w:color="000000"/>
              <w:right w:val="nil"/>
            </w:tcBorders>
            <w:shd w:val="clear" w:color="auto" w:fill="FFFFFF"/>
          </w:tcPr>
          <w:p w14:paraId="269FA6E4" w14:textId="77777777" w:rsidR="00791C95" w:rsidRPr="006968CB" w:rsidRDefault="00791C95" w:rsidP="009C5227">
            <w:pPr>
              <w:autoSpaceDE w:val="0"/>
              <w:autoSpaceDN w:val="0"/>
              <w:adjustRightInd w:val="0"/>
              <w:spacing w:after="0" w:line="240" w:lineRule="auto"/>
              <w:rPr>
                <w:rFonts w:cs="Times New Roman"/>
                <w:sz w:val="22"/>
              </w:rPr>
            </w:pPr>
          </w:p>
        </w:tc>
        <w:tc>
          <w:tcPr>
            <w:tcW w:w="3402" w:type="dxa"/>
            <w:tcBorders>
              <w:top w:val="nil"/>
              <w:left w:val="nil"/>
              <w:bottom w:val="nil"/>
              <w:right w:val="nil"/>
            </w:tcBorders>
            <w:shd w:val="clear" w:color="auto" w:fill="E7E6E6" w:themeFill="background2"/>
          </w:tcPr>
          <w:p w14:paraId="55D24E2C" w14:textId="0D7619C7" w:rsidR="00791C95" w:rsidRPr="006968CB" w:rsidRDefault="00791C95" w:rsidP="009C5227">
            <w:pPr>
              <w:autoSpaceDE w:val="0"/>
              <w:autoSpaceDN w:val="0"/>
              <w:adjustRightInd w:val="0"/>
              <w:spacing w:after="0" w:line="240" w:lineRule="auto"/>
              <w:ind w:left="60" w:right="60"/>
              <w:rPr>
                <w:rFonts w:cs="Times New Roman"/>
                <w:color w:val="000000"/>
                <w:sz w:val="22"/>
              </w:rPr>
            </w:pPr>
            <w:r w:rsidRPr="00355D63">
              <w:rPr>
                <w:rFonts w:cs="Times New Roman"/>
                <w:color w:val="000000"/>
                <w:sz w:val="22"/>
              </w:rPr>
              <w:t>Variância</w:t>
            </w:r>
          </w:p>
        </w:tc>
        <w:tc>
          <w:tcPr>
            <w:tcW w:w="1134" w:type="dxa"/>
            <w:tcBorders>
              <w:top w:val="nil"/>
              <w:left w:val="nil"/>
              <w:bottom w:val="nil"/>
              <w:right w:val="nil"/>
            </w:tcBorders>
            <w:shd w:val="clear" w:color="auto" w:fill="E7E6E6" w:themeFill="background2"/>
          </w:tcPr>
          <w:p w14:paraId="000DC38F" w14:textId="32C5A686"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355D63">
              <w:rPr>
                <w:rFonts w:cs="Times New Roman"/>
                <w:color w:val="000000"/>
                <w:sz w:val="22"/>
              </w:rPr>
              <w:t>324,201</w:t>
            </w:r>
          </w:p>
        </w:tc>
        <w:tc>
          <w:tcPr>
            <w:tcW w:w="1774" w:type="dxa"/>
            <w:tcBorders>
              <w:top w:val="nil"/>
              <w:left w:val="nil"/>
              <w:bottom w:val="nil"/>
              <w:right w:val="nil"/>
            </w:tcBorders>
            <w:shd w:val="clear" w:color="auto" w:fill="E7E6E6" w:themeFill="background2"/>
            <w:vAlign w:val="center"/>
          </w:tcPr>
          <w:p w14:paraId="2B13E2B3" w14:textId="77777777" w:rsidR="00791C95" w:rsidRPr="006968CB" w:rsidRDefault="00791C95" w:rsidP="009C5227">
            <w:pPr>
              <w:autoSpaceDE w:val="0"/>
              <w:autoSpaceDN w:val="0"/>
              <w:adjustRightInd w:val="0"/>
              <w:spacing w:after="0" w:line="240" w:lineRule="auto"/>
              <w:rPr>
                <w:rFonts w:cs="Times New Roman"/>
                <w:sz w:val="22"/>
              </w:rPr>
            </w:pPr>
          </w:p>
        </w:tc>
      </w:tr>
      <w:tr w:rsidR="00791C95" w:rsidRPr="00277DAF" w14:paraId="501A2B20" w14:textId="77777777" w:rsidTr="00C413F3">
        <w:trPr>
          <w:cantSplit/>
          <w:jc w:val="center"/>
        </w:trPr>
        <w:tc>
          <w:tcPr>
            <w:tcW w:w="2268" w:type="dxa"/>
            <w:vMerge/>
            <w:tcBorders>
              <w:top w:val="nil"/>
              <w:left w:val="nil"/>
              <w:bottom w:val="double" w:sz="8" w:space="0" w:color="000000"/>
              <w:right w:val="nil"/>
            </w:tcBorders>
            <w:shd w:val="clear" w:color="auto" w:fill="FFFFFF"/>
          </w:tcPr>
          <w:p w14:paraId="757A2CCC" w14:textId="77777777" w:rsidR="00791C95" w:rsidRPr="006968CB" w:rsidRDefault="00791C95" w:rsidP="009C5227">
            <w:pPr>
              <w:autoSpaceDE w:val="0"/>
              <w:autoSpaceDN w:val="0"/>
              <w:adjustRightInd w:val="0"/>
              <w:spacing w:after="0" w:line="240" w:lineRule="auto"/>
              <w:rPr>
                <w:rFonts w:cs="Times New Roman"/>
                <w:sz w:val="22"/>
              </w:rPr>
            </w:pPr>
          </w:p>
        </w:tc>
        <w:tc>
          <w:tcPr>
            <w:tcW w:w="3402" w:type="dxa"/>
            <w:tcBorders>
              <w:top w:val="nil"/>
              <w:left w:val="nil"/>
              <w:bottom w:val="nil"/>
              <w:right w:val="nil"/>
            </w:tcBorders>
            <w:shd w:val="clear" w:color="auto" w:fill="FFFFFF"/>
          </w:tcPr>
          <w:p w14:paraId="6B158B63" w14:textId="7A9EBDB4" w:rsidR="00791C95" w:rsidRPr="006968CB" w:rsidRDefault="00791C95" w:rsidP="009C5227">
            <w:pPr>
              <w:autoSpaceDE w:val="0"/>
              <w:autoSpaceDN w:val="0"/>
              <w:adjustRightInd w:val="0"/>
              <w:spacing w:after="0" w:line="240" w:lineRule="auto"/>
              <w:ind w:left="60" w:right="60"/>
              <w:rPr>
                <w:rFonts w:cs="Times New Roman"/>
                <w:color w:val="000000"/>
                <w:sz w:val="22"/>
              </w:rPr>
            </w:pPr>
            <w:r w:rsidRPr="00355D63">
              <w:rPr>
                <w:rFonts w:cs="Times New Roman"/>
                <w:color w:val="000000"/>
                <w:sz w:val="22"/>
              </w:rPr>
              <w:t>Erro Padrão</w:t>
            </w:r>
          </w:p>
        </w:tc>
        <w:tc>
          <w:tcPr>
            <w:tcW w:w="1134" w:type="dxa"/>
            <w:tcBorders>
              <w:top w:val="nil"/>
              <w:left w:val="nil"/>
              <w:bottom w:val="nil"/>
              <w:right w:val="nil"/>
            </w:tcBorders>
            <w:shd w:val="clear" w:color="auto" w:fill="FFFFFF"/>
          </w:tcPr>
          <w:p w14:paraId="349149C7" w14:textId="6118666B"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355D63">
              <w:rPr>
                <w:rFonts w:cs="Times New Roman"/>
                <w:color w:val="000000"/>
                <w:sz w:val="22"/>
              </w:rPr>
              <w:t>18,006</w:t>
            </w:r>
          </w:p>
        </w:tc>
        <w:tc>
          <w:tcPr>
            <w:tcW w:w="1774" w:type="dxa"/>
            <w:tcBorders>
              <w:top w:val="nil"/>
              <w:left w:val="nil"/>
              <w:bottom w:val="nil"/>
              <w:right w:val="nil"/>
            </w:tcBorders>
            <w:shd w:val="clear" w:color="auto" w:fill="FFFFFF"/>
            <w:vAlign w:val="center"/>
          </w:tcPr>
          <w:p w14:paraId="44C83807" w14:textId="77777777" w:rsidR="00791C95" w:rsidRPr="006968CB" w:rsidRDefault="00791C95" w:rsidP="009C5227">
            <w:pPr>
              <w:autoSpaceDE w:val="0"/>
              <w:autoSpaceDN w:val="0"/>
              <w:adjustRightInd w:val="0"/>
              <w:spacing w:after="0" w:line="240" w:lineRule="auto"/>
              <w:rPr>
                <w:rFonts w:cs="Times New Roman"/>
                <w:sz w:val="22"/>
              </w:rPr>
            </w:pPr>
          </w:p>
        </w:tc>
      </w:tr>
      <w:tr w:rsidR="00791C95" w:rsidRPr="00277DAF" w14:paraId="656A82C6" w14:textId="77777777" w:rsidTr="00C413F3">
        <w:trPr>
          <w:cantSplit/>
          <w:jc w:val="center"/>
        </w:trPr>
        <w:tc>
          <w:tcPr>
            <w:tcW w:w="2268" w:type="dxa"/>
            <w:vMerge/>
            <w:tcBorders>
              <w:top w:val="nil"/>
              <w:left w:val="nil"/>
              <w:bottom w:val="double" w:sz="8" w:space="0" w:color="000000"/>
              <w:right w:val="nil"/>
            </w:tcBorders>
            <w:shd w:val="clear" w:color="auto" w:fill="FFFFFF"/>
          </w:tcPr>
          <w:p w14:paraId="16F54883" w14:textId="77777777" w:rsidR="00791C95" w:rsidRPr="006968CB" w:rsidRDefault="00791C95" w:rsidP="009C5227">
            <w:pPr>
              <w:autoSpaceDE w:val="0"/>
              <w:autoSpaceDN w:val="0"/>
              <w:adjustRightInd w:val="0"/>
              <w:spacing w:after="0" w:line="240" w:lineRule="auto"/>
              <w:rPr>
                <w:rFonts w:cs="Times New Roman"/>
                <w:sz w:val="22"/>
              </w:rPr>
            </w:pPr>
          </w:p>
        </w:tc>
        <w:tc>
          <w:tcPr>
            <w:tcW w:w="3402" w:type="dxa"/>
            <w:tcBorders>
              <w:top w:val="nil"/>
              <w:left w:val="nil"/>
              <w:bottom w:val="nil"/>
              <w:right w:val="nil"/>
            </w:tcBorders>
            <w:shd w:val="clear" w:color="auto" w:fill="E7E6E6" w:themeFill="background2"/>
          </w:tcPr>
          <w:p w14:paraId="5AEB93EB" w14:textId="18DBD9F4" w:rsidR="00791C95" w:rsidRPr="006968CB" w:rsidRDefault="00791C95" w:rsidP="009C5227">
            <w:pPr>
              <w:autoSpaceDE w:val="0"/>
              <w:autoSpaceDN w:val="0"/>
              <w:adjustRightInd w:val="0"/>
              <w:spacing w:after="0" w:line="240" w:lineRule="auto"/>
              <w:ind w:left="60" w:right="60"/>
              <w:rPr>
                <w:rFonts w:cs="Times New Roman"/>
                <w:color w:val="000000"/>
                <w:sz w:val="22"/>
              </w:rPr>
            </w:pPr>
            <w:r w:rsidRPr="00355D63">
              <w:rPr>
                <w:rFonts w:cs="Times New Roman"/>
                <w:color w:val="000000"/>
                <w:sz w:val="22"/>
              </w:rPr>
              <w:t>Mínimo</w:t>
            </w:r>
          </w:p>
        </w:tc>
        <w:tc>
          <w:tcPr>
            <w:tcW w:w="1134" w:type="dxa"/>
            <w:tcBorders>
              <w:top w:val="nil"/>
              <w:left w:val="nil"/>
              <w:bottom w:val="nil"/>
              <w:right w:val="nil"/>
            </w:tcBorders>
            <w:shd w:val="clear" w:color="auto" w:fill="E7E6E6" w:themeFill="background2"/>
          </w:tcPr>
          <w:p w14:paraId="1A967F68" w14:textId="09B8B339"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355D63">
              <w:rPr>
                <w:rFonts w:cs="Times New Roman"/>
                <w:color w:val="000000"/>
                <w:sz w:val="22"/>
              </w:rPr>
              <w:t>0,824</w:t>
            </w:r>
          </w:p>
        </w:tc>
        <w:tc>
          <w:tcPr>
            <w:tcW w:w="1774" w:type="dxa"/>
            <w:tcBorders>
              <w:top w:val="nil"/>
              <w:left w:val="nil"/>
              <w:bottom w:val="nil"/>
              <w:right w:val="nil"/>
            </w:tcBorders>
            <w:shd w:val="clear" w:color="auto" w:fill="E7E6E6" w:themeFill="background2"/>
            <w:vAlign w:val="center"/>
          </w:tcPr>
          <w:p w14:paraId="1AA274E0" w14:textId="77777777" w:rsidR="00791C95" w:rsidRPr="006968CB" w:rsidRDefault="00791C95" w:rsidP="009C5227">
            <w:pPr>
              <w:autoSpaceDE w:val="0"/>
              <w:autoSpaceDN w:val="0"/>
              <w:adjustRightInd w:val="0"/>
              <w:spacing w:after="0" w:line="240" w:lineRule="auto"/>
              <w:rPr>
                <w:rFonts w:cs="Times New Roman"/>
                <w:sz w:val="22"/>
              </w:rPr>
            </w:pPr>
          </w:p>
        </w:tc>
      </w:tr>
      <w:tr w:rsidR="00791C95" w:rsidRPr="00277DAF" w14:paraId="5E418C74" w14:textId="77777777" w:rsidTr="00C413F3">
        <w:trPr>
          <w:cantSplit/>
          <w:jc w:val="center"/>
        </w:trPr>
        <w:tc>
          <w:tcPr>
            <w:tcW w:w="2268" w:type="dxa"/>
            <w:vMerge/>
            <w:tcBorders>
              <w:top w:val="nil"/>
              <w:left w:val="nil"/>
              <w:bottom w:val="double" w:sz="8" w:space="0" w:color="000000"/>
              <w:right w:val="nil"/>
            </w:tcBorders>
            <w:shd w:val="clear" w:color="auto" w:fill="FFFFFF"/>
          </w:tcPr>
          <w:p w14:paraId="4227D81F" w14:textId="77777777" w:rsidR="00791C95" w:rsidRPr="006968CB" w:rsidRDefault="00791C95" w:rsidP="009C5227">
            <w:pPr>
              <w:autoSpaceDE w:val="0"/>
              <w:autoSpaceDN w:val="0"/>
              <w:adjustRightInd w:val="0"/>
              <w:spacing w:after="0" w:line="240" w:lineRule="auto"/>
              <w:rPr>
                <w:rFonts w:cs="Times New Roman"/>
                <w:sz w:val="22"/>
              </w:rPr>
            </w:pPr>
          </w:p>
        </w:tc>
        <w:tc>
          <w:tcPr>
            <w:tcW w:w="3402" w:type="dxa"/>
            <w:tcBorders>
              <w:top w:val="nil"/>
              <w:left w:val="nil"/>
              <w:bottom w:val="nil"/>
              <w:right w:val="nil"/>
            </w:tcBorders>
            <w:shd w:val="clear" w:color="auto" w:fill="FFFFFF"/>
          </w:tcPr>
          <w:p w14:paraId="0D9AF036" w14:textId="2389F4FE" w:rsidR="00791C95" w:rsidRPr="006968CB" w:rsidRDefault="00791C95" w:rsidP="009C5227">
            <w:pPr>
              <w:autoSpaceDE w:val="0"/>
              <w:autoSpaceDN w:val="0"/>
              <w:adjustRightInd w:val="0"/>
              <w:spacing w:after="0" w:line="240" w:lineRule="auto"/>
              <w:ind w:left="60" w:right="60"/>
              <w:rPr>
                <w:rFonts w:cs="Times New Roman"/>
                <w:color w:val="000000"/>
                <w:sz w:val="22"/>
              </w:rPr>
            </w:pPr>
            <w:r w:rsidRPr="00355D63">
              <w:rPr>
                <w:rFonts w:cs="Times New Roman"/>
                <w:color w:val="000000"/>
                <w:sz w:val="22"/>
              </w:rPr>
              <w:t>Máximo</w:t>
            </w:r>
          </w:p>
        </w:tc>
        <w:tc>
          <w:tcPr>
            <w:tcW w:w="1134" w:type="dxa"/>
            <w:tcBorders>
              <w:top w:val="nil"/>
              <w:left w:val="nil"/>
              <w:bottom w:val="nil"/>
              <w:right w:val="nil"/>
            </w:tcBorders>
            <w:shd w:val="clear" w:color="auto" w:fill="FFFFFF"/>
          </w:tcPr>
          <w:p w14:paraId="0BFDFE05" w14:textId="5206C22A"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355D63">
              <w:rPr>
                <w:rFonts w:cs="Times New Roman"/>
                <w:color w:val="000000"/>
                <w:sz w:val="22"/>
              </w:rPr>
              <w:t>100,000</w:t>
            </w:r>
          </w:p>
        </w:tc>
        <w:tc>
          <w:tcPr>
            <w:tcW w:w="1774" w:type="dxa"/>
            <w:tcBorders>
              <w:top w:val="nil"/>
              <w:left w:val="nil"/>
              <w:bottom w:val="nil"/>
              <w:right w:val="nil"/>
            </w:tcBorders>
            <w:shd w:val="clear" w:color="auto" w:fill="FFFFFF"/>
            <w:vAlign w:val="center"/>
          </w:tcPr>
          <w:p w14:paraId="2A06B459" w14:textId="77777777" w:rsidR="00791C95" w:rsidRPr="006968CB" w:rsidRDefault="00791C95" w:rsidP="009C5227">
            <w:pPr>
              <w:autoSpaceDE w:val="0"/>
              <w:autoSpaceDN w:val="0"/>
              <w:adjustRightInd w:val="0"/>
              <w:spacing w:after="0" w:line="240" w:lineRule="auto"/>
              <w:rPr>
                <w:rFonts w:cs="Times New Roman"/>
                <w:sz w:val="22"/>
              </w:rPr>
            </w:pPr>
          </w:p>
        </w:tc>
      </w:tr>
      <w:tr w:rsidR="00791C95" w:rsidRPr="00277DAF" w14:paraId="09A58661" w14:textId="77777777" w:rsidTr="00C413F3">
        <w:trPr>
          <w:cantSplit/>
          <w:jc w:val="center"/>
        </w:trPr>
        <w:tc>
          <w:tcPr>
            <w:tcW w:w="2268" w:type="dxa"/>
            <w:vMerge/>
            <w:tcBorders>
              <w:top w:val="nil"/>
              <w:left w:val="nil"/>
              <w:bottom w:val="double" w:sz="8" w:space="0" w:color="000000"/>
              <w:right w:val="nil"/>
            </w:tcBorders>
            <w:shd w:val="clear" w:color="auto" w:fill="FFFFFF"/>
          </w:tcPr>
          <w:p w14:paraId="13B61AFB" w14:textId="77777777" w:rsidR="00791C95" w:rsidRPr="006968CB" w:rsidRDefault="00791C95" w:rsidP="009C5227">
            <w:pPr>
              <w:autoSpaceDE w:val="0"/>
              <w:autoSpaceDN w:val="0"/>
              <w:adjustRightInd w:val="0"/>
              <w:spacing w:after="0" w:line="240" w:lineRule="auto"/>
              <w:rPr>
                <w:rFonts w:cs="Times New Roman"/>
                <w:sz w:val="22"/>
              </w:rPr>
            </w:pPr>
          </w:p>
        </w:tc>
        <w:tc>
          <w:tcPr>
            <w:tcW w:w="3402" w:type="dxa"/>
            <w:tcBorders>
              <w:top w:val="nil"/>
              <w:left w:val="nil"/>
              <w:bottom w:val="nil"/>
              <w:right w:val="nil"/>
            </w:tcBorders>
            <w:shd w:val="clear" w:color="auto" w:fill="E7E6E6" w:themeFill="background2"/>
          </w:tcPr>
          <w:p w14:paraId="4C35C4AF" w14:textId="69BDE2C1" w:rsidR="00791C95" w:rsidRPr="006968CB" w:rsidRDefault="00791C95" w:rsidP="009C5227">
            <w:pPr>
              <w:autoSpaceDE w:val="0"/>
              <w:autoSpaceDN w:val="0"/>
              <w:adjustRightInd w:val="0"/>
              <w:spacing w:after="0" w:line="240" w:lineRule="auto"/>
              <w:ind w:left="60" w:right="60"/>
              <w:rPr>
                <w:rFonts w:cs="Times New Roman"/>
                <w:color w:val="000000"/>
                <w:sz w:val="22"/>
              </w:rPr>
            </w:pPr>
            <w:r w:rsidRPr="00355D63">
              <w:rPr>
                <w:rFonts w:cs="Times New Roman"/>
                <w:color w:val="000000"/>
                <w:sz w:val="22"/>
              </w:rPr>
              <w:t>Amplitude</w:t>
            </w:r>
          </w:p>
        </w:tc>
        <w:tc>
          <w:tcPr>
            <w:tcW w:w="1134" w:type="dxa"/>
            <w:tcBorders>
              <w:top w:val="nil"/>
              <w:left w:val="nil"/>
              <w:bottom w:val="nil"/>
              <w:right w:val="nil"/>
            </w:tcBorders>
            <w:shd w:val="clear" w:color="auto" w:fill="E7E6E6" w:themeFill="background2"/>
          </w:tcPr>
          <w:p w14:paraId="45C73B93" w14:textId="03218792"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355D63">
              <w:rPr>
                <w:rFonts w:cs="Times New Roman"/>
                <w:color w:val="000000"/>
                <w:sz w:val="22"/>
              </w:rPr>
              <w:t>99,176</w:t>
            </w:r>
          </w:p>
        </w:tc>
        <w:tc>
          <w:tcPr>
            <w:tcW w:w="1774" w:type="dxa"/>
            <w:tcBorders>
              <w:top w:val="nil"/>
              <w:left w:val="nil"/>
              <w:bottom w:val="nil"/>
              <w:right w:val="nil"/>
            </w:tcBorders>
            <w:shd w:val="clear" w:color="auto" w:fill="E7E6E6" w:themeFill="background2"/>
            <w:vAlign w:val="center"/>
          </w:tcPr>
          <w:p w14:paraId="0745539E" w14:textId="77777777" w:rsidR="00791C95" w:rsidRPr="006968CB" w:rsidRDefault="00791C95" w:rsidP="009C5227">
            <w:pPr>
              <w:autoSpaceDE w:val="0"/>
              <w:autoSpaceDN w:val="0"/>
              <w:adjustRightInd w:val="0"/>
              <w:spacing w:after="0" w:line="240" w:lineRule="auto"/>
              <w:rPr>
                <w:rFonts w:cs="Times New Roman"/>
                <w:sz w:val="22"/>
              </w:rPr>
            </w:pPr>
          </w:p>
        </w:tc>
      </w:tr>
      <w:tr w:rsidR="00791C95" w:rsidRPr="00277DAF" w14:paraId="6DA60540" w14:textId="77777777" w:rsidTr="00C413F3">
        <w:trPr>
          <w:cantSplit/>
          <w:jc w:val="center"/>
        </w:trPr>
        <w:tc>
          <w:tcPr>
            <w:tcW w:w="2268" w:type="dxa"/>
            <w:vMerge/>
            <w:tcBorders>
              <w:top w:val="nil"/>
              <w:left w:val="nil"/>
              <w:bottom w:val="double" w:sz="8" w:space="0" w:color="000000"/>
              <w:right w:val="nil"/>
            </w:tcBorders>
            <w:shd w:val="clear" w:color="auto" w:fill="FFFFFF"/>
          </w:tcPr>
          <w:p w14:paraId="2E20F0A3" w14:textId="77777777" w:rsidR="00791C95" w:rsidRPr="006968CB" w:rsidRDefault="00791C95" w:rsidP="009C5227">
            <w:pPr>
              <w:autoSpaceDE w:val="0"/>
              <w:autoSpaceDN w:val="0"/>
              <w:adjustRightInd w:val="0"/>
              <w:spacing w:after="0" w:line="240" w:lineRule="auto"/>
              <w:rPr>
                <w:rFonts w:cs="Times New Roman"/>
                <w:sz w:val="22"/>
              </w:rPr>
            </w:pPr>
          </w:p>
        </w:tc>
        <w:tc>
          <w:tcPr>
            <w:tcW w:w="3402" w:type="dxa"/>
            <w:tcBorders>
              <w:top w:val="nil"/>
              <w:left w:val="nil"/>
              <w:bottom w:val="nil"/>
              <w:right w:val="nil"/>
            </w:tcBorders>
            <w:shd w:val="clear" w:color="auto" w:fill="FFFFFF"/>
          </w:tcPr>
          <w:p w14:paraId="40BC55F0" w14:textId="09444A02" w:rsidR="00791C95" w:rsidRPr="006968CB" w:rsidRDefault="00791C95" w:rsidP="009C5227">
            <w:pPr>
              <w:autoSpaceDE w:val="0"/>
              <w:autoSpaceDN w:val="0"/>
              <w:adjustRightInd w:val="0"/>
              <w:spacing w:after="0" w:line="240" w:lineRule="auto"/>
              <w:ind w:left="60" w:right="60"/>
              <w:rPr>
                <w:rFonts w:cs="Times New Roman"/>
                <w:color w:val="000000"/>
                <w:sz w:val="22"/>
              </w:rPr>
            </w:pPr>
            <w:r w:rsidRPr="00355D63">
              <w:rPr>
                <w:rFonts w:cs="Times New Roman"/>
                <w:color w:val="000000"/>
                <w:sz w:val="22"/>
              </w:rPr>
              <w:t>Amplitude interquartil</w:t>
            </w:r>
          </w:p>
        </w:tc>
        <w:tc>
          <w:tcPr>
            <w:tcW w:w="1134" w:type="dxa"/>
            <w:tcBorders>
              <w:top w:val="nil"/>
              <w:left w:val="nil"/>
              <w:bottom w:val="nil"/>
              <w:right w:val="nil"/>
            </w:tcBorders>
            <w:shd w:val="clear" w:color="auto" w:fill="FFFFFF"/>
          </w:tcPr>
          <w:p w14:paraId="14399EEC" w14:textId="44BD0EAC"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355D63">
              <w:rPr>
                <w:rFonts w:cs="Times New Roman"/>
                <w:color w:val="000000"/>
                <w:sz w:val="22"/>
              </w:rPr>
              <w:t>22,258</w:t>
            </w:r>
          </w:p>
        </w:tc>
        <w:tc>
          <w:tcPr>
            <w:tcW w:w="1774" w:type="dxa"/>
            <w:tcBorders>
              <w:top w:val="nil"/>
              <w:left w:val="nil"/>
              <w:bottom w:val="nil"/>
              <w:right w:val="nil"/>
            </w:tcBorders>
            <w:shd w:val="clear" w:color="auto" w:fill="FFFFFF"/>
            <w:vAlign w:val="center"/>
          </w:tcPr>
          <w:p w14:paraId="01928932" w14:textId="77777777" w:rsidR="00791C95" w:rsidRPr="006968CB" w:rsidRDefault="00791C95" w:rsidP="009C5227">
            <w:pPr>
              <w:autoSpaceDE w:val="0"/>
              <w:autoSpaceDN w:val="0"/>
              <w:adjustRightInd w:val="0"/>
              <w:spacing w:after="0" w:line="240" w:lineRule="auto"/>
              <w:rPr>
                <w:rFonts w:cs="Times New Roman"/>
                <w:sz w:val="22"/>
              </w:rPr>
            </w:pPr>
          </w:p>
        </w:tc>
      </w:tr>
      <w:tr w:rsidR="00791C95" w:rsidRPr="00277DAF" w14:paraId="2DB34105" w14:textId="77777777" w:rsidTr="00C413F3">
        <w:trPr>
          <w:cantSplit/>
          <w:jc w:val="center"/>
        </w:trPr>
        <w:tc>
          <w:tcPr>
            <w:tcW w:w="2268" w:type="dxa"/>
            <w:vMerge/>
            <w:tcBorders>
              <w:top w:val="nil"/>
              <w:left w:val="nil"/>
              <w:bottom w:val="double" w:sz="8" w:space="0" w:color="000000"/>
              <w:right w:val="nil"/>
            </w:tcBorders>
            <w:shd w:val="clear" w:color="auto" w:fill="FFFFFF"/>
          </w:tcPr>
          <w:p w14:paraId="15244A09" w14:textId="77777777" w:rsidR="00791C95" w:rsidRPr="006968CB" w:rsidRDefault="00791C95" w:rsidP="009C5227">
            <w:pPr>
              <w:autoSpaceDE w:val="0"/>
              <w:autoSpaceDN w:val="0"/>
              <w:adjustRightInd w:val="0"/>
              <w:spacing w:after="0" w:line="240" w:lineRule="auto"/>
              <w:rPr>
                <w:rFonts w:cs="Times New Roman"/>
                <w:sz w:val="22"/>
              </w:rPr>
            </w:pPr>
          </w:p>
        </w:tc>
        <w:tc>
          <w:tcPr>
            <w:tcW w:w="3402" w:type="dxa"/>
            <w:tcBorders>
              <w:top w:val="nil"/>
              <w:left w:val="nil"/>
              <w:bottom w:val="nil"/>
              <w:right w:val="nil"/>
            </w:tcBorders>
            <w:shd w:val="clear" w:color="auto" w:fill="E7E6E6" w:themeFill="background2"/>
          </w:tcPr>
          <w:p w14:paraId="2C38FBEF" w14:textId="342862FC" w:rsidR="00791C95" w:rsidRPr="006968CB" w:rsidRDefault="00791C95" w:rsidP="009C5227">
            <w:pPr>
              <w:autoSpaceDE w:val="0"/>
              <w:autoSpaceDN w:val="0"/>
              <w:adjustRightInd w:val="0"/>
              <w:spacing w:after="0" w:line="240" w:lineRule="auto"/>
              <w:ind w:left="60" w:right="60"/>
              <w:rPr>
                <w:rFonts w:cs="Times New Roman"/>
                <w:color w:val="000000"/>
                <w:sz w:val="22"/>
              </w:rPr>
            </w:pPr>
            <w:r w:rsidRPr="00355D63">
              <w:rPr>
                <w:rFonts w:cs="Times New Roman"/>
                <w:color w:val="000000"/>
                <w:sz w:val="22"/>
              </w:rPr>
              <w:t>Assimetria</w:t>
            </w:r>
          </w:p>
        </w:tc>
        <w:tc>
          <w:tcPr>
            <w:tcW w:w="1134" w:type="dxa"/>
            <w:tcBorders>
              <w:top w:val="nil"/>
              <w:left w:val="nil"/>
              <w:bottom w:val="nil"/>
              <w:right w:val="nil"/>
            </w:tcBorders>
            <w:shd w:val="clear" w:color="auto" w:fill="E7E6E6" w:themeFill="background2"/>
          </w:tcPr>
          <w:p w14:paraId="2125D04D" w14:textId="620C8070"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355D63">
              <w:rPr>
                <w:rFonts w:cs="Times New Roman"/>
                <w:color w:val="000000"/>
                <w:sz w:val="22"/>
              </w:rPr>
              <w:t>0,762</w:t>
            </w:r>
          </w:p>
        </w:tc>
        <w:tc>
          <w:tcPr>
            <w:tcW w:w="1774" w:type="dxa"/>
            <w:tcBorders>
              <w:top w:val="nil"/>
              <w:left w:val="nil"/>
              <w:bottom w:val="nil"/>
              <w:right w:val="nil"/>
            </w:tcBorders>
            <w:shd w:val="clear" w:color="auto" w:fill="E7E6E6" w:themeFill="background2"/>
          </w:tcPr>
          <w:p w14:paraId="42B4D098" w14:textId="77777777"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0,078</w:t>
            </w:r>
          </w:p>
        </w:tc>
      </w:tr>
      <w:tr w:rsidR="00791C95" w:rsidRPr="00277DAF" w14:paraId="288F0EF7" w14:textId="77777777" w:rsidTr="00C413F3">
        <w:trPr>
          <w:cantSplit/>
          <w:jc w:val="center"/>
        </w:trPr>
        <w:tc>
          <w:tcPr>
            <w:tcW w:w="2268" w:type="dxa"/>
            <w:vMerge/>
            <w:tcBorders>
              <w:top w:val="nil"/>
              <w:left w:val="nil"/>
              <w:bottom w:val="double" w:sz="6" w:space="0" w:color="000000"/>
              <w:right w:val="nil"/>
            </w:tcBorders>
            <w:shd w:val="clear" w:color="auto" w:fill="FFFFFF"/>
          </w:tcPr>
          <w:p w14:paraId="50D22293" w14:textId="77777777" w:rsidR="00791C95" w:rsidRPr="006968CB" w:rsidRDefault="00791C95" w:rsidP="009C5227">
            <w:pPr>
              <w:autoSpaceDE w:val="0"/>
              <w:autoSpaceDN w:val="0"/>
              <w:adjustRightInd w:val="0"/>
              <w:spacing w:after="0" w:line="240" w:lineRule="auto"/>
              <w:rPr>
                <w:rFonts w:cs="Times New Roman"/>
                <w:color w:val="000000"/>
                <w:sz w:val="22"/>
              </w:rPr>
            </w:pPr>
          </w:p>
        </w:tc>
        <w:tc>
          <w:tcPr>
            <w:tcW w:w="3402" w:type="dxa"/>
            <w:tcBorders>
              <w:top w:val="nil"/>
              <w:left w:val="nil"/>
              <w:bottom w:val="double" w:sz="6" w:space="0" w:color="000000"/>
              <w:right w:val="nil"/>
            </w:tcBorders>
            <w:shd w:val="clear" w:color="auto" w:fill="FFFFFF"/>
          </w:tcPr>
          <w:p w14:paraId="28853F5D" w14:textId="122FFBFC" w:rsidR="00791C95" w:rsidRPr="006968CB" w:rsidRDefault="00791C95" w:rsidP="009C5227">
            <w:pPr>
              <w:autoSpaceDE w:val="0"/>
              <w:autoSpaceDN w:val="0"/>
              <w:adjustRightInd w:val="0"/>
              <w:spacing w:after="0" w:line="240" w:lineRule="auto"/>
              <w:ind w:left="60" w:right="60"/>
              <w:rPr>
                <w:rFonts w:cs="Times New Roman"/>
                <w:color w:val="000000"/>
                <w:sz w:val="22"/>
              </w:rPr>
            </w:pPr>
            <w:proofErr w:type="spellStart"/>
            <w:r w:rsidRPr="00355D63">
              <w:rPr>
                <w:rFonts w:cs="Times New Roman"/>
                <w:color w:val="000000"/>
                <w:sz w:val="22"/>
              </w:rPr>
              <w:t>Curtose</w:t>
            </w:r>
            <w:proofErr w:type="spellEnd"/>
          </w:p>
        </w:tc>
        <w:tc>
          <w:tcPr>
            <w:tcW w:w="1134" w:type="dxa"/>
            <w:tcBorders>
              <w:top w:val="nil"/>
              <w:left w:val="nil"/>
              <w:bottom w:val="double" w:sz="6" w:space="0" w:color="000000"/>
              <w:right w:val="nil"/>
            </w:tcBorders>
            <w:shd w:val="clear" w:color="auto" w:fill="FFFFFF"/>
          </w:tcPr>
          <w:p w14:paraId="1ADCA416" w14:textId="73726110"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355D63">
              <w:rPr>
                <w:rFonts w:cs="Times New Roman"/>
                <w:color w:val="000000"/>
                <w:sz w:val="22"/>
              </w:rPr>
              <w:t>0,327</w:t>
            </w:r>
          </w:p>
        </w:tc>
        <w:tc>
          <w:tcPr>
            <w:tcW w:w="1774" w:type="dxa"/>
            <w:tcBorders>
              <w:top w:val="nil"/>
              <w:left w:val="nil"/>
              <w:bottom w:val="double" w:sz="6" w:space="0" w:color="000000"/>
              <w:right w:val="nil"/>
            </w:tcBorders>
            <w:shd w:val="clear" w:color="auto" w:fill="FFFFFF"/>
          </w:tcPr>
          <w:p w14:paraId="1D8F968B" w14:textId="77777777" w:rsidR="00791C95" w:rsidRPr="006968CB" w:rsidRDefault="00791C95" w:rsidP="009C5227">
            <w:pPr>
              <w:autoSpaceDE w:val="0"/>
              <w:autoSpaceDN w:val="0"/>
              <w:adjustRightInd w:val="0"/>
              <w:spacing w:after="0" w:line="240" w:lineRule="auto"/>
              <w:ind w:left="60" w:right="60"/>
              <w:jc w:val="right"/>
              <w:rPr>
                <w:rFonts w:cs="Times New Roman"/>
                <w:color w:val="000000"/>
                <w:sz w:val="22"/>
              </w:rPr>
            </w:pPr>
            <w:r w:rsidRPr="006968CB">
              <w:rPr>
                <w:rFonts w:cs="Times New Roman"/>
                <w:color w:val="000000"/>
                <w:sz w:val="22"/>
              </w:rPr>
              <w:t>0,155</w:t>
            </w:r>
          </w:p>
        </w:tc>
      </w:tr>
    </w:tbl>
    <w:p w14:paraId="5FD67598" w14:textId="275101DF" w:rsidR="00223E1E" w:rsidRDefault="0014612F" w:rsidP="0014612F">
      <w:pPr>
        <w:spacing w:before="240" w:line="360" w:lineRule="auto"/>
        <w:jc w:val="both"/>
        <w:rPr>
          <w:rFonts w:cs="Times New Roman"/>
        </w:rPr>
      </w:pPr>
      <w:r>
        <w:rPr>
          <w:rFonts w:cs="Times New Roman"/>
        </w:rPr>
        <w:t>Como se pode observar</w:t>
      </w:r>
      <w:r w:rsidR="00C40455">
        <w:rPr>
          <w:rFonts w:cs="Times New Roman"/>
        </w:rPr>
        <w:t xml:space="preserve"> </w:t>
      </w:r>
      <w:r w:rsidR="002A0FE9">
        <w:rPr>
          <w:rFonts w:cs="Times New Roman"/>
        </w:rPr>
        <w:t>o</w:t>
      </w:r>
      <w:r w:rsidR="00326359">
        <w:rPr>
          <w:rFonts w:cs="Times New Roman"/>
        </w:rPr>
        <w:t xml:space="preserve"> grupo de municípios com </w:t>
      </w:r>
      <w:r w:rsidR="00A5625E">
        <w:rPr>
          <w:rFonts w:cs="Times New Roman"/>
        </w:rPr>
        <w:t>forte</w:t>
      </w:r>
      <w:r w:rsidR="00326359">
        <w:rPr>
          <w:rFonts w:cs="Times New Roman"/>
        </w:rPr>
        <w:t xml:space="preserve"> competição política </w:t>
      </w:r>
      <w:r w:rsidR="002A0FE9">
        <w:rPr>
          <w:rFonts w:cs="Times New Roman"/>
        </w:rPr>
        <w:t>é menos representativo (</w:t>
      </w:r>
      <w:r w:rsidR="00326359">
        <w:rPr>
          <w:rFonts w:cs="Times New Roman"/>
        </w:rPr>
        <w:t>320</w:t>
      </w:r>
      <w:r w:rsidR="00D9490A">
        <w:rPr>
          <w:rFonts w:cs="Times New Roman"/>
        </w:rPr>
        <w:t xml:space="preserve"> observações</w:t>
      </w:r>
      <w:r w:rsidR="002A0FE9">
        <w:rPr>
          <w:rFonts w:cs="Times New Roman"/>
        </w:rPr>
        <w:t>)</w:t>
      </w:r>
      <w:r w:rsidR="00790FB2">
        <w:rPr>
          <w:rFonts w:cs="Times New Roman"/>
        </w:rPr>
        <w:t xml:space="preserve"> que o grupo de</w:t>
      </w:r>
      <w:r w:rsidR="00326359">
        <w:rPr>
          <w:rFonts w:cs="Times New Roman"/>
        </w:rPr>
        <w:t xml:space="preserve"> municípios </w:t>
      </w:r>
      <w:r w:rsidR="00C40455" w:rsidRPr="00355D63">
        <w:rPr>
          <w:rFonts w:cs="Times New Roman"/>
          <w:color w:val="000000"/>
          <w:sz w:val="22"/>
        </w:rPr>
        <w:t>com f</w:t>
      </w:r>
      <w:r w:rsidR="00A5625E">
        <w:rPr>
          <w:rFonts w:cs="Times New Roman"/>
          <w:color w:val="000000"/>
          <w:sz w:val="22"/>
        </w:rPr>
        <w:t xml:space="preserve">raca </w:t>
      </w:r>
      <w:r w:rsidR="00C40455" w:rsidRPr="00355D63">
        <w:rPr>
          <w:rFonts w:cs="Times New Roman"/>
          <w:color w:val="000000"/>
          <w:sz w:val="22"/>
        </w:rPr>
        <w:t>competição política</w:t>
      </w:r>
      <w:r w:rsidR="00326359">
        <w:rPr>
          <w:rFonts w:cs="Times New Roman"/>
        </w:rPr>
        <w:t xml:space="preserve"> </w:t>
      </w:r>
      <w:r w:rsidR="00790FB2">
        <w:rPr>
          <w:rFonts w:cs="Times New Roman"/>
        </w:rPr>
        <w:t>(</w:t>
      </w:r>
      <w:r w:rsidR="00326359">
        <w:rPr>
          <w:rFonts w:cs="Times New Roman"/>
        </w:rPr>
        <w:t>1220</w:t>
      </w:r>
      <w:r w:rsidR="00D9490A">
        <w:rPr>
          <w:rFonts w:cs="Times New Roman"/>
        </w:rPr>
        <w:t xml:space="preserve"> observações</w:t>
      </w:r>
      <w:r w:rsidR="00790FB2">
        <w:rPr>
          <w:rFonts w:cs="Times New Roman"/>
        </w:rPr>
        <w:t>)</w:t>
      </w:r>
      <w:r w:rsidR="00326359">
        <w:rPr>
          <w:rFonts w:cs="Times New Roman"/>
        </w:rPr>
        <w:t xml:space="preserve"> </w:t>
      </w:r>
      <w:r w:rsidR="00790FB2">
        <w:rPr>
          <w:rFonts w:cs="Times New Roman"/>
        </w:rPr>
        <w:t>ainda assim,</w:t>
      </w:r>
      <w:r w:rsidR="00326359">
        <w:rPr>
          <w:rFonts w:cs="Times New Roman"/>
        </w:rPr>
        <w:t xml:space="preserve"> </w:t>
      </w:r>
      <w:r>
        <w:rPr>
          <w:rFonts w:cs="Times New Roman"/>
        </w:rPr>
        <w:t xml:space="preserve">os </w:t>
      </w:r>
      <w:r w:rsidR="00A9035A">
        <w:rPr>
          <w:rFonts w:cs="Times New Roman"/>
        </w:rPr>
        <w:t xml:space="preserve">seus </w:t>
      </w:r>
      <w:r>
        <w:rPr>
          <w:rFonts w:cs="Times New Roman"/>
        </w:rPr>
        <w:t>valores médios do ITM, não são muito diferentes</w:t>
      </w:r>
      <w:r w:rsidR="00A9035A">
        <w:rPr>
          <w:rFonts w:cs="Times New Roman"/>
        </w:rPr>
        <w:t>, apresentando</w:t>
      </w:r>
      <w:r>
        <w:rPr>
          <w:rFonts w:cs="Times New Roman"/>
        </w:rPr>
        <w:t xml:space="preserve"> </w:t>
      </w:r>
      <w:r w:rsidR="00CA7792">
        <w:rPr>
          <w:rFonts w:cs="Times New Roman"/>
        </w:rPr>
        <w:t>uma média de ITM</w:t>
      </w:r>
      <w:r w:rsidR="0078397C">
        <w:rPr>
          <w:rFonts w:cs="Times New Roman"/>
        </w:rPr>
        <w:t xml:space="preserve"> </w:t>
      </w:r>
      <w:r w:rsidR="0078397C" w:rsidRPr="002C3799">
        <w:rPr>
          <w:rFonts w:cs="Times New Roman"/>
        </w:rPr>
        <w:t>(42,159)</w:t>
      </w:r>
      <w:r w:rsidR="0078397C">
        <w:rPr>
          <w:rFonts w:cs="Times New Roman"/>
        </w:rPr>
        <w:t xml:space="preserve"> </w:t>
      </w:r>
      <w:r>
        <w:rPr>
          <w:rFonts w:cs="Times New Roman"/>
        </w:rPr>
        <w:t xml:space="preserve">para os municípios </w:t>
      </w:r>
      <w:r w:rsidR="000D521D" w:rsidRPr="000D521D">
        <w:rPr>
          <w:rFonts w:cs="Times New Roman"/>
        </w:rPr>
        <w:t xml:space="preserve">com </w:t>
      </w:r>
      <w:r w:rsidR="00A5625E">
        <w:rPr>
          <w:rFonts w:cs="Times New Roman"/>
        </w:rPr>
        <w:t>forte</w:t>
      </w:r>
      <w:r w:rsidR="000D521D" w:rsidRPr="000D521D">
        <w:rPr>
          <w:rFonts w:cs="Times New Roman"/>
        </w:rPr>
        <w:t xml:space="preserve"> competição política</w:t>
      </w:r>
      <w:r w:rsidR="000D521D">
        <w:rPr>
          <w:rFonts w:cs="Times New Roman"/>
          <w:color w:val="000000"/>
          <w:sz w:val="22"/>
        </w:rPr>
        <w:t xml:space="preserve"> </w:t>
      </w:r>
      <w:r w:rsidR="00CA7792">
        <w:rPr>
          <w:rFonts w:cs="Times New Roman"/>
        </w:rPr>
        <w:t xml:space="preserve">e </w:t>
      </w:r>
      <w:r w:rsidR="0078397C" w:rsidRPr="002C3799">
        <w:rPr>
          <w:rFonts w:cs="Times New Roman"/>
        </w:rPr>
        <w:t>(43,063)</w:t>
      </w:r>
      <w:r w:rsidR="0078397C">
        <w:rPr>
          <w:rFonts w:cs="Times New Roman"/>
        </w:rPr>
        <w:t xml:space="preserve"> </w:t>
      </w:r>
      <w:r w:rsidR="00CA7792">
        <w:rPr>
          <w:rFonts w:cs="Times New Roman"/>
        </w:rPr>
        <w:t xml:space="preserve">para </w:t>
      </w:r>
      <w:r>
        <w:rPr>
          <w:rFonts w:cs="Times New Roman"/>
        </w:rPr>
        <w:t xml:space="preserve">municípios </w:t>
      </w:r>
      <w:r w:rsidR="00153B86">
        <w:rPr>
          <w:rFonts w:cs="Times New Roman"/>
        </w:rPr>
        <w:t>com</w:t>
      </w:r>
      <w:r w:rsidR="006E6A5C" w:rsidRPr="000D521D">
        <w:rPr>
          <w:rFonts w:cs="Times New Roman"/>
        </w:rPr>
        <w:t xml:space="preserve"> </w:t>
      </w:r>
      <w:r w:rsidR="00A5625E">
        <w:rPr>
          <w:rFonts w:cs="Times New Roman"/>
        </w:rPr>
        <w:t>fraca</w:t>
      </w:r>
      <w:r w:rsidR="00682C33">
        <w:rPr>
          <w:rFonts w:cs="Times New Roman"/>
        </w:rPr>
        <w:t xml:space="preserve"> </w:t>
      </w:r>
      <w:r w:rsidR="006E6A5C" w:rsidRPr="000D521D">
        <w:rPr>
          <w:rFonts w:cs="Times New Roman"/>
        </w:rPr>
        <w:t>competição política</w:t>
      </w:r>
      <w:r w:rsidR="005A128D">
        <w:rPr>
          <w:rFonts w:cs="Times New Roman"/>
        </w:rPr>
        <w:t>.</w:t>
      </w:r>
      <w:r w:rsidR="0095450D">
        <w:rPr>
          <w:rFonts w:cs="Times New Roman"/>
        </w:rPr>
        <w:t xml:space="preserve"> </w:t>
      </w:r>
    </w:p>
    <w:p w14:paraId="133DE39D" w14:textId="31168BA8" w:rsidR="0014612F" w:rsidRDefault="00682C33" w:rsidP="0014612F">
      <w:pPr>
        <w:spacing w:before="240" w:line="360" w:lineRule="auto"/>
        <w:jc w:val="both"/>
        <w:rPr>
          <w:rFonts w:eastAsiaTheme="minorEastAsia" w:cs="Times New Roman"/>
          <w:szCs w:val="24"/>
        </w:rPr>
      </w:pPr>
      <w:r w:rsidRPr="002C3799">
        <w:rPr>
          <w:rFonts w:cs="Times New Roman"/>
        </w:rPr>
        <w:t>Mais</w:t>
      </w:r>
      <w:r>
        <w:rPr>
          <w:rFonts w:cs="Times New Roman"/>
          <w:color w:val="000000"/>
          <w:sz w:val="22"/>
        </w:rPr>
        <w:t xml:space="preserve"> </w:t>
      </w:r>
      <w:r w:rsidRPr="002C3799">
        <w:rPr>
          <w:rFonts w:cs="Times New Roman"/>
        </w:rPr>
        <w:t>uma vez, c</w:t>
      </w:r>
      <w:r w:rsidR="0014612F" w:rsidRPr="002C3799">
        <w:rPr>
          <w:rFonts w:cs="Times New Roman"/>
        </w:rPr>
        <w:t xml:space="preserve">omo ambas as distribuições apresentam </w:t>
      </w:r>
      <w:r w:rsidR="0014612F" w:rsidRPr="003425E2">
        <w:rPr>
          <w:rFonts w:cs="Times New Roman"/>
        </w:rPr>
        <w:t>assimetria</w:t>
      </w:r>
      <w:r w:rsidR="0014612F" w:rsidRPr="003425E2">
        <w:rPr>
          <w:rFonts w:cs="Times New Roman"/>
          <w:sz w:val="22"/>
        </w:rPr>
        <w:t xml:space="preserve">  </w:t>
      </w:r>
      <m:oMath>
        <m:f>
          <m:fPr>
            <m:ctrlPr>
              <w:rPr>
                <w:rFonts w:ascii="Cambria Math" w:hAnsi="Cambria Math" w:cs="Times New Roman"/>
                <w:i/>
                <w:szCs w:val="24"/>
              </w:rPr>
            </m:ctrlPr>
          </m:fPr>
          <m:num>
            <m:r>
              <m:rPr>
                <m:sty m:val="p"/>
              </m:rPr>
              <w:rPr>
                <w:rFonts w:ascii="Cambria Math" w:hAnsi="Cambria Math" w:cs="Times New Roman"/>
                <w:sz w:val="22"/>
              </w:rPr>
              <m:t>0,613</m:t>
            </m:r>
          </m:num>
          <m:den>
            <m:r>
              <m:rPr>
                <m:sty m:val="p"/>
              </m:rPr>
              <w:rPr>
                <w:rFonts w:ascii="Cambria Math" w:hAnsi="Cambria Math" w:cs="Times New Roman"/>
                <w:sz w:val="22"/>
              </w:rPr>
              <m:t>0,104</m:t>
            </m:r>
          </m:den>
        </m:f>
        <m:r>
          <w:rPr>
            <w:rFonts w:ascii="Cambria Math" w:hAnsi="Cambria Math" w:cs="Times New Roman"/>
            <w:szCs w:val="24"/>
          </w:rPr>
          <m:t>=5,894&gt;1,96</m:t>
        </m:r>
      </m:oMath>
      <w:r w:rsidR="0014612F" w:rsidRPr="003425E2">
        <w:rPr>
          <w:rFonts w:eastAsiaTheme="minorEastAsia" w:cs="Times New Roman"/>
          <w:szCs w:val="24"/>
        </w:rPr>
        <w:t xml:space="preserve"> e </w:t>
      </w:r>
      <m:oMath>
        <m:f>
          <m:fPr>
            <m:ctrlPr>
              <w:rPr>
                <w:rFonts w:ascii="Cambria Math" w:hAnsi="Cambria Math" w:cs="Times New Roman"/>
                <w:i/>
                <w:szCs w:val="24"/>
              </w:rPr>
            </m:ctrlPr>
          </m:fPr>
          <m:num>
            <m:r>
              <m:rPr>
                <m:sty m:val="p"/>
              </m:rPr>
              <w:rPr>
                <w:rFonts w:ascii="Cambria Math" w:hAnsi="Cambria Math" w:cs="Times New Roman"/>
                <w:sz w:val="22"/>
              </w:rPr>
              <m:t>0,762</m:t>
            </m:r>
          </m:num>
          <m:den>
            <m:r>
              <m:rPr>
                <m:sty m:val="p"/>
              </m:rPr>
              <w:rPr>
                <w:rFonts w:ascii="Cambria Math" w:hAnsi="Cambria Math" w:cs="Times New Roman"/>
                <w:sz w:val="22"/>
              </w:rPr>
              <m:t>0,078</m:t>
            </m:r>
          </m:den>
        </m:f>
        <m:r>
          <w:rPr>
            <w:rFonts w:ascii="Cambria Math" w:hAnsi="Cambria Math" w:cs="Times New Roman"/>
            <w:szCs w:val="24"/>
          </w:rPr>
          <m:t>=9,769&gt;1,96,</m:t>
        </m:r>
      </m:oMath>
      <w:r w:rsidR="0014612F" w:rsidRPr="003425E2">
        <w:rPr>
          <w:rFonts w:eastAsiaTheme="minorEastAsia" w:cs="Times New Roman"/>
          <w:szCs w:val="24"/>
        </w:rPr>
        <w:t xml:space="preserve"> </w:t>
      </w:r>
      <w:r w:rsidRPr="003425E2">
        <w:rPr>
          <w:rFonts w:eastAsiaTheme="minorEastAsia" w:cs="Times New Roman"/>
          <w:szCs w:val="24"/>
        </w:rPr>
        <w:t xml:space="preserve">justificam-se </w:t>
      </w:r>
      <w:r w:rsidR="005B3C6D" w:rsidRPr="003425E2">
        <w:rPr>
          <w:rFonts w:eastAsiaTheme="minorEastAsia" w:cs="Times New Roman"/>
          <w:szCs w:val="24"/>
        </w:rPr>
        <w:t>as</w:t>
      </w:r>
      <w:r w:rsidR="0014612F" w:rsidRPr="003425E2">
        <w:rPr>
          <w:rFonts w:eastAsiaTheme="minorEastAsia" w:cs="Times New Roman"/>
          <w:szCs w:val="24"/>
        </w:rPr>
        <w:t xml:space="preserve"> opções metodológicas de análise descritas nos pontos 4.3.2 e 4.3.3, depois da </w:t>
      </w:r>
      <w:r w:rsidR="005B3C6D" w:rsidRPr="003425E2">
        <w:rPr>
          <w:rFonts w:eastAsiaTheme="minorEastAsia" w:cs="Times New Roman"/>
          <w:szCs w:val="24"/>
        </w:rPr>
        <w:t xml:space="preserve">respetiva </w:t>
      </w:r>
      <w:r w:rsidR="0014612F" w:rsidRPr="003425E2">
        <w:rPr>
          <w:rFonts w:eastAsiaTheme="minorEastAsia" w:cs="Times New Roman"/>
          <w:szCs w:val="24"/>
        </w:rPr>
        <w:t>análise da normalidade</w:t>
      </w:r>
      <w:r w:rsidR="007F35DF">
        <w:rPr>
          <w:rFonts w:eastAsiaTheme="minorEastAsia" w:cs="Times New Roman"/>
          <w:szCs w:val="24"/>
        </w:rPr>
        <w:t>,</w:t>
      </w:r>
      <w:r w:rsidR="0014612F" w:rsidRPr="003425E2">
        <w:rPr>
          <w:rFonts w:eastAsiaTheme="minorEastAsia" w:cs="Times New Roman"/>
          <w:szCs w:val="24"/>
        </w:rPr>
        <w:t xml:space="preserve"> </w:t>
      </w:r>
      <w:r w:rsidR="0014612F" w:rsidRPr="007F35DF">
        <w:rPr>
          <w:rFonts w:eastAsiaTheme="minorEastAsia" w:cs="Times New Roman"/>
          <w:szCs w:val="24"/>
        </w:rPr>
        <w:t>(</w:t>
      </w:r>
      <w:r w:rsidR="00F338BB">
        <w:rPr>
          <w:rFonts w:eastAsiaTheme="minorEastAsia" w:cs="Times New Roman"/>
          <w:szCs w:val="24"/>
        </w:rPr>
        <w:t>A</w:t>
      </w:r>
      <w:r w:rsidR="007F35DF" w:rsidRPr="007F35DF">
        <w:rPr>
          <w:rFonts w:eastAsiaTheme="minorEastAsia" w:cs="Times New Roman"/>
          <w:szCs w:val="24"/>
        </w:rPr>
        <w:t>pêndice</w:t>
      </w:r>
      <w:r w:rsidR="0014612F" w:rsidRPr="007F35DF">
        <w:rPr>
          <w:rFonts w:eastAsiaTheme="minorEastAsia" w:cs="Times New Roman"/>
          <w:szCs w:val="24"/>
        </w:rPr>
        <w:t xml:space="preserve"> </w:t>
      </w:r>
      <w:r w:rsidR="00046806">
        <w:rPr>
          <w:rFonts w:eastAsiaTheme="minorEastAsia" w:cs="Times New Roman"/>
          <w:szCs w:val="24"/>
        </w:rPr>
        <w:t>3</w:t>
      </w:r>
      <w:r w:rsidR="0014612F" w:rsidRPr="007F35DF">
        <w:rPr>
          <w:rFonts w:eastAsiaTheme="minorEastAsia" w:cs="Times New Roman"/>
          <w:szCs w:val="24"/>
        </w:rPr>
        <w:t>).</w:t>
      </w:r>
    </w:p>
    <w:p w14:paraId="0402FE5A" w14:textId="3A9BA56E" w:rsidR="00316985" w:rsidRDefault="00200777" w:rsidP="00FF3C2C">
      <w:pPr>
        <w:spacing w:line="360" w:lineRule="auto"/>
        <w:jc w:val="both"/>
        <w:rPr>
          <w:rFonts w:cs="Times New Roman"/>
          <w:lang w:eastAsia="pt-PT"/>
        </w:rPr>
      </w:pPr>
      <w:r>
        <w:rPr>
          <w:rFonts w:cs="Times New Roman"/>
        </w:rPr>
        <w:t>O</w:t>
      </w:r>
      <w:r w:rsidR="00FF3C2C" w:rsidRPr="00344704">
        <w:rPr>
          <w:rFonts w:cs="Times New Roman"/>
          <w:lang w:eastAsia="pt-PT"/>
        </w:rPr>
        <w:t xml:space="preserve"> Gráfico </w:t>
      </w:r>
      <w:r w:rsidR="00FF3C2C" w:rsidRPr="000D1BBD">
        <w:rPr>
          <w:rFonts w:cs="Times New Roman"/>
          <w:lang w:eastAsia="pt-PT"/>
        </w:rPr>
        <w:t>4.</w:t>
      </w:r>
      <w:r w:rsidR="00BC4FF5">
        <w:rPr>
          <w:rFonts w:cs="Times New Roman"/>
          <w:lang w:eastAsia="pt-PT"/>
        </w:rPr>
        <w:t>1</w:t>
      </w:r>
      <w:r w:rsidR="00FF3C2C">
        <w:rPr>
          <w:rFonts w:cs="Times New Roman"/>
          <w:i/>
          <w:lang w:eastAsia="pt-PT"/>
        </w:rPr>
        <w:t xml:space="preserve"> </w:t>
      </w:r>
      <w:r>
        <w:rPr>
          <w:rFonts w:cs="Times New Roman"/>
          <w:iCs/>
          <w:lang w:eastAsia="pt-PT"/>
        </w:rPr>
        <w:t xml:space="preserve">permite </w:t>
      </w:r>
      <w:r w:rsidR="00E02CB0">
        <w:rPr>
          <w:rFonts w:cs="Times New Roman"/>
          <w:iCs/>
          <w:lang w:eastAsia="pt-PT"/>
        </w:rPr>
        <w:t xml:space="preserve">observar o comportamento dos </w:t>
      </w:r>
      <w:r w:rsidR="00FF3C2C">
        <w:rPr>
          <w:rFonts w:cs="Times New Roman"/>
          <w:lang w:eastAsia="pt-PT"/>
        </w:rPr>
        <w:t xml:space="preserve">valores médios do ITM </w:t>
      </w:r>
      <w:r w:rsidR="00E02CB0">
        <w:rPr>
          <w:rFonts w:cs="Times New Roman"/>
          <w:lang w:eastAsia="pt-PT"/>
        </w:rPr>
        <w:t>por</w:t>
      </w:r>
      <w:r w:rsidR="00FF3C2C">
        <w:rPr>
          <w:rFonts w:cs="Times New Roman"/>
          <w:lang w:eastAsia="pt-PT"/>
        </w:rPr>
        <w:t xml:space="preserve"> nível </w:t>
      </w:r>
      <w:r w:rsidR="00FF3C2C">
        <w:rPr>
          <w:rFonts w:cs="Times New Roman"/>
        </w:rPr>
        <w:t xml:space="preserve">de </w:t>
      </w:r>
      <w:r w:rsidR="00FF3C2C" w:rsidRPr="00344704">
        <w:rPr>
          <w:rFonts w:cs="Times New Roman"/>
        </w:rPr>
        <w:t>competição política</w:t>
      </w:r>
      <w:r w:rsidR="00FF3C2C">
        <w:rPr>
          <w:rFonts w:cs="Times New Roman"/>
        </w:rPr>
        <w:t xml:space="preserve"> </w:t>
      </w:r>
      <w:r w:rsidR="00FF3C2C">
        <w:rPr>
          <w:rFonts w:cs="Times New Roman"/>
          <w:lang w:eastAsia="pt-PT"/>
        </w:rPr>
        <w:t>para cada um dos anos em estudo (2013-2017)</w:t>
      </w:r>
      <w:r w:rsidR="00F42950">
        <w:rPr>
          <w:rFonts w:cs="Times New Roman"/>
          <w:lang w:eastAsia="pt-PT"/>
        </w:rPr>
        <w:t>.</w:t>
      </w:r>
    </w:p>
    <w:p w14:paraId="002645FB" w14:textId="77777777" w:rsidR="002079A9" w:rsidRPr="00DE4AC1" w:rsidRDefault="002079A9" w:rsidP="00FF3C2C">
      <w:pPr>
        <w:spacing w:line="360" w:lineRule="auto"/>
        <w:jc w:val="both"/>
        <w:rPr>
          <w:rFonts w:cs="Times New Roman"/>
          <w:lang w:eastAsia="pt-PT"/>
        </w:rPr>
      </w:pPr>
    </w:p>
    <w:p w14:paraId="4E318602" w14:textId="4D20AA27" w:rsidR="00FF3C2C" w:rsidRPr="00344704" w:rsidRDefault="00FF3C2C" w:rsidP="00FF3C2C">
      <w:pPr>
        <w:spacing w:after="60" w:line="240" w:lineRule="auto"/>
        <w:jc w:val="center"/>
        <w:rPr>
          <w:rFonts w:cs="Times New Roman"/>
        </w:rPr>
      </w:pPr>
      <w:bookmarkStart w:id="92" w:name="_Toc66624273"/>
      <w:r w:rsidRPr="00344704">
        <w:rPr>
          <w:rFonts w:cs="Times New Roman"/>
          <w:b/>
        </w:rPr>
        <w:lastRenderedPageBreak/>
        <w:t xml:space="preserve">Gráfico </w:t>
      </w:r>
      <w:r w:rsidR="00360329">
        <w:rPr>
          <w:rFonts w:cs="Times New Roman"/>
          <w:b/>
        </w:rPr>
        <w:fldChar w:fldCharType="begin"/>
      </w:r>
      <w:r w:rsidR="00360329">
        <w:rPr>
          <w:rFonts w:cs="Times New Roman"/>
          <w:b/>
        </w:rPr>
        <w:instrText xml:space="preserve"> STYLEREF 1 \s </w:instrText>
      </w:r>
      <w:r w:rsidR="00360329">
        <w:rPr>
          <w:rFonts w:cs="Times New Roman"/>
          <w:b/>
        </w:rPr>
        <w:fldChar w:fldCharType="separate"/>
      </w:r>
      <w:r w:rsidR="00380A6F">
        <w:rPr>
          <w:rFonts w:cs="Times New Roman"/>
          <w:b/>
          <w:noProof/>
        </w:rPr>
        <w:t>4</w:t>
      </w:r>
      <w:r w:rsidR="00360329">
        <w:rPr>
          <w:rFonts w:cs="Times New Roman"/>
          <w:b/>
        </w:rPr>
        <w:fldChar w:fldCharType="end"/>
      </w:r>
      <w:r w:rsidR="00360329">
        <w:rPr>
          <w:rFonts w:cs="Times New Roman"/>
          <w:b/>
        </w:rPr>
        <w:t>.</w:t>
      </w:r>
      <w:r w:rsidR="00360329">
        <w:rPr>
          <w:rFonts w:cs="Times New Roman"/>
          <w:b/>
        </w:rPr>
        <w:fldChar w:fldCharType="begin"/>
      </w:r>
      <w:r w:rsidR="00360329">
        <w:rPr>
          <w:rFonts w:cs="Times New Roman"/>
          <w:b/>
        </w:rPr>
        <w:instrText xml:space="preserve"> SEQ Gráfico \* ARABIC \s 1 </w:instrText>
      </w:r>
      <w:r w:rsidR="00360329">
        <w:rPr>
          <w:rFonts w:cs="Times New Roman"/>
          <w:b/>
        </w:rPr>
        <w:fldChar w:fldCharType="separate"/>
      </w:r>
      <w:r w:rsidR="00380A6F">
        <w:rPr>
          <w:rFonts w:cs="Times New Roman"/>
          <w:b/>
          <w:noProof/>
        </w:rPr>
        <w:t>1</w:t>
      </w:r>
      <w:r w:rsidR="00360329">
        <w:rPr>
          <w:rFonts w:cs="Times New Roman"/>
          <w:b/>
        </w:rPr>
        <w:fldChar w:fldCharType="end"/>
      </w:r>
      <w:r w:rsidRPr="00344704">
        <w:rPr>
          <w:rFonts w:cs="Times New Roman"/>
          <w:b/>
        </w:rPr>
        <w:t xml:space="preserve"> –</w:t>
      </w:r>
      <w:r w:rsidRPr="00344704">
        <w:rPr>
          <w:rFonts w:cs="Times New Roman"/>
        </w:rPr>
        <w:t xml:space="preserve"> Valores médios de ITM</w:t>
      </w:r>
      <w:r>
        <w:rPr>
          <w:rFonts w:cs="Times New Roman"/>
        </w:rPr>
        <w:t xml:space="preserve">, </w:t>
      </w:r>
      <w:r w:rsidRPr="00344704">
        <w:rPr>
          <w:rFonts w:cs="Times New Roman"/>
        </w:rPr>
        <w:t xml:space="preserve">por </w:t>
      </w:r>
      <w:r>
        <w:rPr>
          <w:rFonts w:cs="Times New Roman"/>
        </w:rPr>
        <w:t xml:space="preserve">nível de </w:t>
      </w:r>
      <w:r w:rsidRPr="00344704">
        <w:rPr>
          <w:rFonts w:cs="Times New Roman"/>
        </w:rPr>
        <w:t>competição política</w:t>
      </w:r>
      <w:r>
        <w:rPr>
          <w:rFonts w:cs="Times New Roman"/>
        </w:rPr>
        <w:t xml:space="preserve">, </w:t>
      </w:r>
      <w:r w:rsidRPr="009C7F87">
        <w:rPr>
          <w:rFonts w:cs="Times New Roman"/>
        </w:rPr>
        <w:t>por ano (2013-2017)</w:t>
      </w:r>
      <w:bookmarkEnd w:id="92"/>
    </w:p>
    <w:p w14:paraId="5CEEE25A" w14:textId="2AD4F2F5" w:rsidR="00FF3C2C" w:rsidRDefault="00803EBB" w:rsidP="00FF3C2C">
      <w:pPr>
        <w:spacing w:after="0" w:line="240" w:lineRule="auto"/>
        <w:jc w:val="center"/>
        <w:rPr>
          <w:rFonts w:cs="Times New Roman"/>
        </w:rPr>
      </w:pPr>
      <w:r w:rsidRPr="007B1E5B">
        <w:rPr>
          <w:rFonts w:cs="Times New Roman"/>
          <w:noProof/>
        </w:rPr>
        <w:drawing>
          <wp:inline distT="0" distB="0" distL="0" distR="0" wp14:anchorId="46796F9B" wp14:editId="022D2D18">
            <wp:extent cx="4572000" cy="2076450"/>
            <wp:effectExtent l="0" t="0" r="0" b="0"/>
            <wp:docPr id="20" name="Chart 20">
              <a:extLst xmlns:a="http://schemas.openxmlformats.org/drawingml/2006/main">
                <a:ext uri="{FF2B5EF4-FFF2-40B4-BE49-F238E27FC236}">
                  <a16:creationId xmlns:a16="http://schemas.microsoft.com/office/drawing/2014/main" id="{A6A686E2-BF03-4880-A88F-FA3FC3392D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bl>
      <w:tblPr>
        <w:tblStyle w:val="TabelacomGrelh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20" w:firstRow="1" w:lastRow="0" w:firstColumn="0" w:lastColumn="0" w:noHBand="1" w:noVBand="1"/>
      </w:tblPr>
      <w:tblGrid>
        <w:gridCol w:w="1843"/>
        <w:gridCol w:w="1843"/>
      </w:tblGrid>
      <w:tr w:rsidR="00FF3C2C" w14:paraId="1B454FBE" w14:textId="77777777" w:rsidTr="00803EBB">
        <w:trPr>
          <w:jc w:val="center"/>
        </w:trPr>
        <w:tc>
          <w:tcPr>
            <w:tcW w:w="1843" w:type="dxa"/>
          </w:tcPr>
          <w:p w14:paraId="536E788D" w14:textId="56C0A098" w:rsidR="00FF3C2C" w:rsidRDefault="00803EBB" w:rsidP="00DC3DB8">
            <w:pPr>
              <w:pStyle w:val="PargrafodaLista"/>
              <w:numPr>
                <w:ilvl w:val="0"/>
                <w:numId w:val="20"/>
              </w:numPr>
              <w:ind w:left="170" w:hanging="170"/>
            </w:pPr>
            <w:r>
              <w:rPr>
                <w:sz w:val="20"/>
                <w:szCs w:val="20"/>
              </w:rPr>
              <w:t xml:space="preserve">CCP </w:t>
            </w:r>
            <w:r w:rsidR="00FF3C2C" w:rsidRPr="00BF2A52">
              <w:rPr>
                <w:sz w:val="20"/>
                <w:szCs w:val="20"/>
              </w:rPr>
              <w:t>0</w:t>
            </w:r>
            <w:r w:rsidR="00FF3C2C" w:rsidRPr="00BF2A52">
              <w:rPr>
                <w:sz w:val="18"/>
                <w:szCs w:val="18"/>
              </w:rPr>
              <w:t xml:space="preserve"> </w:t>
            </w:r>
            <w:r w:rsidR="00FF3C2C">
              <w:rPr>
                <w:sz w:val="18"/>
                <w:szCs w:val="18"/>
              </w:rPr>
              <w:t>–</w:t>
            </w:r>
            <w:r w:rsidR="00FF3C2C" w:rsidRPr="00BF2A52">
              <w:rPr>
                <w:sz w:val="18"/>
                <w:szCs w:val="18"/>
              </w:rPr>
              <w:t xml:space="preserve"> </w:t>
            </w:r>
            <w:r w:rsidR="00FF3C2C">
              <w:rPr>
                <w:sz w:val="18"/>
                <w:szCs w:val="18"/>
              </w:rPr>
              <w:t>CP &lt; 0,5</w:t>
            </w:r>
          </w:p>
        </w:tc>
        <w:tc>
          <w:tcPr>
            <w:tcW w:w="1843" w:type="dxa"/>
          </w:tcPr>
          <w:p w14:paraId="50139B9A" w14:textId="218F2E95" w:rsidR="00FF3C2C" w:rsidRDefault="00803EBB" w:rsidP="00DC3DB8">
            <w:pPr>
              <w:pStyle w:val="PargrafodaLista"/>
              <w:numPr>
                <w:ilvl w:val="0"/>
                <w:numId w:val="24"/>
              </w:numPr>
              <w:ind w:left="154" w:hanging="154"/>
            </w:pPr>
            <w:r>
              <w:rPr>
                <w:sz w:val="20"/>
                <w:szCs w:val="20"/>
              </w:rPr>
              <w:t xml:space="preserve">CCP </w:t>
            </w:r>
            <w:r w:rsidR="00FF3C2C" w:rsidRPr="00FE581A">
              <w:rPr>
                <w:sz w:val="20"/>
                <w:szCs w:val="20"/>
              </w:rPr>
              <w:t>1 –</w:t>
            </w:r>
            <w:r w:rsidR="00FF3C2C" w:rsidRPr="00FE581A">
              <w:rPr>
                <w:sz w:val="28"/>
                <w:szCs w:val="24"/>
              </w:rPr>
              <w:t xml:space="preserve"> </w:t>
            </w:r>
            <w:r w:rsidR="00FF3C2C" w:rsidRPr="00FE581A">
              <w:rPr>
                <w:sz w:val="18"/>
                <w:szCs w:val="18"/>
              </w:rPr>
              <w:t xml:space="preserve">CP </w:t>
            </w:r>
            <w:r w:rsidR="009F52BE">
              <w:rPr>
                <w:rFonts w:cs="Times New Roman"/>
                <w:sz w:val="18"/>
                <w:szCs w:val="18"/>
              </w:rPr>
              <w:t>≥</w:t>
            </w:r>
            <w:r w:rsidR="00FF3C2C" w:rsidRPr="00FE581A">
              <w:rPr>
                <w:sz w:val="18"/>
                <w:szCs w:val="18"/>
              </w:rPr>
              <w:t xml:space="preserve"> 0,5</w:t>
            </w:r>
          </w:p>
        </w:tc>
      </w:tr>
    </w:tbl>
    <w:p w14:paraId="4D10FBF9" w14:textId="19C9BC7E" w:rsidR="00FF3C2C" w:rsidRDefault="00FF3C2C" w:rsidP="00FF3C2C">
      <w:pPr>
        <w:spacing w:before="240" w:line="360" w:lineRule="auto"/>
        <w:jc w:val="both"/>
        <w:rPr>
          <w:rFonts w:cs="Times New Roman"/>
        </w:rPr>
      </w:pPr>
      <w:r>
        <w:rPr>
          <w:rFonts w:cs="Times New Roman"/>
          <w:noProof/>
        </w:rPr>
        <mc:AlternateContent>
          <mc:Choice Requires="wps">
            <w:drawing>
              <wp:anchor distT="0" distB="0" distL="114300" distR="114300" simplePos="0" relativeHeight="251658250" behindDoc="0" locked="0" layoutInCell="1" allowOverlap="1" wp14:anchorId="21E4A627" wp14:editId="5BC6F66A">
                <wp:simplePos x="0" y="0"/>
                <wp:positionH relativeFrom="column">
                  <wp:posOffset>-3670935</wp:posOffset>
                </wp:positionH>
                <wp:positionV relativeFrom="paragraph">
                  <wp:posOffset>97790</wp:posOffset>
                </wp:positionV>
                <wp:extent cx="53340" cy="60960"/>
                <wp:effectExtent l="0" t="0" r="22860" b="15240"/>
                <wp:wrapNone/>
                <wp:docPr id="3" name="Rectangle 3"/>
                <wp:cNvGraphicFramePr/>
                <a:graphic xmlns:a="http://schemas.openxmlformats.org/drawingml/2006/main">
                  <a:graphicData uri="http://schemas.microsoft.com/office/word/2010/wordprocessingShape">
                    <wps:wsp>
                      <wps:cNvSpPr/>
                      <wps:spPr>
                        <a:xfrm>
                          <a:off x="0" y="0"/>
                          <a:ext cx="53340" cy="6096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85617B0" id="Rectangle 3" o:spid="_x0000_s1026" style="position:absolute;margin-left:-289.05pt;margin-top:7.7pt;width:4.2pt;height:4.8pt;z-index:25165825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SticQIAADYFAAAOAAAAZHJzL2Uyb0RvYy54bWysVFFP2zAQfp+0/2D5fSRtgY2KFFUgpkkI&#10;KmDi2Th2E8n2eWe3affrd3bSgADtYVofXF/u7jvf5+98frGzhm0VhhZcxSdHJWfKSahbt674z8fr&#10;L984C1G4WhhwquJ7FfjF4vOn887P1RQaMLVCRiAuzDtf8SZGPy+KIBtlRTgCrxw5NaAVkUxcFzWK&#10;jtCtKaZleVp0gLVHkCoE+nrVO/ki42utZLzTOqjITMXpbDGvmNfntBaLczFfo/BNK4djiH84hRWt&#10;o6Ij1JWIgm2wfQdlW4kQQMcjCbYArVupcg/UzaR8081DI7zKvRA5wY80hf8HK2+3K2RtXfEZZ05Y&#10;uqJ7Ik24tVFslujpfJhT1INf4WAF2qZedxpt+qcu2C5Tuh8pVbvIJH08mc2OiXdJntPy7DQTXryk&#10;egzxuwLL0qbiSKUzjWJ7EyKVo9BDCBnpKH3xvIt7o1J94+6Vph6o3DRnZ/WoS4NsK+jehZTKxUnv&#10;akSt+s8nJf1Sh1RkzMhWBkzIujVmxB4AkjLfY/cwQ3xKVVl8Y3L5t4P1yWNGrgwujsm2dYAfARjq&#10;aqjcxx9I6qlJLD1DvacbRuilH7y8bonrGxHiSiBpnW6H5jfe0aINdBWHYcdZA/j7o+8pniRIXs46&#10;mp2Kh18bgYoz88OROM8mx+nSYzaOT75OycDXnufXHrexl0DXNKGXwsu8TfHRHLYawT7RmC9TVXIJ&#10;J6l2xWXEg3EZ+5mmh0Kq5TKH0YB5EW/cg5cJPLGatPS4exLoB8FF0uktHOZMzN/oro9NmQ6Wmwi6&#10;zaJ84XXgm4YzC2d4SNL0v7Zz1Mtzt/gDAAD//wMAUEsDBBQABgAIAAAAIQAeysBU3wAAAAsBAAAP&#10;AAAAZHJzL2Rvd25yZXYueG1sTI/LboMwEEX3lfoP1lTqjhiiElKCiapI3VTqIkk/wMETTOMHwibA&#10;33e6apeje3TvmWo/W8PuOITOOwHZKgWGrvGqc62Ar/N7sgUWonRKGu9QwIIB9vXjQyVL5Sd3xPsp&#10;toxKXCilAB1jX3IeGo1WhpXv0VF29YOVkc6h5WqQE5Vbw9dpuuFWdo4WtOzxoLG5nUZLIxKPS1ZM&#10;h9unnj86NMs3josQz0/z2w5YxDn+wfCrT+pQk9PFj04FZgQkebHNiKUkfwFGRJJvXgtgFwHrPAVe&#10;V/z/D/UPAAAA//8DAFBLAQItABQABgAIAAAAIQC2gziS/gAAAOEBAAATAAAAAAAAAAAAAAAAAAAA&#10;AABbQ29udGVudF9UeXBlc10ueG1sUEsBAi0AFAAGAAgAAAAhADj9If/WAAAAlAEAAAsAAAAAAAAA&#10;AAAAAAAALwEAAF9yZWxzLy5yZWxzUEsBAi0AFAAGAAgAAAAhAEkxK2JxAgAANgUAAA4AAAAAAAAA&#10;AAAAAAAALgIAAGRycy9lMm9Eb2MueG1sUEsBAi0AFAAGAAgAAAAhAB7KwFTfAAAACwEAAA8AAAAA&#10;AAAAAAAAAAAAywQAAGRycy9kb3ducmV2LnhtbFBLBQYAAAAABAAEAPMAAADXBQAAAAA=&#10;" fillcolor="#5b9bd5 [3204]" strokecolor="#1f4d78 [1604]" strokeweight="1pt"/>
            </w:pict>
          </mc:Fallback>
        </mc:AlternateContent>
      </w:r>
      <w:r>
        <w:rPr>
          <w:rFonts w:cs="Times New Roman"/>
        </w:rPr>
        <w:t>Por observação do Gráfico 4.</w:t>
      </w:r>
      <w:r w:rsidR="00664AE5">
        <w:rPr>
          <w:rFonts w:cs="Times New Roman"/>
        </w:rPr>
        <w:t>1</w:t>
      </w:r>
      <w:r>
        <w:rPr>
          <w:rFonts w:cs="Times New Roman"/>
        </w:rPr>
        <w:t xml:space="preserve"> </w:t>
      </w:r>
      <w:r w:rsidR="00803EBB" w:rsidRPr="007B1E5B">
        <w:rPr>
          <w:rFonts w:cs="Times New Roman"/>
        </w:rPr>
        <w:t>constata-se que, ao longo dos anos, com exceção do ano 2014, os municípios com fraca competição política apresentam maiores, ainda que ligeiros, níveis de transparência, relativamente aos municípios com forte competição política.</w:t>
      </w:r>
    </w:p>
    <w:p w14:paraId="4E454742" w14:textId="1F14940A" w:rsidR="00F81F8A" w:rsidRPr="00F81F8A" w:rsidRDefault="00F81F8A" w:rsidP="00F81F8A">
      <w:pPr>
        <w:pStyle w:val="PargrafodaLista"/>
        <w:numPr>
          <w:ilvl w:val="0"/>
          <w:numId w:val="37"/>
        </w:numPr>
        <w:spacing w:line="360" w:lineRule="auto"/>
        <w:jc w:val="both"/>
        <w:rPr>
          <w:rFonts w:cs="Times New Roman"/>
          <w:b/>
          <w:bCs/>
        </w:rPr>
      </w:pPr>
      <w:r>
        <w:rPr>
          <w:rFonts w:cs="Times New Roman"/>
          <w:b/>
          <w:bCs/>
        </w:rPr>
        <w:t>ITM por</w:t>
      </w:r>
      <w:r>
        <w:rPr>
          <w:rFonts w:cs="Times New Roman"/>
          <w:b/>
          <w:bCs/>
          <w:shd w:val="clear" w:color="auto" w:fill="FFFFFF" w:themeFill="background1"/>
        </w:rPr>
        <w:t xml:space="preserve"> valor de endividamento (VEnd)</w:t>
      </w:r>
    </w:p>
    <w:p w14:paraId="3801B6F1" w14:textId="52CB9B66" w:rsidR="00FF3C2C" w:rsidRPr="00F81F8A" w:rsidRDefault="0079729A" w:rsidP="00F81F8A">
      <w:pPr>
        <w:spacing w:line="360" w:lineRule="auto"/>
        <w:jc w:val="both"/>
        <w:rPr>
          <w:rFonts w:cs="Times New Roman"/>
          <w:b/>
          <w:bCs/>
        </w:rPr>
      </w:pPr>
      <w:r w:rsidRPr="00F81F8A">
        <w:rPr>
          <w:rFonts w:cs="Times New Roman"/>
        </w:rPr>
        <w:t xml:space="preserve">Seguiu-se </w:t>
      </w:r>
      <w:r w:rsidR="00FF3C2C" w:rsidRPr="00F81F8A">
        <w:rPr>
          <w:rFonts w:cs="Times New Roman"/>
        </w:rPr>
        <w:t>o estudo do ITM por grupo de municípios com maior ou menor endividamento</w:t>
      </w:r>
      <w:r w:rsidR="000821FD" w:rsidRPr="00F81F8A">
        <w:rPr>
          <w:rFonts w:cs="Times New Roman"/>
        </w:rPr>
        <w:t>, antes</w:t>
      </w:r>
      <w:r w:rsidR="00FF3C2C" w:rsidRPr="00F81F8A">
        <w:rPr>
          <w:rFonts w:cs="Times New Roman"/>
        </w:rPr>
        <w:t xml:space="preserve"> </w:t>
      </w:r>
      <w:r w:rsidR="00FF3C2C" w:rsidRPr="00F81F8A">
        <w:rPr>
          <w:rFonts w:cs="Times New Roman"/>
          <w:lang w:eastAsia="pt-PT"/>
        </w:rPr>
        <w:t>procedeu-se</w:t>
      </w:r>
      <w:r w:rsidR="00FF3C2C" w:rsidRPr="00F81F8A">
        <w:rPr>
          <w:rFonts w:cs="Times New Roman"/>
          <w:i/>
          <w:lang w:eastAsia="pt-PT"/>
        </w:rPr>
        <w:t xml:space="preserve"> </w:t>
      </w:r>
      <w:r w:rsidR="00FF3C2C" w:rsidRPr="00F81F8A">
        <w:rPr>
          <w:rFonts w:cs="Times New Roman"/>
          <w:lang w:eastAsia="pt-PT"/>
        </w:rPr>
        <w:t xml:space="preserve">à classificação de municípios em dois grupos: </w:t>
      </w:r>
    </w:p>
    <w:p w14:paraId="634A8A81" w14:textId="24282E9F" w:rsidR="00DB7FB3" w:rsidRDefault="00DB7FB3" w:rsidP="00DB7FB3">
      <w:pPr>
        <w:pStyle w:val="PargrafodaLista"/>
        <w:numPr>
          <w:ilvl w:val="0"/>
          <w:numId w:val="19"/>
        </w:numPr>
        <w:spacing w:line="360" w:lineRule="auto"/>
        <w:jc w:val="both"/>
        <w:rPr>
          <w:rFonts w:cs="Times New Roman"/>
        </w:rPr>
      </w:pPr>
      <w:r w:rsidRPr="00A00DB8">
        <w:rPr>
          <w:rFonts w:cs="Times New Roman"/>
          <w:lang w:eastAsia="pt-PT"/>
        </w:rPr>
        <w:t xml:space="preserve">0 - Municípios </w:t>
      </w:r>
      <w:r>
        <w:rPr>
          <w:rFonts w:cs="Times New Roman"/>
          <w:lang w:eastAsia="pt-PT"/>
        </w:rPr>
        <w:t>menos</w:t>
      </w:r>
      <w:r w:rsidRPr="00A00DB8">
        <w:rPr>
          <w:rFonts w:cs="Times New Roman"/>
          <w:lang w:eastAsia="pt-PT"/>
        </w:rPr>
        <w:t xml:space="preserve"> endividados, com valores </w:t>
      </w:r>
      <w:r w:rsidR="00F15B7B">
        <w:rPr>
          <w:rFonts w:cs="Times New Roman"/>
          <w:lang w:eastAsia="pt-PT"/>
        </w:rPr>
        <w:t>abaixo</w:t>
      </w:r>
      <w:r w:rsidRPr="00A00DB8">
        <w:rPr>
          <w:rFonts w:cs="Times New Roman"/>
          <w:lang w:eastAsia="pt-PT"/>
        </w:rPr>
        <w:t xml:space="preserve"> d</w:t>
      </w:r>
      <w:r>
        <w:rPr>
          <w:rFonts w:cs="Times New Roman"/>
          <w:lang w:eastAsia="pt-PT"/>
        </w:rPr>
        <w:t>o</w:t>
      </w:r>
      <w:r w:rsidRPr="00A00DB8">
        <w:rPr>
          <w:rFonts w:cs="Times New Roman"/>
          <w:lang w:eastAsia="pt-PT"/>
        </w:rPr>
        <w:t xml:space="preserve"> </w:t>
      </w:r>
      <w:r>
        <w:rPr>
          <w:rFonts w:cs="Times New Roman"/>
          <w:lang w:eastAsia="pt-PT"/>
        </w:rPr>
        <w:t xml:space="preserve">valor </w:t>
      </w:r>
      <w:r w:rsidRPr="00A00DB8">
        <w:rPr>
          <w:rFonts w:cs="Times New Roman"/>
          <w:lang w:eastAsia="pt-PT"/>
        </w:rPr>
        <w:t>médi</w:t>
      </w:r>
      <w:r>
        <w:rPr>
          <w:rFonts w:cs="Times New Roman"/>
          <w:lang w:eastAsia="pt-PT"/>
        </w:rPr>
        <w:t>o</w:t>
      </w:r>
      <w:r w:rsidR="00BC38F6">
        <w:rPr>
          <w:rFonts w:cs="Times New Roman"/>
          <w:lang w:eastAsia="pt-PT"/>
        </w:rPr>
        <w:t xml:space="preserve"> </w:t>
      </w:r>
      <w:r w:rsidRPr="00A00DB8">
        <w:rPr>
          <w:rFonts w:cs="Times New Roman"/>
          <w:lang w:eastAsia="pt-PT"/>
        </w:rPr>
        <w:t>d</w:t>
      </w:r>
      <w:r>
        <w:rPr>
          <w:rFonts w:cs="Times New Roman"/>
          <w:lang w:eastAsia="pt-PT"/>
        </w:rPr>
        <w:t>e</w:t>
      </w:r>
      <w:r w:rsidRPr="00A00DB8">
        <w:rPr>
          <w:rFonts w:cs="Times New Roman"/>
          <w:lang w:eastAsia="pt-PT"/>
        </w:rPr>
        <w:t xml:space="preserve"> endividamento</w:t>
      </w:r>
      <w:r w:rsidR="00F718E1">
        <w:rPr>
          <w:rFonts w:cs="Times New Roman"/>
          <w:lang w:eastAsia="pt-PT"/>
        </w:rPr>
        <w:t xml:space="preserve">, MVEnd, </w:t>
      </w:r>
      <w:r w:rsidRPr="00A00DB8">
        <w:rPr>
          <w:rFonts w:cs="Times New Roman"/>
          <w:lang w:eastAsia="pt-PT"/>
        </w:rPr>
        <w:t>para os cinco anos em análise</w:t>
      </w:r>
      <w:r w:rsidR="00F15B7B">
        <w:rPr>
          <w:rFonts w:cs="Times New Roman"/>
          <w:lang w:eastAsia="pt-PT"/>
        </w:rPr>
        <w:t xml:space="preserve"> (VEnd &lt; MVEnd)</w:t>
      </w:r>
      <w:r>
        <w:rPr>
          <w:rFonts w:cs="Times New Roman"/>
          <w:lang w:eastAsia="pt-PT"/>
        </w:rPr>
        <w:t>;</w:t>
      </w:r>
      <w:r w:rsidRPr="00A00DB8">
        <w:rPr>
          <w:rFonts w:cs="Times New Roman"/>
          <w:lang w:eastAsia="pt-PT"/>
        </w:rPr>
        <w:t xml:space="preserve">  </w:t>
      </w:r>
    </w:p>
    <w:p w14:paraId="34D4079B" w14:textId="03E06048" w:rsidR="00FF3C2C" w:rsidRDefault="00FF3C2C" w:rsidP="00FF3C2C">
      <w:pPr>
        <w:pStyle w:val="PargrafodaLista"/>
        <w:numPr>
          <w:ilvl w:val="0"/>
          <w:numId w:val="19"/>
        </w:numPr>
        <w:spacing w:line="360" w:lineRule="auto"/>
        <w:jc w:val="both"/>
        <w:rPr>
          <w:rFonts w:cs="Times New Roman"/>
        </w:rPr>
      </w:pPr>
      <w:r w:rsidRPr="00A00DB8">
        <w:rPr>
          <w:rFonts w:cs="Times New Roman"/>
          <w:lang w:eastAsia="pt-PT"/>
        </w:rPr>
        <w:t>1 – Municípios mais endividados, com valores acima d</w:t>
      </w:r>
      <w:r>
        <w:rPr>
          <w:rFonts w:cs="Times New Roman"/>
          <w:lang w:eastAsia="pt-PT"/>
        </w:rPr>
        <w:t>o</w:t>
      </w:r>
      <w:r w:rsidRPr="00A00DB8">
        <w:rPr>
          <w:rFonts w:cs="Times New Roman"/>
          <w:lang w:eastAsia="pt-PT"/>
        </w:rPr>
        <w:t xml:space="preserve"> </w:t>
      </w:r>
      <w:r>
        <w:rPr>
          <w:rFonts w:cs="Times New Roman"/>
          <w:lang w:eastAsia="pt-PT"/>
        </w:rPr>
        <w:t xml:space="preserve">valor </w:t>
      </w:r>
      <w:r w:rsidRPr="00A00DB8">
        <w:rPr>
          <w:rFonts w:cs="Times New Roman"/>
          <w:lang w:eastAsia="pt-PT"/>
        </w:rPr>
        <w:t>médi</w:t>
      </w:r>
      <w:r>
        <w:rPr>
          <w:rFonts w:cs="Times New Roman"/>
          <w:lang w:eastAsia="pt-PT"/>
        </w:rPr>
        <w:t>o</w:t>
      </w:r>
      <w:r w:rsidR="00BC38F6">
        <w:rPr>
          <w:rFonts w:cs="Times New Roman"/>
          <w:lang w:eastAsia="pt-PT"/>
        </w:rPr>
        <w:t xml:space="preserve"> </w:t>
      </w:r>
      <w:r w:rsidRPr="00A00DB8">
        <w:rPr>
          <w:rFonts w:cs="Times New Roman"/>
          <w:lang w:eastAsia="pt-PT"/>
        </w:rPr>
        <w:t>d</w:t>
      </w:r>
      <w:r>
        <w:rPr>
          <w:rFonts w:cs="Times New Roman"/>
          <w:lang w:eastAsia="pt-PT"/>
        </w:rPr>
        <w:t>e</w:t>
      </w:r>
      <w:r w:rsidRPr="00A00DB8">
        <w:rPr>
          <w:rFonts w:cs="Times New Roman"/>
          <w:lang w:eastAsia="pt-PT"/>
        </w:rPr>
        <w:t xml:space="preserve"> endividamento</w:t>
      </w:r>
      <w:r w:rsidR="00F718E1">
        <w:rPr>
          <w:rFonts w:cs="Times New Roman"/>
          <w:lang w:eastAsia="pt-PT"/>
        </w:rPr>
        <w:t xml:space="preserve">, MVEnd, </w:t>
      </w:r>
      <w:r w:rsidRPr="00A00DB8">
        <w:rPr>
          <w:rFonts w:cs="Times New Roman"/>
          <w:lang w:eastAsia="pt-PT"/>
        </w:rPr>
        <w:t>para os cinco anos em análise</w:t>
      </w:r>
      <w:r w:rsidR="00F15B7B">
        <w:rPr>
          <w:rFonts w:cs="Times New Roman"/>
          <w:lang w:eastAsia="pt-PT"/>
        </w:rPr>
        <w:t xml:space="preserve"> (VEnd </w:t>
      </w:r>
      <w:r w:rsidR="00003F18">
        <w:rPr>
          <w:rFonts w:cs="Times New Roman"/>
          <w:sz w:val="18"/>
          <w:szCs w:val="18"/>
        </w:rPr>
        <w:t>≥</w:t>
      </w:r>
      <w:r w:rsidR="00F15B7B">
        <w:rPr>
          <w:rFonts w:cs="Times New Roman"/>
          <w:lang w:eastAsia="pt-PT"/>
        </w:rPr>
        <w:t xml:space="preserve"> MVEnd);</w:t>
      </w:r>
      <w:r w:rsidR="00F15B7B" w:rsidRPr="00A00DB8">
        <w:rPr>
          <w:rFonts w:cs="Times New Roman"/>
          <w:lang w:eastAsia="pt-PT"/>
        </w:rPr>
        <w:t xml:space="preserve"> </w:t>
      </w:r>
    </w:p>
    <w:p w14:paraId="5929A3E8" w14:textId="001C4D20" w:rsidR="00962182" w:rsidRDefault="00962182" w:rsidP="00AE0CD3">
      <w:pPr>
        <w:spacing w:line="360" w:lineRule="auto"/>
        <w:jc w:val="both"/>
        <w:rPr>
          <w:rFonts w:cs="Times New Roman"/>
          <w:lang w:eastAsia="pt-PT"/>
        </w:rPr>
      </w:pPr>
      <w:r>
        <w:rPr>
          <w:rFonts w:cs="Times New Roman"/>
          <w:lang w:eastAsia="pt-PT"/>
        </w:rPr>
        <w:t>Considera</w:t>
      </w:r>
      <w:r w:rsidR="00C87D53">
        <w:rPr>
          <w:rFonts w:cs="Times New Roman"/>
          <w:lang w:eastAsia="pt-PT"/>
        </w:rPr>
        <w:t>m</w:t>
      </w:r>
      <w:r>
        <w:rPr>
          <w:rFonts w:cs="Times New Roman"/>
          <w:lang w:eastAsia="pt-PT"/>
        </w:rPr>
        <w:t>-se municípios menos endividados aqueles que apresentam valores inferiores à média, MVEnd, calculada (</w:t>
      </w:r>
      <w:r w:rsidR="00F338BB">
        <w:rPr>
          <w:rFonts w:cs="Times New Roman"/>
          <w:lang w:eastAsia="pt-PT"/>
        </w:rPr>
        <w:t>A</w:t>
      </w:r>
      <w:r>
        <w:rPr>
          <w:rFonts w:cs="Times New Roman"/>
          <w:lang w:eastAsia="pt-PT"/>
        </w:rPr>
        <w:t xml:space="preserve">pêndice </w:t>
      </w:r>
      <w:r w:rsidR="00046806">
        <w:rPr>
          <w:rFonts w:cs="Times New Roman"/>
          <w:lang w:eastAsia="pt-PT"/>
        </w:rPr>
        <w:t>1</w:t>
      </w:r>
      <w:r>
        <w:rPr>
          <w:rFonts w:cs="Times New Roman"/>
          <w:lang w:eastAsia="pt-PT"/>
        </w:rPr>
        <w:t>) e municípios mais endividados o contrário.</w:t>
      </w:r>
    </w:p>
    <w:p w14:paraId="5CA0E9C6" w14:textId="1A27AFFD" w:rsidR="00803EBB" w:rsidRDefault="00AE0CD3" w:rsidP="00AE0CD3">
      <w:pPr>
        <w:spacing w:line="360" w:lineRule="auto"/>
        <w:jc w:val="both"/>
        <w:rPr>
          <w:rFonts w:cs="Times New Roman"/>
          <w:lang w:eastAsia="pt-PT"/>
        </w:rPr>
      </w:pPr>
      <w:r>
        <w:rPr>
          <w:rFonts w:cs="Times New Roman"/>
          <w:lang w:eastAsia="pt-PT"/>
        </w:rPr>
        <w:t>Continuou-se a</w:t>
      </w:r>
      <w:r w:rsidR="00147D26" w:rsidRPr="00147D26">
        <w:rPr>
          <w:rFonts w:cs="Times New Roman"/>
          <w:lang w:eastAsia="pt-PT"/>
        </w:rPr>
        <w:t xml:space="preserve"> análise </w:t>
      </w:r>
      <w:r>
        <w:rPr>
          <w:rFonts w:cs="Times New Roman"/>
          <w:lang w:eastAsia="pt-PT"/>
        </w:rPr>
        <w:t xml:space="preserve">pela observação </w:t>
      </w:r>
      <w:r w:rsidR="00147D26" w:rsidRPr="00147D26">
        <w:rPr>
          <w:rFonts w:cs="Times New Roman"/>
          <w:lang w:eastAsia="pt-PT"/>
        </w:rPr>
        <w:t xml:space="preserve">do histograma </w:t>
      </w:r>
      <w:r w:rsidR="00147D26" w:rsidRPr="007F35DF">
        <w:rPr>
          <w:rFonts w:cs="Times New Roman"/>
          <w:lang w:eastAsia="pt-PT"/>
        </w:rPr>
        <w:t>(</w:t>
      </w:r>
      <w:r w:rsidR="00F338BB">
        <w:rPr>
          <w:rFonts w:cs="Times New Roman"/>
          <w:lang w:eastAsia="pt-PT"/>
        </w:rPr>
        <w:t>A</w:t>
      </w:r>
      <w:r w:rsidR="00147D26" w:rsidRPr="007F35DF">
        <w:rPr>
          <w:rFonts w:cs="Times New Roman"/>
          <w:lang w:eastAsia="pt-PT"/>
        </w:rPr>
        <w:t>pêndice 2)</w:t>
      </w:r>
      <w:r w:rsidR="00147D26" w:rsidRPr="00147D26">
        <w:rPr>
          <w:rFonts w:cs="Times New Roman"/>
          <w:lang w:eastAsia="pt-PT"/>
        </w:rPr>
        <w:t xml:space="preserve"> e com o cálculo da</w:t>
      </w:r>
      <w:r w:rsidR="003425E2">
        <w:rPr>
          <w:rFonts w:cs="Times New Roman"/>
          <w:lang w:eastAsia="pt-PT"/>
        </w:rPr>
        <w:t>s</w:t>
      </w:r>
      <w:r w:rsidR="00147D26" w:rsidRPr="00147D26">
        <w:rPr>
          <w:rFonts w:cs="Times New Roman"/>
          <w:lang w:eastAsia="pt-PT"/>
        </w:rPr>
        <w:t xml:space="preserve"> medidas estatísticas para cada um destes grupos</w:t>
      </w:r>
      <w:r w:rsidR="00E402B8" w:rsidRPr="00E402B8">
        <w:rPr>
          <w:rFonts w:cs="Times New Roman"/>
          <w:lang w:eastAsia="pt-PT"/>
        </w:rPr>
        <w:t xml:space="preserve"> </w:t>
      </w:r>
      <w:r w:rsidR="00E402B8">
        <w:rPr>
          <w:rFonts w:cs="Times New Roman"/>
          <w:lang w:eastAsia="pt-PT"/>
        </w:rPr>
        <w:t xml:space="preserve">conforme se apresenta na </w:t>
      </w:r>
      <w:r w:rsidR="00B4646C">
        <w:rPr>
          <w:rFonts w:cs="Times New Roman"/>
          <w:lang w:eastAsia="pt-PT"/>
        </w:rPr>
        <w:t>T</w:t>
      </w:r>
      <w:r w:rsidR="00E402B8">
        <w:rPr>
          <w:rFonts w:cs="Times New Roman"/>
          <w:lang w:eastAsia="pt-PT"/>
        </w:rPr>
        <w:t>abela 4.6</w:t>
      </w:r>
      <w:r w:rsidR="00147D26" w:rsidRPr="00147D26">
        <w:rPr>
          <w:rFonts w:cs="Times New Roman"/>
          <w:lang w:eastAsia="pt-PT"/>
        </w:rPr>
        <w:t>:</w:t>
      </w:r>
    </w:p>
    <w:p w14:paraId="7F972E36" w14:textId="56536C16" w:rsidR="002079A9" w:rsidRDefault="002079A9" w:rsidP="00AE0CD3">
      <w:pPr>
        <w:spacing w:line="360" w:lineRule="auto"/>
        <w:jc w:val="both"/>
        <w:rPr>
          <w:rFonts w:cs="Times New Roman"/>
          <w:lang w:eastAsia="pt-PT"/>
        </w:rPr>
      </w:pPr>
    </w:p>
    <w:p w14:paraId="59666D12" w14:textId="1EE18B2D" w:rsidR="002079A9" w:rsidRDefault="002079A9" w:rsidP="00AE0CD3">
      <w:pPr>
        <w:spacing w:line="360" w:lineRule="auto"/>
        <w:jc w:val="both"/>
        <w:rPr>
          <w:rFonts w:cs="Times New Roman"/>
          <w:lang w:eastAsia="pt-PT"/>
        </w:rPr>
      </w:pPr>
    </w:p>
    <w:p w14:paraId="4DA511F1" w14:textId="4A364158" w:rsidR="002079A9" w:rsidRDefault="002079A9" w:rsidP="00AE0CD3">
      <w:pPr>
        <w:spacing w:line="360" w:lineRule="auto"/>
        <w:jc w:val="both"/>
        <w:rPr>
          <w:rFonts w:cs="Times New Roman"/>
          <w:lang w:eastAsia="pt-PT"/>
        </w:rPr>
      </w:pPr>
    </w:p>
    <w:p w14:paraId="1E75A90F" w14:textId="77777777" w:rsidR="002079A9" w:rsidRDefault="002079A9" w:rsidP="00AE0CD3">
      <w:pPr>
        <w:spacing w:line="360" w:lineRule="auto"/>
        <w:jc w:val="both"/>
        <w:rPr>
          <w:rFonts w:cs="Times New Roman"/>
          <w:lang w:eastAsia="pt-PT"/>
        </w:rPr>
      </w:pPr>
    </w:p>
    <w:p w14:paraId="092D766F" w14:textId="23879BE5" w:rsidR="00240EEA" w:rsidRDefault="00240EEA" w:rsidP="00240EEA">
      <w:pPr>
        <w:spacing w:after="0" w:line="360" w:lineRule="auto"/>
        <w:jc w:val="center"/>
        <w:rPr>
          <w:rFonts w:cs="Times New Roman"/>
          <w:bCs/>
        </w:rPr>
      </w:pPr>
      <w:bookmarkStart w:id="93" w:name="_Toc58853166"/>
      <w:bookmarkStart w:id="94" w:name="_Toc66624255"/>
      <w:r w:rsidRPr="00523DC3">
        <w:rPr>
          <w:b/>
        </w:rPr>
        <w:lastRenderedPageBreak/>
        <w:t xml:space="preserve">Tabela </w:t>
      </w:r>
      <w:r w:rsidR="00843BFC">
        <w:rPr>
          <w:b/>
        </w:rPr>
        <w:fldChar w:fldCharType="begin"/>
      </w:r>
      <w:r w:rsidR="00843BFC">
        <w:rPr>
          <w:b/>
        </w:rPr>
        <w:instrText xml:space="preserve"> STYLEREF 1 \s </w:instrText>
      </w:r>
      <w:r w:rsidR="00843BFC">
        <w:rPr>
          <w:b/>
        </w:rPr>
        <w:fldChar w:fldCharType="separate"/>
      </w:r>
      <w:r w:rsidR="00380A6F">
        <w:rPr>
          <w:b/>
          <w:noProof/>
        </w:rPr>
        <w:t>4</w:t>
      </w:r>
      <w:r w:rsidR="00843BFC">
        <w:rPr>
          <w:b/>
        </w:rPr>
        <w:fldChar w:fldCharType="end"/>
      </w:r>
      <w:r w:rsidR="00843BFC">
        <w:rPr>
          <w:b/>
        </w:rPr>
        <w:t>.</w:t>
      </w:r>
      <w:r w:rsidR="00843BFC">
        <w:rPr>
          <w:b/>
        </w:rPr>
        <w:fldChar w:fldCharType="begin"/>
      </w:r>
      <w:r w:rsidR="00843BFC">
        <w:rPr>
          <w:b/>
        </w:rPr>
        <w:instrText xml:space="preserve"> SEQ Tabela \* ARABIC \s 1 </w:instrText>
      </w:r>
      <w:r w:rsidR="00843BFC">
        <w:rPr>
          <w:b/>
        </w:rPr>
        <w:fldChar w:fldCharType="separate"/>
      </w:r>
      <w:r w:rsidR="00380A6F">
        <w:rPr>
          <w:b/>
          <w:noProof/>
        </w:rPr>
        <w:t>6</w:t>
      </w:r>
      <w:r w:rsidR="00843BFC">
        <w:rPr>
          <w:b/>
        </w:rPr>
        <w:fldChar w:fldCharType="end"/>
      </w:r>
      <w:r w:rsidRPr="00523DC3">
        <w:rPr>
          <w:b/>
        </w:rPr>
        <w:t xml:space="preserve"> –</w:t>
      </w:r>
      <w:r w:rsidRPr="00523DC3">
        <w:t xml:space="preserve"> </w:t>
      </w:r>
      <w:r w:rsidRPr="00697B1B">
        <w:rPr>
          <w:rFonts w:cs="Times New Roman"/>
          <w:bCs/>
        </w:rPr>
        <w:t xml:space="preserve">Medidas estatísticas do ITM por </w:t>
      </w:r>
      <w:r>
        <w:rPr>
          <w:rFonts w:cs="Times New Roman"/>
          <w:bCs/>
        </w:rPr>
        <w:t>V</w:t>
      </w:r>
      <w:r w:rsidR="00B416D6">
        <w:rPr>
          <w:rFonts w:cs="Times New Roman"/>
          <w:bCs/>
        </w:rPr>
        <w:t>End</w:t>
      </w:r>
      <w:bookmarkEnd w:id="93"/>
      <w:bookmarkEnd w:id="94"/>
    </w:p>
    <w:tbl>
      <w:tblPr>
        <w:tblW w:w="864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68"/>
        <w:gridCol w:w="3686"/>
        <w:gridCol w:w="1201"/>
        <w:gridCol w:w="1416"/>
        <w:gridCol w:w="77"/>
      </w:tblGrid>
      <w:tr w:rsidR="00C413F3" w:rsidRPr="00F6269F" w14:paraId="4281EE21" w14:textId="77777777" w:rsidTr="00C413F3">
        <w:trPr>
          <w:cantSplit/>
          <w:jc w:val="center"/>
        </w:trPr>
        <w:tc>
          <w:tcPr>
            <w:tcW w:w="2268" w:type="dxa"/>
            <w:tcBorders>
              <w:top w:val="double" w:sz="4" w:space="0" w:color="auto"/>
              <w:left w:val="nil"/>
              <w:bottom w:val="single" w:sz="4" w:space="0" w:color="auto"/>
              <w:right w:val="nil"/>
            </w:tcBorders>
            <w:shd w:val="clear" w:color="auto" w:fill="E7E6E6" w:themeFill="background2"/>
            <w:vAlign w:val="bottom"/>
          </w:tcPr>
          <w:p w14:paraId="671964CC" w14:textId="77777777" w:rsidR="00C413F3" w:rsidRPr="00D85EEC" w:rsidRDefault="00C413F3" w:rsidP="009C5227">
            <w:pPr>
              <w:autoSpaceDE w:val="0"/>
              <w:autoSpaceDN w:val="0"/>
              <w:adjustRightInd w:val="0"/>
              <w:spacing w:before="100" w:beforeAutospacing="1" w:after="100" w:afterAutospacing="1" w:line="240" w:lineRule="auto"/>
              <w:rPr>
                <w:rFonts w:cs="Times New Roman"/>
                <w:b/>
                <w:bCs/>
                <w:color w:val="000000"/>
                <w:sz w:val="22"/>
              </w:rPr>
            </w:pPr>
            <w:r w:rsidRPr="00D85EEC">
              <w:rPr>
                <w:rFonts w:cs="Times New Roman"/>
                <w:b/>
                <w:bCs/>
                <w:color w:val="000000"/>
                <w:sz w:val="22"/>
              </w:rPr>
              <w:t>Nível de endividamento</w:t>
            </w:r>
          </w:p>
        </w:tc>
        <w:tc>
          <w:tcPr>
            <w:tcW w:w="3686" w:type="dxa"/>
            <w:tcBorders>
              <w:top w:val="double" w:sz="4" w:space="0" w:color="auto"/>
              <w:left w:val="nil"/>
              <w:bottom w:val="single" w:sz="4" w:space="0" w:color="auto"/>
              <w:right w:val="nil"/>
            </w:tcBorders>
            <w:shd w:val="clear" w:color="auto" w:fill="E7E6E6" w:themeFill="background2"/>
            <w:vAlign w:val="bottom"/>
          </w:tcPr>
          <w:p w14:paraId="543CCFC2" w14:textId="77777777" w:rsidR="00C413F3" w:rsidRPr="00D85EEC" w:rsidRDefault="00C413F3" w:rsidP="009C5227">
            <w:pPr>
              <w:autoSpaceDE w:val="0"/>
              <w:autoSpaceDN w:val="0"/>
              <w:adjustRightInd w:val="0"/>
              <w:spacing w:before="100" w:beforeAutospacing="1" w:after="100" w:afterAutospacing="1" w:line="240" w:lineRule="auto"/>
              <w:ind w:left="60" w:right="60"/>
              <w:rPr>
                <w:rFonts w:cs="Times New Roman"/>
                <w:b/>
                <w:bCs/>
                <w:color w:val="000000"/>
                <w:sz w:val="22"/>
              </w:rPr>
            </w:pPr>
          </w:p>
        </w:tc>
        <w:tc>
          <w:tcPr>
            <w:tcW w:w="1201" w:type="dxa"/>
            <w:tcBorders>
              <w:top w:val="double" w:sz="4" w:space="0" w:color="auto"/>
              <w:left w:val="nil"/>
              <w:bottom w:val="single" w:sz="4" w:space="0" w:color="auto"/>
              <w:right w:val="nil"/>
            </w:tcBorders>
            <w:shd w:val="clear" w:color="auto" w:fill="E7E6E6" w:themeFill="background2"/>
            <w:vAlign w:val="bottom"/>
          </w:tcPr>
          <w:p w14:paraId="3BFB23A9" w14:textId="77777777" w:rsidR="00C413F3" w:rsidRPr="00D85EEC" w:rsidRDefault="00C413F3" w:rsidP="009C5227">
            <w:pPr>
              <w:autoSpaceDE w:val="0"/>
              <w:autoSpaceDN w:val="0"/>
              <w:adjustRightInd w:val="0"/>
              <w:spacing w:before="100" w:beforeAutospacing="1" w:after="100" w:afterAutospacing="1" w:line="240" w:lineRule="auto"/>
              <w:ind w:left="60" w:right="60"/>
              <w:jc w:val="right"/>
              <w:rPr>
                <w:rFonts w:cs="Times New Roman"/>
                <w:b/>
                <w:bCs/>
                <w:color w:val="000000"/>
                <w:sz w:val="22"/>
              </w:rPr>
            </w:pPr>
            <w:r w:rsidRPr="00D85EEC">
              <w:rPr>
                <w:rFonts w:cs="Times New Roman"/>
                <w:b/>
                <w:bCs/>
                <w:color w:val="000000"/>
                <w:sz w:val="22"/>
              </w:rPr>
              <w:t>Estatística</w:t>
            </w:r>
          </w:p>
        </w:tc>
        <w:tc>
          <w:tcPr>
            <w:tcW w:w="1493" w:type="dxa"/>
            <w:gridSpan w:val="2"/>
            <w:tcBorders>
              <w:top w:val="double" w:sz="4" w:space="0" w:color="auto"/>
              <w:left w:val="nil"/>
              <w:bottom w:val="single" w:sz="4" w:space="0" w:color="auto"/>
              <w:right w:val="nil"/>
            </w:tcBorders>
            <w:shd w:val="clear" w:color="auto" w:fill="E7E6E6" w:themeFill="background2"/>
            <w:vAlign w:val="bottom"/>
          </w:tcPr>
          <w:p w14:paraId="2C93F099" w14:textId="77777777" w:rsidR="00C413F3" w:rsidRPr="00D85EEC" w:rsidRDefault="00C413F3" w:rsidP="009C5227">
            <w:pPr>
              <w:autoSpaceDE w:val="0"/>
              <w:autoSpaceDN w:val="0"/>
              <w:adjustRightInd w:val="0"/>
              <w:spacing w:before="100" w:beforeAutospacing="1" w:after="100" w:afterAutospacing="1" w:line="240" w:lineRule="auto"/>
              <w:ind w:left="60" w:right="60"/>
              <w:jc w:val="right"/>
              <w:rPr>
                <w:rFonts w:cs="Times New Roman"/>
                <w:b/>
                <w:bCs/>
                <w:color w:val="000000"/>
                <w:sz w:val="22"/>
              </w:rPr>
            </w:pPr>
            <w:r w:rsidRPr="00D85EEC">
              <w:rPr>
                <w:rFonts w:cs="Times New Roman"/>
                <w:b/>
                <w:bCs/>
                <w:color w:val="000000"/>
                <w:sz w:val="22"/>
              </w:rPr>
              <w:t>Desvio Padrão</w:t>
            </w:r>
          </w:p>
        </w:tc>
      </w:tr>
      <w:tr w:rsidR="00C413F3" w:rsidRPr="00F6269F" w14:paraId="6740EB97" w14:textId="77777777" w:rsidTr="00C413F3">
        <w:trPr>
          <w:gridAfter w:val="1"/>
          <w:wAfter w:w="77" w:type="dxa"/>
          <w:cantSplit/>
          <w:jc w:val="center"/>
        </w:trPr>
        <w:tc>
          <w:tcPr>
            <w:tcW w:w="2268" w:type="dxa"/>
            <w:vMerge w:val="restart"/>
            <w:tcBorders>
              <w:top w:val="single" w:sz="4" w:space="0" w:color="auto"/>
              <w:left w:val="nil"/>
              <w:right w:val="nil"/>
            </w:tcBorders>
            <w:shd w:val="clear" w:color="auto" w:fill="FFFFFF" w:themeFill="background1"/>
          </w:tcPr>
          <w:p w14:paraId="0D994BF2"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r w:rsidRPr="00CB57E5">
              <w:rPr>
                <w:rFonts w:asciiTheme="majorBidi" w:hAnsiTheme="majorBidi" w:cstheme="majorBidi"/>
                <w:color w:val="000000"/>
                <w:sz w:val="22"/>
              </w:rPr>
              <w:t>Municípios menos endividados</w:t>
            </w:r>
          </w:p>
        </w:tc>
        <w:tc>
          <w:tcPr>
            <w:tcW w:w="3686" w:type="dxa"/>
            <w:tcBorders>
              <w:top w:val="single" w:sz="4" w:space="0" w:color="auto"/>
              <w:left w:val="nil"/>
              <w:bottom w:val="nil"/>
              <w:right w:val="nil"/>
            </w:tcBorders>
            <w:shd w:val="clear" w:color="auto" w:fill="FFFFFF" w:themeFill="background1"/>
          </w:tcPr>
          <w:p w14:paraId="4D03423A"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B57E5">
              <w:rPr>
                <w:rFonts w:asciiTheme="majorBidi" w:hAnsiTheme="majorBidi" w:cstheme="majorBidi"/>
                <w:color w:val="000000"/>
                <w:sz w:val="22"/>
              </w:rPr>
              <w:t>N=</w:t>
            </w:r>
            <w:r>
              <w:rPr>
                <w:rFonts w:asciiTheme="majorBidi" w:hAnsiTheme="majorBidi" w:cstheme="majorBidi"/>
                <w:color w:val="000000"/>
                <w:sz w:val="22"/>
              </w:rPr>
              <w:t>1145</w:t>
            </w:r>
          </w:p>
        </w:tc>
        <w:tc>
          <w:tcPr>
            <w:tcW w:w="1201" w:type="dxa"/>
            <w:tcBorders>
              <w:top w:val="single" w:sz="4" w:space="0" w:color="auto"/>
              <w:left w:val="nil"/>
              <w:bottom w:val="nil"/>
              <w:right w:val="nil"/>
            </w:tcBorders>
            <w:shd w:val="clear" w:color="auto" w:fill="FFFFFF" w:themeFill="background1"/>
          </w:tcPr>
          <w:p w14:paraId="11109792"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c>
          <w:tcPr>
            <w:tcW w:w="1416" w:type="dxa"/>
            <w:tcBorders>
              <w:top w:val="single" w:sz="4" w:space="0" w:color="auto"/>
              <w:left w:val="nil"/>
              <w:bottom w:val="nil"/>
              <w:right w:val="nil"/>
            </w:tcBorders>
            <w:shd w:val="clear" w:color="auto" w:fill="FFFFFF" w:themeFill="background1"/>
          </w:tcPr>
          <w:p w14:paraId="4493701D"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F6269F" w14:paraId="210E2D60" w14:textId="77777777" w:rsidTr="00C413F3">
        <w:trPr>
          <w:gridAfter w:val="1"/>
          <w:wAfter w:w="77" w:type="dxa"/>
          <w:cantSplit/>
          <w:jc w:val="center"/>
        </w:trPr>
        <w:tc>
          <w:tcPr>
            <w:tcW w:w="2268" w:type="dxa"/>
            <w:vMerge/>
            <w:tcBorders>
              <w:left w:val="nil"/>
              <w:right w:val="nil"/>
            </w:tcBorders>
            <w:shd w:val="clear" w:color="auto" w:fill="FFFFFF" w:themeFill="background1"/>
            <w:vAlign w:val="bottom"/>
          </w:tcPr>
          <w:p w14:paraId="409ADEA4"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E7E6E6" w:themeFill="background2"/>
          </w:tcPr>
          <w:p w14:paraId="105C0ACE"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Média</w:t>
            </w:r>
          </w:p>
        </w:tc>
        <w:tc>
          <w:tcPr>
            <w:tcW w:w="1201" w:type="dxa"/>
            <w:tcBorders>
              <w:top w:val="nil"/>
              <w:left w:val="nil"/>
              <w:bottom w:val="nil"/>
              <w:right w:val="nil"/>
            </w:tcBorders>
            <w:shd w:val="clear" w:color="auto" w:fill="E7E6E6" w:themeFill="background2"/>
          </w:tcPr>
          <w:p w14:paraId="3617306B"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42,1984</w:t>
            </w:r>
          </w:p>
        </w:tc>
        <w:tc>
          <w:tcPr>
            <w:tcW w:w="1416" w:type="dxa"/>
            <w:tcBorders>
              <w:top w:val="nil"/>
              <w:left w:val="nil"/>
              <w:bottom w:val="nil"/>
              <w:right w:val="nil"/>
            </w:tcBorders>
            <w:shd w:val="clear" w:color="auto" w:fill="E7E6E6" w:themeFill="background2"/>
          </w:tcPr>
          <w:p w14:paraId="32A93976"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0,53205</w:t>
            </w:r>
          </w:p>
        </w:tc>
      </w:tr>
      <w:tr w:rsidR="00C413F3" w:rsidRPr="00F6269F" w14:paraId="2BD2C7B6" w14:textId="77777777" w:rsidTr="00C413F3">
        <w:trPr>
          <w:gridAfter w:val="1"/>
          <w:wAfter w:w="77" w:type="dxa"/>
          <w:cantSplit/>
          <w:jc w:val="center"/>
        </w:trPr>
        <w:tc>
          <w:tcPr>
            <w:tcW w:w="2268" w:type="dxa"/>
            <w:vMerge/>
            <w:tcBorders>
              <w:left w:val="nil"/>
              <w:right w:val="nil"/>
            </w:tcBorders>
            <w:shd w:val="clear" w:color="auto" w:fill="FFFFFF" w:themeFill="background1"/>
            <w:vAlign w:val="bottom"/>
          </w:tcPr>
          <w:p w14:paraId="37EF769F"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FFFFFF" w:themeFill="background1"/>
          </w:tcPr>
          <w:p w14:paraId="78A674D2"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Mediana</w:t>
            </w:r>
          </w:p>
        </w:tc>
        <w:tc>
          <w:tcPr>
            <w:tcW w:w="1201" w:type="dxa"/>
            <w:tcBorders>
              <w:top w:val="nil"/>
              <w:left w:val="nil"/>
              <w:bottom w:val="nil"/>
              <w:right w:val="nil"/>
            </w:tcBorders>
            <w:shd w:val="clear" w:color="auto" w:fill="FFFFFF" w:themeFill="background1"/>
          </w:tcPr>
          <w:p w14:paraId="24DC8BEF"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38,1814</w:t>
            </w:r>
          </w:p>
        </w:tc>
        <w:tc>
          <w:tcPr>
            <w:tcW w:w="1416" w:type="dxa"/>
            <w:tcBorders>
              <w:top w:val="nil"/>
              <w:left w:val="nil"/>
              <w:bottom w:val="nil"/>
              <w:right w:val="nil"/>
            </w:tcBorders>
            <w:shd w:val="clear" w:color="auto" w:fill="FFFFFF" w:themeFill="background1"/>
            <w:vAlign w:val="center"/>
          </w:tcPr>
          <w:p w14:paraId="3BF11C2D"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F6269F" w14:paraId="0AF51E0C" w14:textId="77777777" w:rsidTr="00C413F3">
        <w:trPr>
          <w:gridAfter w:val="1"/>
          <w:wAfter w:w="77" w:type="dxa"/>
          <w:cantSplit/>
          <w:jc w:val="center"/>
        </w:trPr>
        <w:tc>
          <w:tcPr>
            <w:tcW w:w="2268" w:type="dxa"/>
            <w:vMerge/>
            <w:tcBorders>
              <w:left w:val="nil"/>
              <w:right w:val="nil"/>
            </w:tcBorders>
            <w:shd w:val="clear" w:color="auto" w:fill="FFFFFF" w:themeFill="background1"/>
            <w:vAlign w:val="bottom"/>
          </w:tcPr>
          <w:p w14:paraId="50445108"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E7E6E6" w:themeFill="background2"/>
          </w:tcPr>
          <w:p w14:paraId="67E5776C"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Variância</w:t>
            </w:r>
          </w:p>
        </w:tc>
        <w:tc>
          <w:tcPr>
            <w:tcW w:w="1201" w:type="dxa"/>
            <w:tcBorders>
              <w:top w:val="nil"/>
              <w:left w:val="nil"/>
              <w:bottom w:val="nil"/>
              <w:right w:val="nil"/>
            </w:tcBorders>
            <w:shd w:val="clear" w:color="auto" w:fill="E7E6E6" w:themeFill="background2"/>
          </w:tcPr>
          <w:p w14:paraId="69234A11"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324,120</w:t>
            </w:r>
          </w:p>
        </w:tc>
        <w:tc>
          <w:tcPr>
            <w:tcW w:w="1416" w:type="dxa"/>
            <w:tcBorders>
              <w:top w:val="nil"/>
              <w:left w:val="nil"/>
              <w:bottom w:val="nil"/>
              <w:right w:val="nil"/>
            </w:tcBorders>
            <w:shd w:val="clear" w:color="auto" w:fill="E7E6E6" w:themeFill="background2"/>
            <w:vAlign w:val="center"/>
          </w:tcPr>
          <w:p w14:paraId="09DD543B"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F6269F" w14:paraId="538313B4" w14:textId="77777777" w:rsidTr="00C413F3">
        <w:trPr>
          <w:gridAfter w:val="1"/>
          <w:wAfter w:w="77" w:type="dxa"/>
          <w:cantSplit/>
          <w:jc w:val="center"/>
        </w:trPr>
        <w:tc>
          <w:tcPr>
            <w:tcW w:w="2268" w:type="dxa"/>
            <w:vMerge/>
            <w:tcBorders>
              <w:left w:val="nil"/>
              <w:right w:val="nil"/>
            </w:tcBorders>
            <w:shd w:val="clear" w:color="auto" w:fill="FFFFFF" w:themeFill="background1"/>
            <w:vAlign w:val="bottom"/>
          </w:tcPr>
          <w:p w14:paraId="788E7830"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FFFFFF" w:themeFill="background1"/>
          </w:tcPr>
          <w:p w14:paraId="0CA5D4BC"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Erro Padrão</w:t>
            </w:r>
          </w:p>
        </w:tc>
        <w:tc>
          <w:tcPr>
            <w:tcW w:w="1201" w:type="dxa"/>
            <w:tcBorders>
              <w:top w:val="nil"/>
              <w:left w:val="nil"/>
              <w:bottom w:val="nil"/>
              <w:right w:val="nil"/>
            </w:tcBorders>
            <w:shd w:val="clear" w:color="auto" w:fill="FFFFFF" w:themeFill="background1"/>
          </w:tcPr>
          <w:p w14:paraId="50DED72F"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18,00334</w:t>
            </w:r>
          </w:p>
        </w:tc>
        <w:tc>
          <w:tcPr>
            <w:tcW w:w="1416" w:type="dxa"/>
            <w:tcBorders>
              <w:top w:val="nil"/>
              <w:left w:val="nil"/>
              <w:bottom w:val="nil"/>
              <w:right w:val="nil"/>
            </w:tcBorders>
            <w:shd w:val="clear" w:color="auto" w:fill="FFFFFF" w:themeFill="background1"/>
            <w:vAlign w:val="center"/>
          </w:tcPr>
          <w:p w14:paraId="0FF20A55"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F6269F" w14:paraId="1B397BA5" w14:textId="77777777" w:rsidTr="00C413F3">
        <w:trPr>
          <w:gridAfter w:val="1"/>
          <w:wAfter w:w="77" w:type="dxa"/>
          <w:cantSplit/>
          <w:jc w:val="center"/>
        </w:trPr>
        <w:tc>
          <w:tcPr>
            <w:tcW w:w="2268" w:type="dxa"/>
            <w:vMerge/>
            <w:tcBorders>
              <w:left w:val="nil"/>
              <w:right w:val="nil"/>
            </w:tcBorders>
            <w:shd w:val="clear" w:color="auto" w:fill="FFFFFF" w:themeFill="background1"/>
            <w:vAlign w:val="bottom"/>
          </w:tcPr>
          <w:p w14:paraId="6697BC67"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E7E6E6" w:themeFill="background2"/>
          </w:tcPr>
          <w:p w14:paraId="6623975A"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Mínimo</w:t>
            </w:r>
          </w:p>
        </w:tc>
        <w:tc>
          <w:tcPr>
            <w:tcW w:w="1201" w:type="dxa"/>
            <w:tcBorders>
              <w:top w:val="nil"/>
              <w:left w:val="nil"/>
              <w:bottom w:val="nil"/>
              <w:right w:val="nil"/>
            </w:tcBorders>
            <w:shd w:val="clear" w:color="auto" w:fill="E7E6E6" w:themeFill="background2"/>
          </w:tcPr>
          <w:p w14:paraId="7E725306"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0,82</w:t>
            </w:r>
          </w:p>
        </w:tc>
        <w:tc>
          <w:tcPr>
            <w:tcW w:w="1416" w:type="dxa"/>
            <w:tcBorders>
              <w:top w:val="nil"/>
              <w:left w:val="nil"/>
              <w:bottom w:val="nil"/>
              <w:right w:val="nil"/>
            </w:tcBorders>
            <w:shd w:val="clear" w:color="auto" w:fill="E7E6E6" w:themeFill="background2"/>
            <w:vAlign w:val="center"/>
          </w:tcPr>
          <w:p w14:paraId="02E80CA3"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F6269F" w14:paraId="7960E66D" w14:textId="77777777" w:rsidTr="00C413F3">
        <w:trPr>
          <w:gridAfter w:val="1"/>
          <w:wAfter w:w="77" w:type="dxa"/>
          <w:cantSplit/>
          <w:jc w:val="center"/>
        </w:trPr>
        <w:tc>
          <w:tcPr>
            <w:tcW w:w="2268" w:type="dxa"/>
            <w:vMerge/>
            <w:tcBorders>
              <w:left w:val="nil"/>
              <w:right w:val="nil"/>
            </w:tcBorders>
            <w:shd w:val="clear" w:color="auto" w:fill="FFFFFF" w:themeFill="background1"/>
            <w:vAlign w:val="bottom"/>
          </w:tcPr>
          <w:p w14:paraId="074925CA"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FFFFFF" w:themeFill="background1"/>
          </w:tcPr>
          <w:p w14:paraId="1C3B6D62"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Máximo</w:t>
            </w:r>
          </w:p>
        </w:tc>
        <w:tc>
          <w:tcPr>
            <w:tcW w:w="1201" w:type="dxa"/>
            <w:tcBorders>
              <w:top w:val="nil"/>
              <w:left w:val="nil"/>
              <w:bottom w:val="nil"/>
              <w:right w:val="nil"/>
            </w:tcBorders>
            <w:shd w:val="clear" w:color="auto" w:fill="FFFFFF" w:themeFill="background1"/>
          </w:tcPr>
          <w:p w14:paraId="2EE00884"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98,21</w:t>
            </w:r>
          </w:p>
        </w:tc>
        <w:tc>
          <w:tcPr>
            <w:tcW w:w="1416" w:type="dxa"/>
            <w:tcBorders>
              <w:top w:val="nil"/>
              <w:left w:val="nil"/>
              <w:bottom w:val="nil"/>
              <w:right w:val="nil"/>
            </w:tcBorders>
            <w:shd w:val="clear" w:color="auto" w:fill="FFFFFF" w:themeFill="background1"/>
            <w:vAlign w:val="center"/>
          </w:tcPr>
          <w:p w14:paraId="63B38778"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F6269F" w14:paraId="41DCC8B0" w14:textId="77777777" w:rsidTr="00C413F3">
        <w:trPr>
          <w:gridAfter w:val="1"/>
          <w:wAfter w:w="77" w:type="dxa"/>
          <w:cantSplit/>
          <w:jc w:val="center"/>
        </w:trPr>
        <w:tc>
          <w:tcPr>
            <w:tcW w:w="2268" w:type="dxa"/>
            <w:vMerge/>
            <w:tcBorders>
              <w:left w:val="nil"/>
              <w:right w:val="nil"/>
            </w:tcBorders>
            <w:shd w:val="clear" w:color="auto" w:fill="FFFFFF" w:themeFill="background1"/>
            <w:vAlign w:val="bottom"/>
          </w:tcPr>
          <w:p w14:paraId="1574C9A7"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E7E6E6" w:themeFill="background2"/>
          </w:tcPr>
          <w:p w14:paraId="3C68CE6E"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Amplitude</w:t>
            </w:r>
          </w:p>
        </w:tc>
        <w:tc>
          <w:tcPr>
            <w:tcW w:w="1201" w:type="dxa"/>
            <w:tcBorders>
              <w:top w:val="nil"/>
              <w:left w:val="nil"/>
              <w:bottom w:val="nil"/>
              <w:right w:val="nil"/>
            </w:tcBorders>
            <w:shd w:val="clear" w:color="auto" w:fill="E7E6E6" w:themeFill="background2"/>
          </w:tcPr>
          <w:p w14:paraId="1BC425BC"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97,39</w:t>
            </w:r>
          </w:p>
        </w:tc>
        <w:tc>
          <w:tcPr>
            <w:tcW w:w="1416" w:type="dxa"/>
            <w:tcBorders>
              <w:top w:val="nil"/>
              <w:left w:val="nil"/>
              <w:bottom w:val="nil"/>
              <w:right w:val="nil"/>
            </w:tcBorders>
            <w:shd w:val="clear" w:color="auto" w:fill="E7E6E6" w:themeFill="background2"/>
            <w:vAlign w:val="center"/>
          </w:tcPr>
          <w:p w14:paraId="4EE8539F"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F6269F" w14:paraId="26165174" w14:textId="77777777" w:rsidTr="00C413F3">
        <w:trPr>
          <w:gridAfter w:val="1"/>
          <w:wAfter w:w="77" w:type="dxa"/>
          <w:cantSplit/>
          <w:jc w:val="center"/>
        </w:trPr>
        <w:tc>
          <w:tcPr>
            <w:tcW w:w="2268" w:type="dxa"/>
            <w:vMerge/>
            <w:tcBorders>
              <w:left w:val="nil"/>
              <w:right w:val="nil"/>
            </w:tcBorders>
            <w:shd w:val="clear" w:color="auto" w:fill="FFFFFF" w:themeFill="background1"/>
            <w:vAlign w:val="bottom"/>
          </w:tcPr>
          <w:p w14:paraId="4E0BDE2E"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FFFFFF" w:themeFill="background1"/>
          </w:tcPr>
          <w:p w14:paraId="3857672C"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Amplitude interquartil</w:t>
            </w:r>
          </w:p>
        </w:tc>
        <w:tc>
          <w:tcPr>
            <w:tcW w:w="1201" w:type="dxa"/>
            <w:tcBorders>
              <w:top w:val="nil"/>
              <w:left w:val="nil"/>
              <w:bottom w:val="nil"/>
              <w:right w:val="nil"/>
            </w:tcBorders>
            <w:shd w:val="clear" w:color="auto" w:fill="FFFFFF" w:themeFill="background1"/>
          </w:tcPr>
          <w:p w14:paraId="0C1DE25F"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22,74</w:t>
            </w:r>
          </w:p>
        </w:tc>
        <w:tc>
          <w:tcPr>
            <w:tcW w:w="1416" w:type="dxa"/>
            <w:tcBorders>
              <w:top w:val="nil"/>
              <w:left w:val="nil"/>
              <w:bottom w:val="nil"/>
              <w:right w:val="nil"/>
            </w:tcBorders>
            <w:shd w:val="clear" w:color="auto" w:fill="FFFFFF" w:themeFill="background1"/>
            <w:vAlign w:val="center"/>
          </w:tcPr>
          <w:p w14:paraId="718212C0"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F6269F" w14:paraId="7D313B64" w14:textId="77777777" w:rsidTr="00C413F3">
        <w:trPr>
          <w:gridAfter w:val="1"/>
          <w:wAfter w:w="77" w:type="dxa"/>
          <w:cantSplit/>
          <w:jc w:val="center"/>
        </w:trPr>
        <w:tc>
          <w:tcPr>
            <w:tcW w:w="2268" w:type="dxa"/>
            <w:vMerge/>
            <w:tcBorders>
              <w:left w:val="nil"/>
              <w:right w:val="nil"/>
            </w:tcBorders>
            <w:shd w:val="clear" w:color="auto" w:fill="FFFFFF" w:themeFill="background1"/>
            <w:vAlign w:val="bottom"/>
          </w:tcPr>
          <w:p w14:paraId="413F92CD"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E7E6E6" w:themeFill="background2"/>
          </w:tcPr>
          <w:p w14:paraId="3EEF9D23"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Assimetria</w:t>
            </w:r>
          </w:p>
        </w:tc>
        <w:tc>
          <w:tcPr>
            <w:tcW w:w="1201" w:type="dxa"/>
            <w:tcBorders>
              <w:top w:val="nil"/>
              <w:left w:val="nil"/>
              <w:bottom w:val="nil"/>
              <w:right w:val="nil"/>
            </w:tcBorders>
            <w:shd w:val="clear" w:color="auto" w:fill="E7E6E6" w:themeFill="background2"/>
          </w:tcPr>
          <w:p w14:paraId="096C1951"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0,770</w:t>
            </w:r>
          </w:p>
        </w:tc>
        <w:tc>
          <w:tcPr>
            <w:tcW w:w="1416" w:type="dxa"/>
            <w:tcBorders>
              <w:top w:val="nil"/>
              <w:left w:val="nil"/>
              <w:bottom w:val="nil"/>
              <w:right w:val="nil"/>
            </w:tcBorders>
            <w:shd w:val="clear" w:color="auto" w:fill="E7E6E6" w:themeFill="background2"/>
          </w:tcPr>
          <w:p w14:paraId="1313E47D"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0,072</w:t>
            </w:r>
          </w:p>
        </w:tc>
      </w:tr>
      <w:tr w:rsidR="00C413F3" w:rsidRPr="00F6269F" w14:paraId="490612EB" w14:textId="77777777" w:rsidTr="00C413F3">
        <w:trPr>
          <w:gridAfter w:val="1"/>
          <w:wAfter w:w="77" w:type="dxa"/>
          <w:cantSplit/>
          <w:jc w:val="center"/>
        </w:trPr>
        <w:tc>
          <w:tcPr>
            <w:tcW w:w="2268" w:type="dxa"/>
            <w:vMerge/>
            <w:tcBorders>
              <w:left w:val="nil"/>
              <w:bottom w:val="single" w:sz="4" w:space="0" w:color="auto"/>
              <w:right w:val="nil"/>
            </w:tcBorders>
            <w:shd w:val="clear" w:color="auto" w:fill="FFFFFF" w:themeFill="background1"/>
            <w:vAlign w:val="bottom"/>
          </w:tcPr>
          <w:p w14:paraId="64C05D11"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single" w:sz="4" w:space="0" w:color="auto"/>
              <w:right w:val="nil"/>
            </w:tcBorders>
            <w:shd w:val="clear" w:color="auto" w:fill="FFFFFF" w:themeFill="background1"/>
          </w:tcPr>
          <w:p w14:paraId="42BF4B30"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proofErr w:type="spellStart"/>
            <w:r w:rsidRPr="00B85D45">
              <w:rPr>
                <w:rFonts w:asciiTheme="majorBidi" w:hAnsiTheme="majorBidi" w:cstheme="majorBidi"/>
                <w:color w:val="000000"/>
                <w:sz w:val="22"/>
              </w:rPr>
              <w:t>Curtose</w:t>
            </w:r>
            <w:proofErr w:type="spellEnd"/>
          </w:p>
        </w:tc>
        <w:tc>
          <w:tcPr>
            <w:tcW w:w="1201" w:type="dxa"/>
            <w:tcBorders>
              <w:top w:val="nil"/>
              <w:left w:val="nil"/>
              <w:bottom w:val="single" w:sz="4" w:space="0" w:color="auto"/>
              <w:right w:val="nil"/>
            </w:tcBorders>
            <w:shd w:val="clear" w:color="auto" w:fill="FFFFFF" w:themeFill="background1"/>
          </w:tcPr>
          <w:p w14:paraId="3FB44D80"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0,357</w:t>
            </w:r>
          </w:p>
        </w:tc>
        <w:tc>
          <w:tcPr>
            <w:tcW w:w="1416" w:type="dxa"/>
            <w:tcBorders>
              <w:top w:val="nil"/>
              <w:left w:val="nil"/>
              <w:bottom w:val="single" w:sz="4" w:space="0" w:color="auto"/>
              <w:right w:val="nil"/>
            </w:tcBorders>
            <w:shd w:val="clear" w:color="auto" w:fill="FFFFFF" w:themeFill="background1"/>
          </w:tcPr>
          <w:p w14:paraId="030DF1E8"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0,144</w:t>
            </w:r>
          </w:p>
        </w:tc>
      </w:tr>
      <w:tr w:rsidR="00C413F3" w:rsidRPr="00355D63" w14:paraId="494C683F" w14:textId="77777777" w:rsidTr="00C413F3">
        <w:trPr>
          <w:gridAfter w:val="1"/>
          <w:wAfter w:w="77" w:type="dxa"/>
          <w:cantSplit/>
          <w:jc w:val="center"/>
        </w:trPr>
        <w:tc>
          <w:tcPr>
            <w:tcW w:w="2268" w:type="dxa"/>
            <w:vMerge w:val="restart"/>
            <w:tcBorders>
              <w:left w:val="nil"/>
              <w:right w:val="nil"/>
            </w:tcBorders>
            <w:shd w:val="clear" w:color="auto" w:fill="FFFFFF" w:themeFill="background1"/>
          </w:tcPr>
          <w:p w14:paraId="09109FB6"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r w:rsidRPr="00CB57E5">
              <w:rPr>
                <w:rFonts w:asciiTheme="majorBidi" w:hAnsiTheme="majorBidi" w:cstheme="majorBidi"/>
                <w:color w:val="000000"/>
                <w:sz w:val="22"/>
              </w:rPr>
              <w:t>Municípios mais endividados</w:t>
            </w:r>
          </w:p>
        </w:tc>
        <w:tc>
          <w:tcPr>
            <w:tcW w:w="3686" w:type="dxa"/>
            <w:tcBorders>
              <w:top w:val="nil"/>
              <w:left w:val="nil"/>
              <w:bottom w:val="nil"/>
              <w:right w:val="nil"/>
            </w:tcBorders>
            <w:shd w:val="clear" w:color="auto" w:fill="FFFFFF" w:themeFill="background1"/>
          </w:tcPr>
          <w:p w14:paraId="5DCBC788"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B57E5">
              <w:rPr>
                <w:rFonts w:asciiTheme="majorBidi" w:hAnsiTheme="majorBidi" w:cstheme="majorBidi"/>
                <w:color w:val="000000"/>
                <w:sz w:val="22"/>
              </w:rPr>
              <w:t>N=</w:t>
            </w:r>
            <w:r>
              <w:rPr>
                <w:rFonts w:asciiTheme="majorBidi" w:hAnsiTheme="majorBidi" w:cstheme="majorBidi"/>
                <w:color w:val="000000"/>
                <w:sz w:val="22"/>
              </w:rPr>
              <w:t>395</w:t>
            </w:r>
          </w:p>
        </w:tc>
        <w:tc>
          <w:tcPr>
            <w:tcW w:w="1201" w:type="dxa"/>
            <w:tcBorders>
              <w:top w:val="nil"/>
              <w:left w:val="nil"/>
              <w:bottom w:val="nil"/>
              <w:right w:val="nil"/>
            </w:tcBorders>
            <w:shd w:val="clear" w:color="auto" w:fill="FFFFFF" w:themeFill="background1"/>
          </w:tcPr>
          <w:p w14:paraId="6DB29202"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c>
          <w:tcPr>
            <w:tcW w:w="1416" w:type="dxa"/>
            <w:tcBorders>
              <w:top w:val="nil"/>
              <w:left w:val="nil"/>
              <w:bottom w:val="nil"/>
              <w:right w:val="nil"/>
            </w:tcBorders>
            <w:shd w:val="clear" w:color="auto" w:fill="FFFFFF" w:themeFill="background1"/>
          </w:tcPr>
          <w:p w14:paraId="76983C40"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355D63" w14:paraId="7F26C8C6" w14:textId="77777777" w:rsidTr="00C413F3">
        <w:trPr>
          <w:gridAfter w:val="1"/>
          <w:wAfter w:w="77" w:type="dxa"/>
          <w:cantSplit/>
          <w:jc w:val="center"/>
        </w:trPr>
        <w:tc>
          <w:tcPr>
            <w:tcW w:w="2268" w:type="dxa"/>
            <w:vMerge/>
            <w:tcBorders>
              <w:left w:val="nil"/>
              <w:right w:val="nil"/>
            </w:tcBorders>
            <w:shd w:val="clear" w:color="auto" w:fill="FFFFFF" w:themeFill="background1"/>
            <w:vAlign w:val="bottom"/>
          </w:tcPr>
          <w:p w14:paraId="1348229D"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E7E6E6" w:themeFill="background2"/>
          </w:tcPr>
          <w:p w14:paraId="51649FD3"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Média</w:t>
            </w:r>
          </w:p>
        </w:tc>
        <w:tc>
          <w:tcPr>
            <w:tcW w:w="1201" w:type="dxa"/>
            <w:tcBorders>
              <w:top w:val="nil"/>
              <w:left w:val="nil"/>
              <w:bottom w:val="nil"/>
              <w:right w:val="nil"/>
            </w:tcBorders>
            <w:shd w:val="clear" w:color="auto" w:fill="E7E6E6" w:themeFill="background2"/>
          </w:tcPr>
          <w:p w14:paraId="1C5443BC"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44,8374</w:t>
            </w:r>
          </w:p>
        </w:tc>
        <w:tc>
          <w:tcPr>
            <w:tcW w:w="1416" w:type="dxa"/>
            <w:tcBorders>
              <w:top w:val="nil"/>
              <w:left w:val="nil"/>
              <w:bottom w:val="nil"/>
              <w:right w:val="nil"/>
            </w:tcBorders>
            <w:shd w:val="clear" w:color="auto" w:fill="E7E6E6" w:themeFill="background2"/>
          </w:tcPr>
          <w:p w14:paraId="67B75438"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0,82064</w:t>
            </w:r>
          </w:p>
        </w:tc>
      </w:tr>
      <w:tr w:rsidR="00C413F3" w:rsidRPr="00355D63" w14:paraId="5F8F9E81" w14:textId="77777777" w:rsidTr="00C413F3">
        <w:trPr>
          <w:gridAfter w:val="1"/>
          <w:wAfter w:w="77" w:type="dxa"/>
          <w:cantSplit/>
          <w:jc w:val="center"/>
        </w:trPr>
        <w:tc>
          <w:tcPr>
            <w:tcW w:w="2268" w:type="dxa"/>
            <w:vMerge/>
            <w:tcBorders>
              <w:left w:val="nil"/>
              <w:right w:val="nil"/>
            </w:tcBorders>
            <w:shd w:val="clear" w:color="auto" w:fill="FFFFFF" w:themeFill="background1"/>
            <w:vAlign w:val="bottom"/>
          </w:tcPr>
          <w:p w14:paraId="0DF14B5E"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FFFFFF" w:themeFill="background1"/>
          </w:tcPr>
          <w:p w14:paraId="7CE51D4D"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Mediana</w:t>
            </w:r>
          </w:p>
        </w:tc>
        <w:tc>
          <w:tcPr>
            <w:tcW w:w="1201" w:type="dxa"/>
            <w:tcBorders>
              <w:top w:val="nil"/>
              <w:left w:val="nil"/>
              <w:bottom w:val="nil"/>
              <w:right w:val="nil"/>
            </w:tcBorders>
            <w:shd w:val="clear" w:color="auto" w:fill="FFFFFF" w:themeFill="background1"/>
          </w:tcPr>
          <w:p w14:paraId="7CA21019"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41,3407</w:t>
            </w:r>
          </w:p>
        </w:tc>
        <w:tc>
          <w:tcPr>
            <w:tcW w:w="1416" w:type="dxa"/>
            <w:tcBorders>
              <w:top w:val="nil"/>
              <w:left w:val="nil"/>
              <w:bottom w:val="nil"/>
              <w:right w:val="nil"/>
            </w:tcBorders>
            <w:shd w:val="clear" w:color="auto" w:fill="FFFFFF" w:themeFill="background1"/>
            <w:vAlign w:val="center"/>
          </w:tcPr>
          <w:p w14:paraId="70509C78"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355D63" w14:paraId="22548BD6" w14:textId="77777777" w:rsidTr="00C413F3">
        <w:trPr>
          <w:gridAfter w:val="1"/>
          <w:wAfter w:w="77" w:type="dxa"/>
          <w:cantSplit/>
          <w:jc w:val="center"/>
        </w:trPr>
        <w:tc>
          <w:tcPr>
            <w:tcW w:w="2268" w:type="dxa"/>
            <w:vMerge/>
            <w:tcBorders>
              <w:left w:val="nil"/>
              <w:right w:val="nil"/>
            </w:tcBorders>
            <w:shd w:val="clear" w:color="auto" w:fill="FFFFFF" w:themeFill="background1"/>
            <w:vAlign w:val="bottom"/>
          </w:tcPr>
          <w:p w14:paraId="23C09EE5"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E7E6E6" w:themeFill="background2"/>
          </w:tcPr>
          <w:p w14:paraId="2F9C7D7A"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Variância</w:t>
            </w:r>
          </w:p>
        </w:tc>
        <w:tc>
          <w:tcPr>
            <w:tcW w:w="1201" w:type="dxa"/>
            <w:tcBorders>
              <w:top w:val="nil"/>
              <w:left w:val="nil"/>
              <w:bottom w:val="nil"/>
              <w:right w:val="nil"/>
            </w:tcBorders>
            <w:shd w:val="clear" w:color="auto" w:fill="E7E6E6" w:themeFill="background2"/>
          </w:tcPr>
          <w:p w14:paraId="21867356"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266,013</w:t>
            </w:r>
          </w:p>
        </w:tc>
        <w:tc>
          <w:tcPr>
            <w:tcW w:w="1416" w:type="dxa"/>
            <w:tcBorders>
              <w:top w:val="nil"/>
              <w:left w:val="nil"/>
              <w:bottom w:val="nil"/>
              <w:right w:val="nil"/>
            </w:tcBorders>
            <w:shd w:val="clear" w:color="auto" w:fill="E7E6E6" w:themeFill="background2"/>
            <w:vAlign w:val="center"/>
          </w:tcPr>
          <w:p w14:paraId="3E035EB1"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355D63" w14:paraId="06F2713A" w14:textId="77777777" w:rsidTr="00C413F3">
        <w:trPr>
          <w:gridAfter w:val="1"/>
          <w:wAfter w:w="77" w:type="dxa"/>
          <w:cantSplit/>
          <w:jc w:val="center"/>
        </w:trPr>
        <w:tc>
          <w:tcPr>
            <w:tcW w:w="2268" w:type="dxa"/>
            <w:vMerge/>
            <w:tcBorders>
              <w:left w:val="nil"/>
              <w:right w:val="nil"/>
            </w:tcBorders>
            <w:shd w:val="clear" w:color="auto" w:fill="FFFFFF" w:themeFill="background1"/>
            <w:vAlign w:val="bottom"/>
          </w:tcPr>
          <w:p w14:paraId="20855AEC"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FFFFFF" w:themeFill="background1"/>
          </w:tcPr>
          <w:p w14:paraId="36FDE2D5"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Erro Padrão</w:t>
            </w:r>
          </w:p>
        </w:tc>
        <w:tc>
          <w:tcPr>
            <w:tcW w:w="1201" w:type="dxa"/>
            <w:tcBorders>
              <w:top w:val="nil"/>
              <w:left w:val="nil"/>
              <w:bottom w:val="nil"/>
              <w:right w:val="nil"/>
            </w:tcBorders>
            <w:shd w:val="clear" w:color="auto" w:fill="FFFFFF" w:themeFill="background1"/>
          </w:tcPr>
          <w:p w14:paraId="44F3C9B7"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16,30989</w:t>
            </w:r>
          </w:p>
        </w:tc>
        <w:tc>
          <w:tcPr>
            <w:tcW w:w="1416" w:type="dxa"/>
            <w:tcBorders>
              <w:top w:val="nil"/>
              <w:left w:val="nil"/>
              <w:bottom w:val="nil"/>
              <w:right w:val="nil"/>
            </w:tcBorders>
            <w:shd w:val="clear" w:color="auto" w:fill="FFFFFF" w:themeFill="background1"/>
            <w:vAlign w:val="center"/>
          </w:tcPr>
          <w:p w14:paraId="578E3E22"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355D63" w14:paraId="3140E812" w14:textId="77777777" w:rsidTr="00C413F3">
        <w:trPr>
          <w:gridAfter w:val="1"/>
          <w:wAfter w:w="77" w:type="dxa"/>
          <w:cantSplit/>
          <w:jc w:val="center"/>
        </w:trPr>
        <w:tc>
          <w:tcPr>
            <w:tcW w:w="2268" w:type="dxa"/>
            <w:vMerge/>
            <w:tcBorders>
              <w:left w:val="nil"/>
              <w:right w:val="nil"/>
            </w:tcBorders>
            <w:shd w:val="clear" w:color="auto" w:fill="FFFFFF" w:themeFill="background1"/>
            <w:vAlign w:val="bottom"/>
          </w:tcPr>
          <w:p w14:paraId="1DEE6D81"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E7E6E6" w:themeFill="background2"/>
          </w:tcPr>
          <w:p w14:paraId="5EEBA083"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Mínimo</w:t>
            </w:r>
          </w:p>
        </w:tc>
        <w:tc>
          <w:tcPr>
            <w:tcW w:w="1201" w:type="dxa"/>
            <w:tcBorders>
              <w:top w:val="nil"/>
              <w:left w:val="nil"/>
              <w:bottom w:val="nil"/>
              <w:right w:val="nil"/>
            </w:tcBorders>
            <w:shd w:val="clear" w:color="auto" w:fill="E7E6E6" w:themeFill="background2"/>
          </w:tcPr>
          <w:p w14:paraId="1079B9B4"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7,00</w:t>
            </w:r>
          </w:p>
        </w:tc>
        <w:tc>
          <w:tcPr>
            <w:tcW w:w="1416" w:type="dxa"/>
            <w:tcBorders>
              <w:top w:val="nil"/>
              <w:left w:val="nil"/>
              <w:bottom w:val="nil"/>
              <w:right w:val="nil"/>
            </w:tcBorders>
            <w:shd w:val="clear" w:color="auto" w:fill="E7E6E6" w:themeFill="background2"/>
            <w:vAlign w:val="center"/>
          </w:tcPr>
          <w:p w14:paraId="28D5E863"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355D63" w14:paraId="04A3841C" w14:textId="77777777" w:rsidTr="00C413F3">
        <w:trPr>
          <w:gridAfter w:val="1"/>
          <w:wAfter w:w="77" w:type="dxa"/>
          <w:cantSplit/>
          <w:jc w:val="center"/>
        </w:trPr>
        <w:tc>
          <w:tcPr>
            <w:tcW w:w="2268" w:type="dxa"/>
            <w:vMerge/>
            <w:tcBorders>
              <w:left w:val="nil"/>
              <w:right w:val="nil"/>
            </w:tcBorders>
            <w:shd w:val="clear" w:color="auto" w:fill="FFFFFF" w:themeFill="background1"/>
            <w:vAlign w:val="bottom"/>
          </w:tcPr>
          <w:p w14:paraId="2213C6AB"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FFFFFF" w:themeFill="background1"/>
          </w:tcPr>
          <w:p w14:paraId="6BB95693"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Máximo</w:t>
            </w:r>
          </w:p>
        </w:tc>
        <w:tc>
          <w:tcPr>
            <w:tcW w:w="1201" w:type="dxa"/>
            <w:tcBorders>
              <w:top w:val="nil"/>
              <w:left w:val="nil"/>
              <w:bottom w:val="nil"/>
              <w:right w:val="nil"/>
            </w:tcBorders>
            <w:shd w:val="clear" w:color="auto" w:fill="FFFFFF" w:themeFill="background1"/>
          </w:tcPr>
          <w:p w14:paraId="403B380B"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100,00</w:t>
            </w:r>
          </w:p>
        </w:tc>
        <w:tc>
          <w:tcPr>
            <w:tcW w:w="1416" w:type="dxa"/>
            <w:tcBorders>
              <w:top w:val="nil"/>
              <w:left w:val="nil"/>
              <w:bottom w:val="nil"/>
              <w:right w:val="nil"/>
            </w:tcBorders>
            <w:shd w:val="clear" w:color="auto" w:fill="FFFFFF" w:themeFill="background1"/>
            <w:vAlign w:val="center"/>
          </w:tcPr>
          <w:p w14:paraId="3AE1D48A"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355D63" w14:paraId="6DDBF558" w14:textId="77777777" w:rsidTr="00C413F3">
        <w:trPr>
          <w:gridAfter w:val="1"/>
          <w:wAfter w:w="77" w:type="dxa"/>
          <w:cantSplit/>
          <w:jc w:val="center"/>
        </w:trPr>
        <w:tc>
          <w:tcPr>
            <w:tcW w:w="2268" w:type="dxa"/>
            <w:vMerge/>
            <w:tcBorders>
              <w:left w:val="nil"/>
              <w:right w:val="nil"/>
            </w:tcBorders>
            <w:shd w:val="clear" w:color="auto" w:fill="FFFFFF" w:themeFill="background1"/>
            <w:vAlign w:val="bottom"/>
          </w:tcPr>
          <w:p w14:paraId="100FCEB6"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E7E6E6" w:themeFill="background2"/>
          </w:tcPr>
          <w:p w14:paraId="4979D9DC"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Amplitude</w:t>
            </w:r>
          </w:p>
        </w:tc>
        <w:tc>
          <w:tcPr>
            <w:tcW w:w="1201" w:type="dxa"/>
            <w:tcBorders>
              <w:top w:val="nil"/>
              <w:left w:val="nil"/>
              <w:bottom w:val="nil"/>
              <w:right w:val="nil"/>
            </w:tcBorders>
            <w:shd w:val="clear" w:color="auto" w:fill="E7E6E6" w:themeFill="background2"/>
          </w:tcPr>
          <w:p w14:paraId="62A79A2C"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93,00</w:t>
            </w:r>
          </w:p>
        </w:tc>
        <w:tc>
          <w:tcPr>
            <w:tcW w:w="1416" w:type="dxa"/>
            <w:tcBorders>
              <w:top w:val="nil"/>
              <w:left w:val="nil"/>
              <w:bottom w:val="nil"/>
              <w:right w:val="nil"/>
            </w:tcBorders>
            <w:shd w:val="clear" w:color="auto" w:fill="E7E6E6" w:themeFill="background2"/>
            <w:vAlign w:val="center"/>
          </w:tcPr>
          <w:p w14:paraId="52D26E3D"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355D63" w14:paraId="085D8D53" w14:textId="77777777" w:rsidTr="00C413F3">
        <w:trPr>
          <w:gridAfter w:val="1"/>
          <w:wAfter w:w="77" w:type="dxa"/>
          <w:cantSplit/>
          <w:jc w:val="center"/>
        </w:trPr>
        <w:tc>
          <w:tcPr>
            <w:tcW w:w="2268" w:type="dxa"/>
            <w:vMerge/>
            <w:tcBorders>
              <w:left w:val="nil"/>
              <w:right w:val="nil"/>
            </w:tcBorders>
            <w:shd w:val="clear" w:color="auto" w:fill="FFFFFF" w:themeFill="background1"/>
            <w:vAlign w:val="bottom"/>
          </w:tcPr>
          <w:p w14:paraId="2A603358"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FFFFFF" w:themeFill="background1"/>
          </w:tcPr>
          <w:p w14:paraId="479E92E8"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Amplitude interquartil</w:t>
            </w:r>
          </w:p>
        </w:tc>
        <w:tc>
          <w:tcPr>
            <w:tcW w:w="1201" w:type="dxa"/>
            <w:tcBorders>
              <w:top w:val="nil"/>
              <w:left w:val="nil"/>
              <w:bottom w:val="nil"/>
              <w:right w:val="nil"/>
            </w:tcBorders>
            <w:shd w:val="clear" w:color="auto" w:fill="FFFFFF" w:themeFill="background1"/>
          </w:tcPr>
          <w:p w14:paraId="2976A340"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19,51</w:t>
            </w:r>
          </w:p>
        </w:tc>
        <w:tc>
          <w:tcPr>
            <w:tcW w:w="1416" w:type="dxa"/>
            <w:tcBorders>
              <w:top w:val="nil"/>
              <w:left w:val="nil"/>
              <w:bottom w:val="nil"/>
              <w:right w:val="nil"/>
            </w:tcBorders>
            <w:shd w:val="clear" w:color="auto" w:fill="FFFFFF" w:themeFill="background1"/>
            <w:vAlign w:val="center"/>
          </w:tcPr>
          <w:p w14:paraId="4761A757"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355D63" w14:paraId="5612A0F2" w14:textId="77777777" w:rsidTr="00C413F3">
        <w:trPr>
          <w:gridAfter w:val="1"/>
          <w:wAfter w:w="77" w:type="dxa"/>
          <w:cantSplit/>
          <w:jc w:val="center"/>
        </w:trPr>
        <w:tc>
          <w:tcPr>
            <w:tcW w:w="2268" w:type="dxa"/>
            <w:vMerge/>
            <w:tcBorders>
              <w:left w:val="nil"/>
              <w:right w:val="nil"/>
            </w:tcBorders>
            <w:shd w:val="clear" w:color="auto" w:fill="FFFFFF" w:themeFill="background1"/>
            <w:vAlign w:val="bottom"/>
          </w:tcPr>
          <w:p w14:paraId="08035F08"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E7E6E6" w:themeFill="background2"/>
          </w:tcPr>
          <w:p w14:paraId="04615A07"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Assimetria</w:t>
            </w:r>
          </w:p>
        </w:tc>
        <w:tc>
          <w:tcPr>
            <w:tcW w:w="1201" w:type="dxa"/>
            <w:tcBorders>
              <w:top w:val="nil"/>
              <w:left w:val="nil"/>
              <w:bottom w:val="nil"/>
              <w:right w:val="nil"/>
            </w:tcBorders>
            <w:shd w:val="clear" w:color="auto" w:fill="E7E6E6" w:themeFill="background2"/>
          </w:tcPr>
          <w:p w14:paraId="25C760CA"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0,744</w:t>
            </w:r>
          </w:p>
        </w:tc>
        <w:tc>
          <w:tcPr>
            <w:tcW w:w="1416" w:type="dxa"/>
            <w:tcBorders>
              <w:top w:val="nil"/>
              <w:left w:val="nil"/>
              <w:bottom w:val="nil"/>
              <w:right w:val="nil"/>
            </w:tcBorders>
            <w:shd w:val="clear" w:color="auto" w:fill="E7E6E6" w:themeFill="background2"/>
          </w:tcPr>
          <w:p w14:paraId="6CD8D93B"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0,123</w:t>
            </w:r>
          </w:p>
        </w:tc>
      </w:tr>
      <w:tr w:rsidR="00C413F3" w:rsidRPr="00355D63" w14:paraId="658A6DD1" w14:textId="77777777" w:rsidTr="00C413F3">
        <w:trPr>
          <w:gridAfter w:val="1"/>
          <w:wAfter w:w="77" w:type="dxa"/>
          <w:cantSplit/>
          <w:jc w:val="center"/>
        </w:trPr>
        <w:tc>
          <w:tcPr>
            <w:tcW w:w="2268" w:type="dxa"/>
            <w:vMerge/>
            <w:tcBorders>
              <w:left w:val="nil"/>
              <w:bottom w:val="double" w:sz="4" w:space="0" w:color="auto"/>
              <w:right w:val="nil"/>
            </w:tcBorders>
            <w:shd w:val="clear" w:color="auto" w:fill="FFFFFF" w:themeFill="background1"/>
            <w:vAlign w:val="bottom"/>
          </w:tcPr>
          <w:p w14:paraId="23B54F23"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double" w:sz="4" w:space="0" w:color="auto"/>
              <w:right w:val="nil"/>
            </w:tcBorders>
            <w:shd w:val="clear" w:color="auto" w:fill="FFFFFF" w:themeFill="background1"/>
          </w:tcPr>
          <w:p w14:paraId="7DA9C8C7"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proofErr w:type="spellStart"/>
            <w:r w:rsidRPr="00B85D45">
              <w:rPr>
                <w:rFonts w:asciiTheme="majorBidi" w:hAnsiTheme="majorBidi" w:cstheme="majorBidi"/>
                <w:color w:val="000000"/>
                <w:sz w:val="22"/>
              </w:rPr>
              <w:t>Curtose</w:t>
            </w:r>
            <w:proofErr w:type="spellEnd"/>
          </w:p>
        </w:tc>
        <w:tc>
          <w:tcPr>
            <w:tcW w:w="1201" w:type="dxa"/>
            <w:tcBorders>
              <w:top w:val="nil"/>
              <w:left w:val="nil"/>
              <w:bottom w:val="double" w:sz="4" w:space="0" w:color="auto"/>
              <w:right w:val="nil"/>
            </w:tcBorders>
            <w:shd w:val="clear" w:color="auto" w:fill="FFFFFF" w:themeFill="background1"/>
          </w:tcPr>
          <w:p w14:paraId="75887D0A"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0,463</w:t>
            </w:r>
          </w:p>
        </w:tc>
        <w:tc>
          <w:tcPr>
            <w:tcW w:w="1416" w:type="dxa"/>
            <w:tcBorders>
              <w:top w:val="nil"/>
              <w:left w:val="nil"/>
              <w:bottom w:val="double" w:sz="4" w:space="0" w:color="auto"/>
              <w:right w:val="nil"/>
            </w:tcBorders>
            <w:shd w:val="clear" w:color="auto" w:fill="FFFFFF" w:themeFill="background1"/>
          </w:tcPr>
          <w:p w14:paraId="1031E77D"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B85D45">
              <w:rPr>
                <w:rFonts w:asciiTheme="majorBidi" w:hAnsiTheme="majorBidi" w:cstheme="majorBidi"/>
                <w:color w:val="000000"/>
                <w:sz w:val="22"/>
              </w:rPr>
              <w:t>0,245</w:t>
            </w:r>
          </w:p>
        </w:tc>
      </w:tr>
    </w:tbl>
    <w:p w14:paraId="4E750E30" w14:textId="7C45EFBC" w:rsidR="00240EEA" w:rsidRDefault="00E402B8" w:rsidP="00E402B8">
      <w:pPr>
        <w:spacing w:before="240" w:line="360" w:lineRule="auto"/>
        <w:jc w:val="both"/>
        <w:rPr>
          <w:rFonts w:cs="Times New Roman"/>
        </w:rPr>
      </w:pPr>
      <w:r>
        <w:rPr>
          <w:rFonts w:cs="Times New Roman"/>
        </w:rPr>
        <w:t xml:space="preserve">Como se pode observar, os valores médios do ITM, </w:t>
      </w:r>
      <w:r w:rsidR="00347775">
        <w:rPr>
          <w:rFonts w:cs="Times New Roman"/>
        </w:rPr>
        <w:t>do</w:t>
      </w:r>
      <w:r w:rsidR="00EE331F">
        <w:rPr>
          <w:rFonts w:cs="Times New Roman"/>
        </w:rPr>
        <w:t>s</w:t>
      </w:r>
      <w:r w:rsidR="00347775">
        <w:rPr>
          <w:rFonts w:cs="Times New Roman"/>
        </w:rPr>
        <w:t xml:space="preserve"> grupos </w:t>
      </w:r>
      <w:r w:rsidR="003F72C3">
        <w:rPr>
          <w:rFonts w:cs="Times New Roman"/>
        </w:rPr>
        <w:t>d</w:t>
      </w:r>
      <w:r w:rsidR="00347775">
        <w:rPr>
          <w:rFonts w:cs="Times New Roman"/>
        </w:rPr>
        <w:t>e</w:t>
      </w:r>
      <w:r w:rsidR="003F72C3">
        <w:rPr>
          <w:rFonts w:cs="Times New Roman"/>
        </w:rPr>
        <w:t xml:space="preserve"> </w:t>
      </w:r>
      <w:r w:rsidR="003F72C3" w:rsidRPr="007C6002">
        <w:rPr>
          <w:rFonts w:cs="Times New Roman"/>
        </w:rPr>
        <w:t>municípios m</w:t>
      </w:r>
      <w:r w:rsidR="00710121">
        <w:rPr>
          <w:rFonts w:cs="Times New Roman"/>
        </w:rPr>
        <w:t>ais</w:t>
      </w:r>
      <w:r w:rsidR="003F72C3" w:rsidRPr="007C6002">
        <w:rPr>
          <w:rFonts w:cs="Times New Roman"/>
        </w:rPr>
        <w:t xml:space="preserve"> endividados</w:t>
      </w:r>
      <w:r w:rsidR="003F72C3">
        <w:rPr>
          <w:rFonts w:cs="Times New Roman"/>
        </w:rPr>
        <w:t xml:space="preserve"> </w:t>
      </w:r>
      <w:r w:rsidRPr="002C3799">
        <w:rPr>
          <w:rFonts w:cs="Times New Roman"/>
        </w:rPr>
        <w:t>(4</w:t>
      </w:r>
      <w:r w:rsidR="00710121">
        <w:rPr>
          <w:rFonts w:cs="Times New Roman"/>
        </w:rPr>
        <w:t>4</w:t>
      </w:r>
      <w:r w:rsidRPr="002C3799">
        <w:rPr>
          <w:rFonts w:cs="Times New Roman"/>
        </w:rPr>
        <w:t>,</w:t>
      </w:r>
      <w:r w:rsidR="00C413F3">
        <w:rPr>
          <w:rFonts w:cs="Times New Roman"/>
        </w:rPr>
        <w:t>8374</w:t>
      </w:r>
      <w:r w:rsidRPr="002C3799">
        <w:rPr>
          <w:rFonts w:cs="Times New Roman"/>
        </w:rPr>
        <w:t>)</w:t>
      </w:r>
      <w:r w:rsidR="007C6002">
        <w:rPr>
          <w:rFonts w:cs="Times New Roman"/>
        </w:rPr>
        <w:t xml:space="preserve"> apresentam-se superiores a</w:t>
      </w:r>
      <w:r w:rsidRPr="006E6A5C">
        <w:rPr>
          <w:rFonts w:cs="Times New Roman"/>
        </w:rPr>
        <w:t>os</w:t>
      </w:r>
      <w:r>
        <w:rPr>
          <w:rFonts w:cs="Times New Roman"/>
        </w:rPr>
        <w:t xml:space="preserve"> </w:t>
      </w:r>
      <w:r w:rsidR="00347775">
        <w:rPr>
          <w:rFonts w:cs="Times New Roman"/>
        </w:rPr>
        <w:t xml:space="preserve">do grupo de </w:t>
      </w:r>
      <w:r>
        <w:rPr>
          <w:rFonts w:cs="Times New Roman"/>
        </w:rPr>
        <w:t xml:space="preserve">municípios </w:t>
      </w:r>
      <w:r w:rsidR="00710121">
        <w:rPr>
          <w:rFonts w:cs="Times New Roman"/>
        </w:rPr>
        <w:t>menos</w:t>
      </w:r>
      <w:r w:rsidR="007C6002" w:rsidRPr="007C6002">
        <w:rPr>
          <w:rFonts w:cs="Times New Roman"/>
        </w:rPr>
        <w:t xml:space="preserve"> endividados</w:t>
      </w:r>
      <w:r w:rsidR="007C6002">
        <w:rPr>
          <w:rFonts w:cs="Times New Roman"/>
        </w:rPr>
        <w:t xml:space="preserve"> </w:t>
      </w:r>
      <w:r w:rsidRPr="002C3799">
        <w:rPr>
          <w:rFonts w:cs="Times New Roman"/>
        </w:rPr>
        <w:t>(</w:t>
      </w:r>
      <w:r w:rsidR="00643029" w:rsidRPr="00643029">
        <w:rPr>
          <w:rFonts w:cs="Times New Roman"/>
        </w:rPr>
        <w:t>42,</w:t>
      </w:r>
      <w:r w:rsidR="00C413F3">
        <w:rPr>
          <w:rFonts w:cs="Times New Roman"/>
        </w:rPr>
        <w:t>1984</w:t>
      </w:r>
      <w:r w:rsidRPr="002C3799">
        <w:rPr>
          <w:rFonts w:cs="Times New Roman"/>
        </w:rPr>
        <w:t>)</w:t>
      </w:r>
      <w:r>
        <w:rPr>
          <w:rFonts w:cs="Times New Roman"/>
        </w:rPr>
        <w:t>,</w:t>
      </w:r>
      <w:r w:rsidR="00FA484D">
        <w:rPr>
          <w:rFonts w:cs="Times New Roman"/>
        </w:rPr>
        <w:t xml:space="preserve"> </w:t>
      </w:r>
      <w:r w:rsidR="00591FD7">
        <w:rPr>
          <w:rFonts w:cs="Times New Roman"/>
        </w:rPr>
        <w:t>para os 5 anos em análise</w:t>
      </w:r>
      <w:r w:rsidR="00D140AD">
        <w:rPr>
          <w:rFonts w:cs="Times New Roman"/>
        </w:rPr>
        <w:t>, apresentando</w:t>
      </w:r>
      <w:r w:rsidR="00710121">
        <w:rPr>
          <w:rFonts w:cs="Times New Roman"/>
        </w:rPr>
        <w:t>,</w:t>
      </w:r>
      <w:r w:rsidR="00D140AD">
        <w:rPr>
          <w:rFonts w:cs="Times New Roman"/>
        </w:rPr>
        <w:t xml:space="preserve"> no entanto</w:t>
      </w:r>
      <w:r w:rsidR="00710121">
        <w:rPr>
          <w:rFonts w:cs="Times New Roman"/>
        </w:rPr>
        <w:t>,</w:t>
      </w:r>
      <w:r w:rsidR="00D140AD">
        <w:rPr>
          <w:rFonts w:cs="Times New Roman"/>
        </w:rPr>
        <w:t xml:space="preserve"> os </w:t>
      </w:r>
      <w:r w:rsidR="00D140AD" w:rsidRPr="007C6002">
        <w:rPr>
          <w:rFonts w:cs="Times New Roman"/>
        </w:rPr>
        <w:t xml:space="preserve">municípios menos </w:t>
      </w:r>
      <w:proofErr w:type="gramStart"/>
      <w:r w:rsidR="00D140AD" w:rsidRPr="007C6002">
        <w:rPr>
          <w:rFonts w:cs="Times New Roman"/>
        </w:rPr>
        <w:t>endividados</w:t>
      </w:r>
      <w:r w:rsidR="00D140AD">
        <w:rPr>
          <w:rFonts w:cs="Times New Roman"/>
        </w:rPr>
        <w:t xml:space="preserve"> maiores amplitudes</w:t>
      </w:r>
      <w:proofErr w:type="gramEnd"/>
      <w:r w:rsidR="00D140AD">
        <w:rPr>
          <w:rFonts w:cs="Times New Roman"/>
        </w:rPr>
        <w:t xml:space="preserve"> entre os valores de ITM</w:t>
      </w:r>
      <w:r w:rsidR="00A95E02">
        <w:rPr>
          <w:rFonts w:cs="Times New Roman"/>
        </w:rPr>
        <w:t>.</w:t>
      </w:r>
    </w:p>
    <w:p w14:paraId="3F5F2F2F" w14:textId="6BFB84EB" w:rsidR="00087D8F" w:rsidRDefault="00CC7A87" w:rsidP="00087D8F">
      <w:pPr>
        <w:spacing w:before="240" w:line="360" w:lineRule="auto"/>
        <w:jc w:val="both"/>
        <w:rPr>
          <w:rFonts w:eastAsiaTheme="minorEastAsia" w:cs="Times New Roman"/>
          <w:szCs w:val="24"/>
        </w:rPr>
      </w:pPr>
      <w:r>
        <w:rPr>
          <w:rFonts w:cs="Times New Roman"/>
        </w:rPr>
        <w:t>A</w:t>
      </w:r>
      <w:r w:rsidR="00087D8F" w:rsidRPr="002C3799">
        <w:rPr>
          <w:rFonts w:cs="Times New Roman"/>
        </w:rPr>
        <w:t>mbas as distribuições apresentam assimetria</w:t>
      </w:r>
      <w:r w:rsidR="00087D8F">
        <w:rPr>
          <w:rFonts w:cs="Times New Roman"/>
          <w:color w:val="000000"/>
          <w:sz w:val="22"/>
        </w:rPr>
        <w:t xml:space="preserve">  </w:t>
      </w:r>
      <m:oMath>
        <m:f>
          <m:fPr>
            <m:ctrlPr>
              <w:rPr>
                <w:rFonts w:ascii="Cambria Math" w:hAnsi="Cambria Math" w:cs="Times New Roman"/>
                <w:i/>
                <w:szCs w:val="24"/>
              </w:rPr>
            </m:ctrlPr>
          </m:fPr>
          <m:num>
            <m:r>
              <m:rPr>
                <m:sty m:val="p"/>
              </m:rPr>
              <w:rPr>
                <w:rFonts w:ascii="Cambria Math" w:hAnsi="Cambria Math" w:cs="Times New Roman"/>
                <w:sz w:val="22"/>
              </w:rPr>
              <m:t>0,770</m:t>
            </m:r>
          </m:num>
          <m:den>
            <m:r>
              <m:rPr>
                <m:sty m:val="p"/>
              </m:rPr>
              <w:rPr>
                <w:rFonts w:ascii="Cambria Math" w:hAnsi="Cambria Math" w:cs="Times New Roman"/>
                <w:sz w:val="22"/>
              </w:rPr>
              <m:t>0,072</m:t>
            </m:r>
          </m:den>
        </m:f>
        <m:r>
          <w:rPr>
            <w:rFonts w:ascii="Cambria Math" w:hAnsi="Cambria Math" w:cs="Times New Roman"/>
            <w:szCs w:val="24"/>
          </w:rPr>
          <m:t>=10,694&gt;1,96</m:t>
        </m:r>
      </m:oMath>
      <w:r w:rsidR="00087D8F" w:rsidRPr="00710121">
        <w:rPr>
          <w:rFonts w:eastAsiaTheme="minorEastAsia" w:cs="Times New Roman"/>
          <w:szCs w:val="24"/>
        </w:rPr>
        <w:t xml:space="preserve"> e </w:t>
      </w:r>
      <m:oMath>
        <m:f>
          <m:fPr>
            <m:ctrlPr>
              <w:rPr>
                <w:rFonts w:ascii="Cambria Math" w:hAnsi="Cambria Math" w:cs="Times New Roman"/>
                <w:i/>
                <w:szCs w:val="24"/>
              </w:rPr>
            </m:ctrlPr>
          </m:fPr>
          <m:num>
            <m:r>
              <m:rPr>
                <m:sty m:val="p"/>
              </m:rPr>
              <w:rPr>
                <w:rFonts w:ascii="Cambria Math" w:hAnsi="Cambria Math" w:cs="Times New Roman"/>
                <w:sz w:val="22"/>
              </w:rPr>
              <m:t>0,744</m:t>
            </m:r>
          </m:num>
          <m:den>
            <m:r>
              <m:rPr>
                <m:sty m:val="p"/>
              </m:rPr>
              <w:rPr>
                <w:rFonts w:ascii="Cambria Math" w:hAnsi="Cambria Math" w:cs="Times New Roman"/>
                <w:sz w:val="22"/>
              </w:rPr>
              <m:t>0,123</m:t>
            </m:r>
          </m:den>
        </m:f>
        <m:r>
          <w:rPr>
            <w:rFonts w:ascii="Cambria Math" w:hAnsi="Cambria Math" w:cs="Times New Roman"/>
            <w:szCs w:val="24"/>
          </w:rPr>
          <m:t>=6,049&gt;1,96,</m:t>
        </m:r>
      </m:oMath>
      <w:r w:rsidR="00087D8F" w:rsidRPr="00710121">
        <w:rPr>
          <w:rFonts w:eastAsiaTheme="minorEastAsia" w:cs="Times New Roman"/>
          <w:szCs w:val="24"/>
        </w:rPr>
        <w:t xml:space="preserve"> </w:t>
      </w:r>
      <w:r w:rsidRPr="00710121">
        <w:rPr>
          <w:rFonts w:eastAsiaTheme="minorEastAsia" w:cs="Times New Roman"/>
          <w:szCs w:val="24"/>
        </w:rPr>
        <w:t>o que nos levou, a depois de analisa</w:t>
      </w:r>
      <w:r w:rsidR="00710121">
        <w:rPr>
          <w:rFonts w:eastAsiaTheme="minorEastAsia" w:cs="Times New Roman"/>
          <w:szCs w:val="24"/>
        </w:rPr>
        <w:t>r</w:t>
      </w:r>
      <w:r w:rsidRPr="00710121">
        <w:rPr>
          <w:rFonts w:eastAsiaTheme="minorEastAsia" w:cs="Times New Roman"/>
          <w:szCs w:val="24"/>
        </w:rPr>
        <w:t xml:space="preserve"> a </w:t>
      </w:r>
      <w:r w:rsidRPr="007F35DF">
        <w:rPr>
          <w:rFonts w:eastAsiaTheme="minorEastAsia" w:cs="Times New Roman"/>
          <w:szCs w:val="24"/>
        </w:rPr>
        <w:t xml:space="preserve">normalidade </w:t>
      </w:r>
      <w:r w:rsidR="00062C8D" w:rsidRPr="007F35DF">
        <w:rPr>
          <w:rFonts w:eastAsiaTheme="minorEastAsia" w:cs="Times New Roman"/>
          <w:szCs w:val="24"/>
        </w:rPr>
        <w:t>(</w:t>
      </w:r>
      <w:r w:rsidR="00F338BB">
        <w:rPr>
          <w:rFonts w:eastAsiaTheme="minorEastAsia" w:cs="Times New Roman"/>
          <w:szCs w:val="24"/>
        </w:rPr>
        <w:t>A</w:t>
      </w:r>
      <w:r w:rsidR="007F35DF" w:rsidRPr="007F35DF">
        <w:rPr>
          <w:rFonts w:eastAsiaTheme="minorEastAsia" w:cs="Times New Roman"/>
          <w:szCs w:val="24"/>
        </w:rPr>
        <w:t>pêndice</w:t>
      </w:r>
      <w:r w:rsidR="00062C8D" w:rsidRPr="007F35DF">
        <w:rPr>
          <w:rFonts w:eastAsiaTheme="minorEastAsia" w:cs="Times New Roman"/>
          <w:szCs w:val="24"/>
        </w:rPr>
        <w:t xml:space="preserve"> </w:t>
      </w:r>
      <w:r w:rsidR="00046806">
        <w:rPr>
          <w:rFonts w:eastAsiaTheme="minorEastAsia" w:cs="Times New Roman"/>
          <w:szCs w:val="24"/>
        </w:rPr>
        <w:t>3</w:t>
      </w:r>
      <w:r w:rsidR="00062C8D" w:rsidRPr="007F35DF">
        <w:rPr>
          <w:rFonts w:eastAsiaTheme="minorEastAsia" w:cs="Times New Roman"/>
          <w:szCs w:val="24"/>
        </w:rPr>
        <w:t>)</w:t>
      </w:r>
      <w:r w:rsidR="00062C8D" w:rsidRPr="00710121">
        <w:rPr>
          <w:rFonts w:eastAsiaTheme="minorEastAsia" w:cs="Times New Roman"/>
          <w:szCs w:val="24"/>
        </w:rPr>
        <w:t xml:space="preserve"> das distribuições continuar a análise </w:t>
      </w:r>
      <w:r w:rsidR="00087D8F" w:rsidRPr="00710121">
        <w:rPr>
          <w:rFonts w:eastAsiaTheme="minorEastAsia" w:cs="Times New Roman"/>
          <w:szCs w:val="24"/>
        </w:rPr>
        <w:t>descrita nos pontos 4.3.2 e 4.3.3</w:t>
      </w:r>
      <w:r w:rsidR="0092295A" w:rsidRPr="00710121">
        <w:rPr>
          <w:rFonts w:eastAsiaTheme="minorEastAsia" w:cs="Times New Roman"/>
          <w:szCs w:val="24"/>
        </w:rPr>
        <w:t xml:space="preserve">. </w:t>
      </w:r>
    </w:p>
    <w:p w14:paraId="4069E7E7" w14:textId="055311E9" w:rsidR="00F81F8A" w:rsidRPr="00710121" w:rsidRDefault="00347775" w:rsidP="00087D8F">
      <w:pPr>
        <w:spacing w:before="240" w:line="360" w:lineRule="auto"/>
        <w:jc w:val="both"/>
        <w:rPr>
          <w:rFonts w:cs="Times New Roman"/>
        </w:rPr>
      </w:pPr>
      <w:r>
        <w:rPr>
          <w:rFonts w:eastAsiaTheme="minorEastAsia" w:cs="Times New Roman"/>
          <w:szCs w:val="24"/>
        </w:rPr>
        <w:t xml:space="preserve">Contata-se que no </w:t>
      </w:r>
      <w:r w:rsidR="00F81F8A">
        <w:rPr>
          <w:rFonts w:eastAsiaTheme="minorEastAsia" w:cs="Times New Roman"/>
          <w:szCs w:val="24"/>
        </w:rPr>
        <w:t xml:space="preserve">grupo de municípios menos endividados </w:t>
      </w:r>
      <w:r>
        <w:rPr>
          <w:rFonts w:eastAsiaTheme="minorEastAsia" w:cs="Times New Roman"/>
          <w:szCs w:val="24"/>
        </w:rPr>
        <w:t>incluem-se</w:t>
      </w:r>
      <w:r w:rsidR="00F81F8A">
        <w:rPr>
          <w:rFonts w:eastAsiaTheme="minorEastAsia" w:cs="Times New Roman"/>
          <w:szCs w:val="24"/>
        </w:rPr>
        <w:t xml:space="preserve"> 1145</w:t>
      </w:r>
      <w:r w:rsidR="00D9490A">
        <w:rPr>
          <w:rFonts w:eastAsiaTheme="minorEastAsia" w:cs="Times New Roman"/>
          <w:szCs w:val="24"/>
        </w:rPr>
        <w:t xml:space="preserve"> observações</w:t>
      </w:r>
      <w:r w:rsidR="00F81F8A">
        <w:rPr>
          <w:rFonts w:eastAsiaTheme="minorEastAsia" w:cs="Times New Roman"/>
          <w:szCs w:val="24"/>
        </w:rPr>
        <w:t xml:space="preserve"> e no grupo de municípios mais endividados </w:t>
      </w:r>
      <w:r>
        <w:rPr>
          <w:rFonts w:eastAsiaTheme="minorEastAsia" w:cs="Times New Roman"/>
          <w:szCs w:val="24"/>
        </w:rPr>
        <w:t>incluem-se</w:t>
      </w:r>
      <w:r w:rsidR="00F81F8A">
        <w:rPr>
          <w:rFonts w:eastAsiaTheme="minorEastAsia" w:cs="Times New Roman"/>
          <w:szCs w:val="24"/>
        </w:rPr>
        <w:t xml:space="preserve"> 395. </w:t>
      </w:r>
      <w:r w:rsidR="00BE5EEC">
        <w:rPr>
          <w:rFonts w:eastAsiaTheme="minorEastAsia" w:cs="Times New Roman"/>
          <w:szCs w:val="24"/>
        </w:rPr>
        <w:t>Registando-se neste último os</w:t>
      </w:r>
      <w:r w:rsidR="00F81F8A">
        <w:rPr>
          <w:rFonts w:eastAsiaTheme="minorEastAsia" w:cs="Times New Roman"/>
          <w:szCs w:val="24"/>
        </w:rPr>
        <w:t xml:space="preserve"> valores médios de ITM mais elevados</w:t>
      </w:r>
      <w:r w:rsidR="00BE5EEC">
        <w:rPr>
          <w:rFonts w:eastAsiaTheme="minorEastAsia" w:cs="Times New Roman"/>
          <w:szCs w:val="24"/>
        </w:rPr>
        <w:t>.</w:t>
      </w:r>
      <w:r w:rsidR="00F81F8A">
        <w:rPr>
          <w:rFonts w:eastAsiaTheme="minorEastAsia" w:cs="Times New Roman"/>
          <w:szCs w:val="24"/>
        </w:rPr>
        <w:t xml:space="preserve"> </w:t>
      </w:r>
    </w:p>
    <w:p w14:paraId="0B241083" w14:textId="1D8778DF" w:rsidR="00FF3C2C" w:rsidRDefault="00547885" w:rsidP="00FF3C2C">
      <w:pPr>
        <w:spacing w:line="360" w:lineRule="auto"/>
        <w:jc w:val="both"/>
        <w:rPr>
          <w:rFonts w:cs="Times New Roman"/>
          <w:lang w:eastAsia="pt-PT"/>
        </w:rPr>
      </w:pPr>
      <w:r>
        <w:rPr>
          <w:rFonts w:cs="Times New Roman"/>
          <w:lang w:eastAsia="pt-PT"/>
        </w:rPr>
        <w:t xml:space="preserve">Para melhor percecionar esta diferença </w:t>
      </w:r>
      <w:r w:rsidR="00BF445C">
        <w:rPr>
          <w:rFonts w:cs="Times New Roman"/>
          <w:lang w:eastAsia="pt-PT"/>
        </w:rPr>
        <w:t xml:space="preserve">construi-se o </w:t>
      </w:r>
      <w:r w:rsidR="00FF3C2C" w:rsidRPr="00156871">
        <w:rPr>
          <w:rFonts w:cs="Times New Roman"/>
          <w:lang w:eastAsia="pt-PT"/>
        </w:rPr>
        <w:t xml:space="preserve">Gráfico </w:t>
      </w:r>
      <w:r w:rsidR="00FF3C2C" w:rsidRPr="00492CB2">
        <w:rPr>
          <w:rFonts w:cs="Times New Roman"/>
          <w:lang w:eastAsia="pt-PT"/>
        </w:rPr>
        <w:t>4.</w:t>
      </w:r>
      <w:r w:rsidR="006A68E8">
        <w:rPr>
          <w:rFonts w:cs="Times New Roman"/>
          <w:lang w:eastAsia="pt-PT"/>
        </w:rPr>
        <w:t>2</w:t>
      </w:r>
      <w:r w:rsidR="00BF445C">
        <w:rPr>
          <w:rFonts w:cs="Times New Roman"/>
          <w:lang w:eastAsia="pt-PT"/>
        </w:rPr>
        <w:t xml:space="preserve"> que permite o acompanhamento do </w:t>
      </w:r>
      <w:r w:rsidR="00F720BA">
        <w:rPr>
          <w:rFonts w:cs="Times New Roman"/>
          <w:lang w:eastAsia="pt-PT"/>
        </w:rPr>
        <w:t xml:space="preserve">índice de transparência municipal, </w:t>
      </w:r>
      <w:r w:rsidR="00BF445C">
        <w:rPr>
          <w:rFonts w:cs="Times New Roman"/>
          <w:lang w:eastAsia="pt-PT"/>
        </w:rPr>
        <w:t>ITM</w:t>
      </w:r>
      <w:r w:rsidR="006A68E8">
        <w:rPr>
          <w:rFonts w:cs="Times New Roman"/>
          <w:lang w:eastAsia="pt-PT"/>
        </w:rPr>
        <w:t>,</w:t>
      </w:r>
      <w:r w:rsidR="00BF445C">
        <w:rPr>
          <w:rFonts w:cs="Times New Roman"/>
          <w:lang w:eastAsia="pt-PT"/>
        </w:rPr>
        <w:t xml:space="preserve"> </w:t>
      </w:r>
      <w:r w:rsidR="00F720BA" w:rsidRPr="00884E4D">
        <w:rPr>
          <w:rFonts w:cs="Times New Roman"/>
          <w:lang w:eastAsia="pt-PT"/>
        </w:rPr>
        <w:t xml:space="preserve">por </w:t>
      </w:r>
      <w:r w:rsidR="00F720BA">
        <w:rPr>
          <w:rFonts w:cs="Times New Roman"/>
          <w:lang w:eastAsia="pt-PT"/>
        </w:rPr>
        <w:t>nível</w:t>
      </w:r>
      <w:r w:rsidR="00F720BA" w:rsidRPr="00884E4D">
        <w:rPr>
          <w:rFonts w:cs="Times New Roman"/>
          <w:lang w:eastAsia="pt-PT"/>
        </w:rPr>
        <w:t xml:space="preserve"> d</w:t>
      </w:r>
      <w:r w:rsidR="00F720BA">
        <w:rPr>
          <w:rFonts w:cs="Times New Roman"/>
          <w:lang w:eastAsia="pt-PT"/>
        </w:rPr>
        <w:t>e</w:t>
      </w:r>
      <w:r w:rsidR="00F720BA" w:rsidRPr="00884E4D">
        <w:rPr>
          <w:rFonts w:cs="Times New Roman"/>
          <w:lang w:eastAsia="pt-PT"/>
        </w:rPr>
        <w:t xml:space="preserve"> endividamento</w:t>
      </w:r>
      <w:r w:rsidR="00F720BA">
        <w:rPr>
          <w:rFonts w:cs="Times New Roman"/>
          <w:lang w:eastAsia="pt-PT"/>
        </w:rPr>
        <w:t xml:space="preserve"> </w:t>
      </w:r>
      <w:r w:rsidR="006A68E8">
        <w:rPr>
          <w:rFonts w:cs="Times New Roman"/>
          <w:lang w:eastAsia="pt-PT"/>
        </w:rPr>
        <w:t xml:space="preserve">dos municípios </w:t>
      </w:r>
      <w:r w:rsidR="00F720BA">
        <w:rPr>
          <w:rFonts w:cs="Times New Roman"/>
          <w:lang w:eastAsia="pt-PT"/>
        </w:rPr>
        <w:t>ao longo dos anos</w:t>
      </w:r>
      <w:r w:rsidR="00FF3C2C" w:rsidRPr="00156871">
        <w:rPr>
          <w:rFonts w:cs="Times New Roman"/>
          <w:lang w:eastAsia="pt-PT"/>
        </w:rPr>
        <w:t>.</w:t>
      </w:r>
    </w:p>
    <w:p w14:paraId="019A2140" w14:textId="23242291" w:rsidR="00FF3C2C" w:rsidRPr="00884E4D" w:rsidRDefault="00FF3C2C" w:rsidP="00FF3C2C">
      <w:pPr>
        <w:spacing w:after="60" w:line="360" w:lineRule="auto"/>
        <w:jc w:val="center"/>
        <w:rPr>
          <w:rFonts w:cs="Times New Roman"/>
          <w:lang w:eastAsia="pt-PT"/>
        </w:rPr>
      </w:pPr>
      <w:bookmarkStart w:id="95" w:name="_Toc66624274"/>
      <w:r w:rsidRPr="00884E4D">
        <w:rPr>
          <w:rFonts w:cs="Times New Roman"/>
          <w:b/>
          <w:lang w:eastAsia="pt-PT"/>
        </w:rPr>
        <w:lastRenderedPageBreak/>
        <w:t xml:space="preserve">Gráfico </w:t>
      </w:r>
      <w:r w:rsidR="00360329">
        <w:rPr>
          <w:rFonts w:cs="Times New Roman"/>
          <w:b/>
          <w:lang w:eastAsia="pt-PT"/>
        </w:rPr>
        <w:fldChar w:fldCharType="begin"/>
      </w:r>
      <w:r w:rsidR="00360329">
        <w:rPr>
          <w:rFonts w:cs="Times New Roman"/>
          <w:b/>
          <w:lang w:eastAsia="pt-PT"/>
        </w:rPr>
        <w:instrText xml:space="preserve"> STYLEREF 1 \s </w:instrText>
      </w:r>
      <w:r w:rsidR="00360329">
        <w:rPr>
          <w:rFonts w:cs="Times New Roman"/>
          <w:b/>
          <w:lang w:eastAsia="pt-PT"/>
        </w:rPr>
        <w:fldChar w:fldCharType="separate"/>
      </w:r>
      <w:r w:rsidR="00380A6F">
        <w:rPr>
          <w:rFonts w:cs="Times New Roman"/>
          <w:b/>
          <w:noProof/>
          <w:lang w:eastAsia="pt-PT"/>
        </w:rPr>
        <w:t>4</w:t>
      </w:r>
      <w:r w:rsidR="00360329">
        <w:rPr>
          <w:rFonts w:cs="Times New Roman"/>
          <w:b/>
          <w:lang w:eastAsia="pt-PT"/>
        </w:rPr>
        <w:fldChar w:fldCharType="end"/>
      </w:r>
      <w:r w:rsidR="00360329">
        <w:rPr>
          <w:rFonts w:cs="Times New Roman"/>
          <w:b/>
          <w:lang w:eastAsia="pt-PT"/>
        </w:rPr>
        <w:t>.</w:t>
      </w:r>
      <w:r w:rsidR="00360329">
        <w:rPr>
          <w:rFonts w:cs="Times New Roman"/>
          <w:b/>
          <w:lang w:eastAsia="pt-PT"/>
        </w:rPr>
        <w:fldChar w:fldCharType="begin"/>
      </w:r>
      <w:r w:rsidR="00360329">
        <w:rPr>
          <w:rFonts w:cs="Times New Roman"/>
          <w:b/>
          <w:lang w:eastAsia="pt-PT"/>
        </w:rPr>
        <w:instrText xml:space="preserve"> SEQ Gráfico \* ARABIC \s 1 </w:instrText>
      </w:r>
      <w:r w:rsidR="00360329">
        <w:rPr>
          <w:rFonts w:cs="Times New Roman"/>
          <w:b/>
          <w:lang w:eastAsia="pt-PT"/>
        </w:rPr>
        <w:fldChar w:fldCharType="separate"/>
      </w:r>
      <w:r w:rsidR="00380A6F">
        <w:rPr>
          <w:rFonts w:cs="Times New Roman"/>
          <w:b/>
          <w:noProof/>
          <w:lang w:eastAsia="pt-PT"/>
        </w:rPr>
        <w:t>2</w:t>
      </w:r>
      <w:r w:rsidR="00360329">
        <w:rPr>
          <w:rFonts w:cs="Times New Roman"/>
          <w:b/>
          <w:lang w:eastAsia="pt-PT"/>
        </w:rPr>
        <w:fldChar w:fldCharType="end"/>
      </w:r>
      <w:r w:rsidRPr="00884E4D">
        <w:rPr>
          <w:rFonts w:cs="Times New Roman"/>
          <w:b/>
          <w:lang w:eastAsia="pt-PT"/>
        </w:rPr>
        <w:t xml:space="preserve"> –</w:t>
      </w:r>
      <w:r w:rsidRPr="00884E4D">
        <w:rPr>
          <w:rFonts w:cs="Times New Roman"/>
          <w:lang w:eastAsia="pt-PT"/>
        </w:rPr>
        <w:t xml:space="preserve"> Valores médios do ITM</w:t>
      </w:r>
      <w:r>
        <w:rPr>
          <w:rFonts w:cs="Times New Roman"/>
          <w:lang w:eastAsia="pt-PT"/>
        </w:rPr>
        <w:t>,</w:t>
      </w:r>
      <w:r w:rsidRPr="00884E4D">
        <w:rPr>
          <w:rFonts w:cs="Times New Roman"/>
          <w:lang w:eastAsia="pt-PT"/>
        </w:rPr>
        <w:t xml:space="preserve"> por </w:t>
      </w:r>
      <w:r>
        <w:rPr>
          <w:rFonts w:cs="Times New Roman"/>
          <w:lang w:eastAsia="pt-PT"/>
        </w:rPr>
        <w:t>nível</w:t>
      </w:r>
      <w:r w:rsidRPr="00884E4D">
        <w:rPr>
          <w:rFonts w:cs="Times New Roman"/>
          <w:lang w:eastAsia="pt-PT"/>
        </w:rPr>
        <w:t xml:space="preserve"> d</w:t>
      </w:r>
      <w:r>
        <w:rPr>
          <w:rFonts w:cs="Times New Roman"/>
          <w:lang w:eastAsia="pt-PT"/>
        </w:rPr>
        <w:t>e</w:t>
      </w:r>
      <w:r w:rsidRPr="00884E4D">
        <w:rPr>
          <w:rFonts w:cs="Times New Roman"/>
          <w:lang w:eastAsia="pt-PT"/>
        </w:rPr>
        <w:t xml:space="preserve"> endividamento</w:t>
      </w:r>
      <w:r>
        <w:rPr>
          <w:rFonts w:cs="Times New Roman"/>
          <w:lang w:eastAsia="pt-PT"/>
        </w:rPr>
        <w:t xml:space="preserve">, </w:t>
      </w:r>
      <w:r w:rsidRPr="00884E4D">
        <w:rPr>
          <w:rFonts w:cs="Times New Roman"/>
          <w:lang w:eastAsia="pt-PT"/>
        </w:rPr>
        <w:t>por ano (2013-2017)</w:t>
      </w:r>
      <w:bookmarkEnd w:id="95"/>
      <w:r w:rsidRPr="00884E4D">
        <w:rPr>
          <w:rFonts w:cs="Times New Roman"/>
          <w:lang w:eastAsia="pt-PT"/>
        </w:rPr>
        <w:t xml:space="preserve"> </w:t>
      </w:r>
    </w:p>
    <w:p w14:paraId="10FA3572" w14:textId="77777777" w:rsidR="00FF3C2C" w:rsidRDefault="00FF3C2C" w:rsidP="00FF3C2C">
      <w:pPr>
        <w:spacing w:after="0" w:line="360" w:lineRule="auto"/>
        <w:jc w:val="center"/>
        <w:rPr>
          <w:rFonts w:cs="Times New Roman"/>
        </w:rPr>
      </w:pPr>
      <w:r>
        <w:rPr>
          <w:noProof/>
          <w:lang w:eastAsia="pt-PT"/>
        </w:rPr>
        <w:drawing>
          <wp:inline distT="0" distB="0" distL="0" distR="0" wp14:anchorId="41B15BAB" wp14:editId="59EEB5BB">
            <wp:extent cx="4572000" cy="2077200"/>
            <wp:effectExtent l="0" t="0" r="0" b="0"/>
            <wp:docPr id="7"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bl>
      <w:tblPr>
        <w:tblStyle w:val="TabelacomGrelh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20" w:firstRow="1" w:lastRow="0" w:firstColumn="0" w:lastColumn="0" w:noHBand="1" w:noVBand="1"/>
      </w:tblPr>
      <w:tblGrid>
        <w:gridCol w:w="1984"/>
        <w:gridCol w:w="1930"/>
      </w:tblGrid>
      <w:tr w:rsidR="00FF3C2C" w14:paraId="6664BCF1" w14:textId="77777777" w:rsidTr="00DC3DB8">
        <w:trPr>
          <w:jc w:val="center"/>
        </w:trPr>
        <w:tc>
          <w:tcPr>
            <w:tcW w:w="1984" w:type="dxa"/>
          </w:tcPr>
          <w:p w14:paraId="69E11BCC" w14:textId="77777777" w:rsidR="00FF3C2C" w:rsidRDefault="00FF3C2C" w:rsidP="00DC3DB8">
            <w:pPr>
              <w:pStyle w:val="PargrafodaLista"/>
              <w:numPr>
                <w:ilvl w:val="0"/>
                <w:numId w:val="20"/>
              </w:numPr>
              <w:ind w:left="170" w:hanging="170"/>
            </w:pPr>
            <w:r w:rsidRPr="00BF2A52">
              <w:rPr>
                <w:sz w:val="20"/>
                <w:szCs w:val="20"/>
              </w:rPr>
              <w:t>0</w:t>
            </w:r>
            <w:r w:rsidRPr="00BF2A52">
              <w:rPr>
                <w:sz w:val="18"/>
                <w:szCs w:val="18"/>
              </w:rPr>
              <w:t xml:space="preserve"> </w:t>
            </w:r>
            <w:r>
              <w:rPr>
                <w:sz w:val="18"/>
                <w:szCs w:val="18"/>
              </w:rPr>
              <w:t>–</w:t>
            </w:r>
            <w:r w:rsidRPr="00BF2A52">
              <w:rPr>
                <w:sz w:val="18"/>
                <w:szCs w:val="18"/>
              </w:rPr>
              <w:t xml:space="preserve"> </w:t>
            </w:r>
            <w:r>
              <w:rPr>
                <w:sz w:val="18"/>
                <w:szCs w:val="18"/>
              </w:rPr>
              <w:t>VEnd &lt; MVEnd</w:t>
            </w:r>
          </w:p>
        </w:tc>
        <w:tc>
          <w:tcPr>
            <w:tcW w:w="1930" w:type="dxa"/>
          </w:tcPr>
          <w:p w14:paraId="7BF44E17" w14:textId="4E8BE7CB" w:rsidR="00FF3C2C" w:rsidRDefault="00FF3C2C" w:rsidP="00DC3DB8">
            <w:pPr>
              <w:pStyle w:val="PargrafodaLista"/>
              <w:numPr>
                <w:ilvl w:val="0"/>
                <w:numId w:val="25"/>
              </w:numPr>
              <w:ind w:left="128" w:hanging="128"/>
            </w:pPr>
            <w:r w:rsidRPr="00FE581A">
              <w:rPr>
                <w:sz w:val="20"/>
                <w:szCs w:val="20"/>
              </w:rPr>
              <w:t>1 –</w:t>
            </w:r>
            <w:r w:rsidRPr="00FE581A">
              <w:rPr>
                <w:sz w:val="28"/>
                <w:szCs w:val="24"/>
              </w:rPr>
              <w:t xml:space="preserve"> </w:t>
            </w:r>
            <w:r w:rsidRPr="00FE581A">
              <w:rPr>
                <w:sz w:val="18"/>
                <w:szCs w:val="18"/>
              </w:rPr>
              <w:t xml:space="preserve">VEnd </w:t>
            </w:r>
            <w:r w:rsidR="00003F18">
              <w:rPr>
                <w:rFonts w:cs="Times New Roman"/>
                <w:sz w:val="18"/>
                <w:szCs w:val="18"/>
              </w:rPr>
              <w:t>≥</w:t>
            </w:r>
            <w:r w:rsidRPr="00FE581A">
              <w:rPr>
                <w:sz w:val="18"/>
                <w:szCs w:val="18"/>
              </w:rPr>
              <w:t xml:space="preserve"> MV</w:t>
            </w:r>
            <w:r>
              <w:rPr>
                <w:sz w:val="18"/>
                <w:szCs w:val="18"/>
              </w:rPr>
              <w:t>E</w:t>
            </w:r>
            <w:r w:rsidRPr="00FE581A">
              <w:rPr>
                <w:sz w:val="18"/>
                <w:szCs w:val="18"/>
              </w:rPr>
              <w:t>nd</w:t>
            </w:r>
          </w:p>
        </w:tc>
      </w:tr>
    </w:tbl>
    <w:p w14:paraId="7CD0C50F" w14:textId="534665B2" w:rsidR="00F720BA" w:rsidRDefault="00105FB6" w:rsidP="00FF3C2C">
      <w:pPr>
        <w:spacing w:before="240" w:line="360" w:lineRule="auto"/>
        <w:jc w:val="both"/>
        <w:rPr>
          <w:rFonts w:cs="Times New Roman"/>
          <w:lang w:eastAsia="pt-PT"/>
        </w:rPr>
      </w:pPr>
      <w:r>
        <w:rPr>
          <w:rFonts w:cs="Times New Roman"/>
          <w:lang w:eastAsia="pt-PT"/>
        </w:rPr>
        <w:t xml:space="preserve">Como se pode observar o grupo de municípios </w:t>
      </w:r>
      <w:r w:rsidR="00181761">
        <w:rPr>
          <w:rFonts w:cs="Times New Roman"/>
          <w:lang w:eastAsia="pt-PT"/>
        </w:rPr>
        <w:t>1</w:t>
      </w:r>
      <w:r w:rsidR="00B52D17">
        <w:rPr>
          <w:rFonts w:cs="Times New Roman"/>
          <w:lang w:eastAsia="pt-PT"/>
        </w:rPr>
        <w:t xml:space="preserve">, </w:t>
      </w:r>
      <w:r w:rsidR="00717E81">
        <w:rPr>
          <w:rFonts w:cs="Times New Roman"/>
          <w:lang w:eastAsia="pt-PT"/>
        </w:rPr>
        <w:t>com valores médios</w:t>
      </w:r>
      <w:r w:rsidR="00B52D17">
        <w:rPr>
          <w:rFonts w:cs="Times New Roman"/>
          <w:lang w:eastAsia="pt-PT"/>
        </w:rPr>
        <w:t xml:space="preserve"> de endividamento </w:t>
      </w:r>
      <w:r w:rsidR="00717E81">
        <w:rPr>
          <w:rFonts w:cs="Times New Roman"/>
          <w:lang w:eastAsia="pt-PT"/>
        </w:rPr>
        <w:t>maiores</w:t>
      </w:r>
      <w:r w:rsidR="00B52D17">
        <w:rPr>
          <w:rFonts w:cs="Times New Roman"/>
          <w:lang w:eastAsia="pt-PT"/>
        </w:rPr>
        <w:t>,</w:t>
      </w:r>
      <w:r w:rsidR="00181761">
        <w:rPr>
          <w:rFonts w:cs="Times New Roman"/>
          <w:lang w:eastAsia="pt-PT"/>
        </w:rPr>
        <w:t xml:space="preserve"> apresentam maior ITM </w:t>
      </w:r>
      <w:r w:rsidR="00B52D17">
        <w:rPr>
          <w:rFonts w:cs="Times New Roman"/>
          <w:lang w:eastAsia="pt-PT"/>
        </w:rPr>
        <w:t xml:space="preserve">do que </w:t>
      </w:r>
      <w:r w:rsidR="00D925ED">
        <w:rPr>
          <w:rFonts w:cs="Times New Roman"/>
          <w:lang w:eastAsia="pt-PT"/>
        </w:rPr>
        <w:t xml:space="preserve">o grupo de municípios 0, com valores médios de endividamento menores que a média </w:t>
      </w:r>
      <w:r w:rsidR="00017D13">
        <w:rPr>
          <w:rFonts w:cs="Times New Roman"/>
          <w:lang w:eastAsia="pt-PT"/>
        </w:rPr>
        <w:t xml:space="preserve">calculada para os 5 anos em análise. </w:t>
      </w:r>
      <w:r w:rsidR="00F720BA" w:rsidRPr="00156871">
        <w:rPr>
          <w:rFonts w:cs="Times New Roman"/>
          <w:lang w:eastAsia="pt-PT"/>
        </w:rPr>
        <w:t xml:space="preserve">Esta </w:t>
      </w:r>
      <w:r w:rsidR="00F720BA">
        <w:rPr>
          <w:rFonts w:cs="Times New Roman"/>
          <w:lang w:eastAsia="pt-PT"/>
        </w:rPr>
        <w:t>diferença</w:t>
      </w:r>
      <w:r w:rsidR="00F720BA" w:rsidRPr="00156871">
        <w:rPr>
          <w:rFonts w:cs="Times New Roman"/>
          <w:lang w:eastAsia="pt-PT"/>
        </w:rPr>
        <w:t xml:space="preserve"> é constante ao longo dos anos pelo que </w:t>
      </w:r>
      <w:r w:rsidR="00803EBB">
        <w:rPr>
          <w:rFonts w:cs="Times New Roman"/>
          <w:lang w:eastAsia="pt-PT"/>
        </w:rPr>
        <w:t>se constata</w:t>
      </w:r>
      <w:r w:rsidR="00F720BA" w:rsidRPr="00156871">
        <w:rPr>
          <w:rFonts w:cs="Times New Roman"/>
          <w:lang w:eastAsia="pt-PT"/>
        </w:rPr>
        <w:t xml:space="preserve"> que o valor do endividamento apresenta uma relação proporcional com os níveis de transparência dos municípios, ou seja, à medida que os valores do endividamento aumentam, os municípios apresentam maiores níveis de transparência</w:t>
      </w:r>
      <w:r w:rsidR="00E57626">
        <w:rPr>
          <w:rFonts w:cs="Times New Roman"/>
          <w:lang w:eastAsia="pt-PT"/>
        </w:rPr>
        <w:t xml:space="preserve"> para os 5 anos em análise.</w:t>
      </w:r>
    </w:p>
    <w:p w14:paraId="67FEF910" w14:textId="4BF25C77" w:rsidR="00F81F8A" w:rsidRPr="00F81F8A" w:rsidRDefault="00F81F8A" w:rsidP="00F81F8A">
      <w:pPr>
        <w:pStyle w:val="PargrafodaLista"/>
        <w:numPr>
          <w:ilvl w:val="0"/>
          <w:numId w:val="37"/>
        </w:numPr>
        <w:spacing w:line="360" w:lineRule="auto"/>
        <w:jc w:val="both"/>
        <w:rPr>
          <w:rFonts w:cs="Times New Roman"/>
          <w:b/>
          <w:bCs/>
        </w:rPr>
      </w:pPr>
      <w:r>
        <w:rPr>
          <w:rFonts w:cs="Times New Roman"/>
          <w:b/>
          <w:bCs/>
        </w:rPr>
        <w:t>ITM por</w:t>
      </w:r>
      <w:r>
        <w:rPr>
          <w:rFonts w:cs="Times New Roman"/>
          <w:b/>
          <w:bCs/>
          <w:shd w:val="clear" w:color="auto" w:fill="FFFFFF" w:themeFill="background1"/>
        </w:rPr>
        <w:t xml:space="preserve"> </w:t>
      </w:r>
      <w:r w:rsidR="00203D7D">
        <w:rPr>
          <w:rFonts w:cs="Times New Roman"/>
          <w:b/>
          <w:bCs/>
          <w:shd w:val="clear" w:color="auto" w:fill="FFFFFF" w:themeFill="background1"/>
        </w:rPr>
        <w:t xml:space="preserve">despesa efetiva </w:t>
      </w:r>
      <w:r w:rsidR="00203D7D" w:rsidRPr="00506E82">
        <w:rPr>
          <w:rFonts w:cs="Times New Roman"/>
          <w:b/>
          <w:bCs/>
          <w:i/>
          <w:iCs/>
          <w:shd w:val="clear" w:color="auto" w:fill="FFFFFF" w:themeFill="background1"/>
        </w:rPr>
        <w:t>per capita</w:t>
      </w:r>
      <w:r>
        <w:rPr>
          <w:rFonts w:cs="Times New Roman"/>
          <w:b/>
          <w:bCs/>
          <w:shd w:val="clear" w:color="auto" w:fill="FFFFFF" w:themeFill="background1"/>
        </w:rPr>
        <w:t xml:space="preserve"> (D</w:t>
      </w:r>
      <w:r w:rsidR="00203D7D">
        <w:rPr>
          <w:rFonts w:cs="Times New Roman"/>
          <w:b/>
          <w:bCs/>
          <w:shd w:val="clear" w:color="auto" w:fill="FFFFFF" w:themeFill="background1"/>
        </w:rPr>
        <w:t>E</w:t>
      </w:r>
      <w:r>
        <w:rPr>
          <w:rFonts w:cs="Times New Roman"/>
          <w:b/>
          <w:bCs/>
          <w:shd w:val="clear" w:color="auto" w:fill="FFFFFF" w:themeFill="background1"/>
        </w:rPr>
        <w:t>)</w:t>
      </w:r>
    </w:p>
    <w:p w14:paraId="00C03E11" w14:textId="21950604" w:rsidR="00F15B7B" w:rsidRPr="00843BFC" w:rsidRDefault="00315FC8" w:rsidP="00FF3C2C">
      <w:pPr>
        <w:spacing w:before="240" w:line="360" w:lineRule="auto"/>
        <w:jc w:val="both"/>
        <w:rPr>
          <w:rFonts w:cs="Times New Roman"/>
        </w:rPr>
      </w:pPr>
      <w:r w:rsidRPr="00843BFC">
        <w:rPr>
          <w:rFonts w:cs="Times New Roman"/>
        </w:rPr>
        <w:t>Prosseguiu-se a análise</w:t>
      </w:r>
      <w:r w:rsidR="006B1AE1" w:rsidRPr="00843BFC">
        <w:rPr>
          <w:rFonts w:cs="Times New Roman"/>
        </w:rPr>
        <w:t xml:space="preserve"> fazendo o cruzamento entre os valores do</w:t>
      </w:r>
      <w:r w:rsidR="00F15B7B" w:rsidRPr="00843BFC">
        <w:rPr>
          <w:rFonts w:cs="Times New Roman"/>
        </w:rPr>
        <w:t xml:space="preserve"> ITM </w:t>
      </w:r>
      <w:r w:rsidR="006B1AE1" w:rsidRPr="00843BFC">
        <w:rPr>
          <w:rFonts w:cs="Times New Roman"/>
        </w:rPr>
        <w:t>e a</w:t>
      </w:r>
      <w:r w:rsidR="00F15B7B" w:rsidRPr="00843BFC">
        <w:rPr>
          <w:rFonts w:cs="Times New Roman"/>
        </w:rPr>
        <w:t xml:space="preserve"> </w:t>
      </w:r>
      <w:r w:rsidR="00203D7D">
        <w:rPr>
          <w:rFonts w:cs="Times New Roman"/>
        </w:rPr>
        <w:t xml:space="preserve">despesa efetiva </w:t>
      </w:r>
      <w:r w:rsidR="00203D7D" w:rsidRPr="00506E82">
        <w:rPr>
          <w:rFonts w:cs="Times New Roman"/>
          <w:i/>
          <w:iCs/>
        </w:rPr>
        <w:t>per capita</w:t>
      </w:r>
      <w:r w:rsidR="00173F99" w:rsidRPr="00843BFC">
        <w:rPr>
          <w:rFonts w:cs="Times New Roman"/>
        </w:rPr>
        <w:t xml:space="preserve"> de cada município. Para o efeito</w:t>
      </w:r>
      <w:r w:rsidR="00F15B7B" w:rsidRPr="00843BFC">
        <w:rPr>
          <w:rFonts w:cs="Times New Roman"/>
        </w:rPr>
        <w:t xml:space="preserve">, </w:t>
      </w:r>
      <w:r w:rsidR="00173F99" w:rsidRPr="00843BFC">
        <w:rPr>
          <w:rFonts w:cs="Times New Roman"/>
        </w:rPr>
        <w:t>cate</w:t>
      </w:r>
      <w:r w:rsidR="0060483D" w:rsidRPr="00843BFC">
        <w:rPr>
          <w:rFonts w:cs="Times New Roman"/>
        </w:rPr>
        <w:t>gorizou</w:t>
      </w:r>
      <w:r w:rsidR="00F15B7B" w:rsidRPr="00843BFC">
        <w:rPr>
          <w:rFonts w:cs="Times New Roman"/>
        </w:rPr>
        <w:t>-se os dados em dois grupos</w:t>
      </w:r>
      <w:r w:rsidR="00843BFC">
        <w:rPr>
          <w:rFonts w:cs="Times New Roman"/>
        </w:rPr>
        <w:t>:</w:t>
      </w:r>
    </w:p>
    <w:p w14:paraId="2E5E5E1A" w14:textId="58755274" w:rsidR="00F15B7B" w:rsidRPr="00843BFC" w:rsidRDefault="00F15B7B" w:rsidP="00F15B7B">
      <w:pPr>
        <w:pStyle w:val="PargrafodaLista"/>
        <w:numPr>
          <w:ilvl w:val="0"/>
          <w:numId w:val="34"/>
        </w:numPr>
        <w:spacing w:before="240" w:line="360" w:lineRule="auto"/>
        <w:jc w:val="both"/>
        <w:rPr>
          <w:rFonts w:cs="Times New Roman"/>
        </w:rPr>
      </w:pPr>
      <w:r w:rsidRPr="00843BFC">
        <w:rPr>
          <w:rFonts w:cs="Times New Roman"/>
        </w:rPr>
        <w:t xml:space="preserve">0 – </w:t>
      </w:r>
      <w:r w:rsidR="00DC67F3">
        <w:rPr>
          <w:rFonts w:cs="Times New Roman"/>
        </w:rPr>
        <w:t>Municípios com menor despesa efetiva per capita (DE &lt; MDE)</w:t>
      </w:r>
    </w:p>
    <w:p w14:paraId="20C9C667" w14:textId="27E914D1" w:rsidR="00843BFC" w:rsidRDefault="00F15B7B" w:rsidP="00843BFC">
      <w:pPr>
        <w:pStyle w:val="PargrafodaLista"/>
        <w:numPr>
          <w:ilvl w:val="0"/>
          <w:numId w:val="34"/>
        </w:numPr>
        <w:spacing w:before="240" w:line="360" w:lineRule="auto"/>
        <w:jc w:val="both"/>
        <w:rPr>
          <w:rFonts w:cs="Times New Roman"/>
        </w:rPr>
      </w:pPr>
      <w:r w:rsidRPr="00843BFC">
        <w:rPr>
          <w:rFonts w:cs="Times New Roman"/>
        </w:rPr>
        <w:t xml:space="preserve">1 - </w:t>
      </w:r>
      <w:r w:rsidR="00DC67F3">
        <w:rPr>
          <w:rFonts w:cs="Times New Roman"/>
        </w:rPr>
        <w:t>Municípios com maior despesa efetiva per capita (DE ≥ MDE)</w:t>
      </w:r>
    </w:p>
    <w:p w14:paraId="05DC8D49" w14:textId="7B2B5BC2" w:rsidR="009F52BE" w:rsidRPr="009F52BE" w:rsidRDefault="009F52BE" w:rsidP="009F52BE">
      <w:pPr>
        <w:spacing w:before="240" w:line="360" w:lineRule="auto"/>
        <w:jc w:val="both"/>
        <w:rPr>
          <w:rFonts w:cs="Times New Roman"/>
        </w:rPr>
      </w:pPr>
      <w:r>
        <w:rPr>
          <w:rFonts w:cs="Times New Roman"/>
        </w:rPr>
        <w:t xml:space="preserve">Sendo que, </w:t>
      </w:r>
      <w:r w:rsidR="00B4646C">
        <w:rPr>
          <w:rFonts w:cs="Times New Roman"/>
        </w:rPr>
        <w:t>considera-se</w:t>
      </w:r>
      <w:r>
        <w:rPr>
          <w:rFonts w:cs="Times New Roman"/>
        </w:rPr>
        <w:t xml:space="preserve"> municípios com menor </w:t>
      </w:r>
      <w:r w:rsidR="00203D7D">
        <w:rPr>
          <w:rFonts w:cs="Times New Roman"/>
        </w:rPr>
        <w:t xml:space="preserve">despesa efetiva </w:t>
      </w:r>
      <w:r w:rsidR="00203D7D" w:rsidRPr="00506E82">
        <w:rPr>
          <w:rFonts w:cs="Times New Roman"/>
          <w:i/>
          <w:iCs/>
        </w:rPr>
        <w:t>per capita</w:t>
      </w:r>
      <w:r>
        <w:rPr>
          <w:rFonts w:cs="Times New Roman"/>
        </w:rPr>
        <w:t xml:space="preserve"> aqueles que apresentarem valores </w:t>
      </w:r>
      <w:r w:rsidR="00DC67F3">
        <w:rPr>
          <w:rFonts w:cs="Times New Roman"/>
        </w:rPr>
        <w:t>abaixo do valor da média total (</w:t>
      </w:r>
      <w:r w:rsidR="00F338BB">
        <w:rPr>
          <w:rFonts w:cs="Times New Roman"/>
        </w:rPr>
        <w:t>A</w:t>
      </w:r>
      <w:r w:rsidR="00DC67F3">
        <w:rPr>
          <w:rFonts w:cs="Times New Roman"/>
        </w:rPr>
        <w:t xml:space="preserve">pêndice 1) de observações, MDE, </w:t>
      </w:r>
      <w:r>
        <w:rPr>
          <w:rFonts w:cs="Times New Roman"/>
        </w:rPr>
        <w:t xml:space="preserve">e municípios com maior </w:t>
      </w:r>
      <w:r w:rsidR="00203D7D">
        <w:rPr>
          <w:rFonts w:cs="Times New Roman"/>
        </w:rPr>
        <w:t xml:space="preserve">despesa efetiva </w:t>
      </w:r>
      <w:r w:rsidR="00203D7D" w:rsidRPr="00506E82">
        <w:rPr>
          <w:rFonts w:cs="Times New Roman"/>
          <w:i/>
          <w:iCs/>
        </w:rPr>
        <w:t>per capita</w:t>
      </w:r>
      <w:r>
        <w:rPr>
          <w:rFonts w:cs="Times New Roman"/>
        </w:rPr>
        <w:t xml:space="preserve"> o inverso. </w:t>
      </w:r>
    </w:p>
    <w:p w14:paraId="692BC69B" w14:textId="163247B2" w:rsidR="00843BFC" w:rsidRPr="00843BFC" w:rsidRDefault="00843BFC" w:rsidP="00843BFC">
      <w:pPr>
        <w:spacing w:line="360" w:lineRule="auto"/>
        <w:jc w:val="both"/>
        <w:rPr>
          <w:rFonts w:cs="Times New Roman"/>
          <w:lang w:eastAsia="pt-PT"/>
        </w:rPr>
      </w:pPr>
      <w:r>
        <w:rPr>
          <w:rFonts w:cs="Times New Roman"/>
          <w:lang w:eastAsia="pt-PT"/>
        </w:rPr>
        <w:t>De seguida, procedeu-se à</w:t>
      </w:r>
      <w:r w:rsidRPr="00843BFC">
        <w:rPr>
          <w:rFonts w:cs="Times New Roman"/>
          <w:lang w:eastAsia="pt-PT"/>
        </w:rPr>
        <w:t xml:space="preserve"> análise do histograma (</w:t>
      </w:r>
      <w:r w:rsidR="00F338BB">
        <w:rPr>
          <w:rFonts w:cs="Times New Roman"/>
          <w:lang w:eastAsia="pt-PT"/>
        </w:rPr>
        <w:t>A</w:t>
      </w:r>
      <w:r w:rsidRPr="00843BFC">
        <w:rPr>
          <w:rFonts w:cs="Times New Roman"/>
          <w:lang w:eastAsia="pt-PT"/>
        </w:rPr>
        <w:t>pêndice 2) e</w:t>
      </w:r>
      <w:r>
        <w:rPr>
          <w:rFonts w:cs="Times New Roman"/>
          <w:lang w:eastAsia="pt-PT"/>
        </w:rPr>
        <w:t xml:space="preserve"> a</w:t>
      </w:r>
      <w:r w:rsidRPr="00843BFC">
        <w:rPr>
          <w:rFonts w:cs="Times New Roman"/>
          <w:lang w:eastAsia="pt-PT"/>
        </w:rPr>
        <w:t xml:space="preserve">o cálculo das medidas estatísticas para cada um destes grupos, conforme se apresenta na </w:t>
      </w:r>
      <w:r w:rsidR="00B4646C">
        <w:rPr>
          <w:rFonts w:cs="Times New Roman"/>
          <w:lang w:eastAsia="pt-PT"/>
        </w:rPr>
        <w:t>T</w:t>
      </w:r>
      <w:r w:rsidRPr="00843BFC">
        <w:rPr>
          <w:rFonts w:cs="Times New Roman"/>
          <w:lang w:eastAsia="pt-PT"/>
        </w:rPr>
        <w:t>abela 4.</w:t>
      </w:r>
      <w:r>
        <w:rPr>
          <w:rFonts w:cs="Times New Roman"/>
          <w:lang w:eastAsia="pt-PT"/>
        </w:rPr>
        <w:t>7</w:t>
      </w:r>
      <w:r w:rsidR="00E90C0B">
        <w:rPr>
          <w:rFonts w:cs="Times New Roman"/>
          <w:lang w:eastAsia="pt-PT"/>
        </w:rPr>
        <w:t>.</w:t>
      </w:r>
    </w:p>
    <w:p w14:paraId="718BAB29" w14:textId="77777777" w:rsidR="002079A9" w:rsidRDefault="002079A9" w:rsidP="00843BFC">
      <w:pPr>
        <w:spacing w:after="0" w:line="360" w:lineRule="auto"/>
        <w:jc w:val="center"/>
        <w:rPr>
          <w:b/>
          <w:bCs/>
        </w:rPr>
      </w:pPr>
      <w:bookmarkStart w:id="96" w:name="_Toc58853167"/>
    </w:p>
    <w:p w14:paraId="5E7E995F" w14:textId="3296D1AB" w:rsidR="00843BFC" w:rsidRPr="00843BFC" w:rsidRDefault="00843BFC" w:rsidP="00843BFC">
      <w:pPr>
        <w:spacing w:after="0" w:line="360" w:lineRule="auto"/>
        <w:jc w:val="center"/>
        <w:rPr>
          <w:rFonts w:cs="Times New Roman"/>
          <w:bCs/>
        </w:rPr>
      </w:pPr>
      <w:bookmarkStart w:id="97" w:name="_Toc66624256"/>
      <w:r w:rsidRPr="00843BFC">
        <w:rPr>
          <w:b/>
          <w:bCs/>
        </w:rPr>
        <w:lastRenderedPageBreak/>
        <w:t xml:space="preserve">Tabela </w:t>
      </w:r>
      <w:r w:rsidRPr="00843BFC">
        <w:rPr>
          <w:b/>
          <w:bCs/>
        </w:rPr>
        <w:fldChar w:fldCharType="begin"/>
      </w:r>
      <w:r w:rsidRPr="00843BFC">
        <w:rPr>
          <w:b/>
          <w:bCs/>
        </w:rPr>
        <w:instrText xml:space="preserve"> STYLEREF 1 \s </w:instrText>
      </w:r>
      <w:r w:rsidRPr="00843BFC">
        <w:rPr>
          <w:b/>
          <w:bCs/>
        </w:rPr>
        <w:fldChar w:fldCharType="separate"/>
      </w:r>
      <w:r w:rsidR="00380A6F">
        <w:rPr>
          <w:b/>
          <w:bCs/>
          <w:noProof/>
        </w:rPr>
        <w:t>4</w:t>
      </w:r>
      <w:r w:rsidRPr="00843BFC">
        <w:rPr>
          <w:b/>
          <w:bCs/>
        </w:rPr>
        <w:fldChar w:fldCharType="end"/>
      </w:r>
      <w:r w:rsidRPr="00843BFC">
        <w:rPr>
          <w:b/>
          <w:bCs/>
        </w:rPr>
        <w:t>.</w:t>
      </w:r>
      <w:r w:rsidRPr="00843BFC">
        <w:rPr>
          <w:b/>
          <w:bCs/>
        </w:rPr>
        <w:fldChar w:fldCharType="begin"/>
      </w:r>
      <w:r w:rsidRPr="00843BFC">
        <w:rPr>
          <w:b/>
          <w:bCs/>
        </w:rPr>
        <w:instrText xml:space="preserve"> SEQ Tabela \* ARABIC \s 1 </w:instrText>
      </w:r>
      <w:r w:rsidRPr="00843BFC">
        <w:rPr>
          <w:b/>
          <w:bCs/>
        </w:rPr>
        <w:fldChar w:fldCharType="separate"/>
      </w:r>
      <w:r w:rsidR="00380A6F">
        <w:rPr>
          <w:b/>
          <w:bCs/>
          <w:noProof/>
        </w:rPr>
        <w:t>7</w:t>
      </w:r>
      <w:r w:rsidRPr="00843BFC">
        <w:rPr>
          <w:b/>
          <w:bCs/>
        </w:rPr>
        <w:fldChar w:fldCharType="end"/>
      </w:r>
      <w:r w:rsidRPr="00843BFC">
        <w:rPr>
          <w:b/>
          <w:bCs/>
        </w:rPr>
        <w:t xml:space="preserve"> -</w:t>
      </w:r>
      <w:r>
        <w:t xml:space="preserve"> </w:t>
      </w:r>
      <w:r w:rsidRPr="00697B1B">
        <w:rPr>
          <w:rFonts w:cs="Times New Roman"/>
          <w:bCs/>
        </w:rPr>
        <w:t xml:space="preserve">Medidas estatísticas do ITM por </w:t>
      </w:r>
      <w:r>
        <w:rPr>
          <w:rFonts w:cs="Times New Roman"/>
          <w:bCs/>
        </w:rPr>
        <w:t>D</w:t>
      </w:r>
      <w:bookmarkEnd w:id="96"/>
      <w:r w:rsidR="00203D7D">
        <w:rPr>
          <w:rFonts w:cs="Times New Roman"/>
          <w:bCs/>
        </w:rPr>
        <w:t>E</w:t>
      </w:r>
      <w:bookmarkEnd w:id="97"/>
    </w:p>
    <w:tbl>
      <w:tblPr>
        <w:tblW w:w="893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52"/>
        <w:gridCol w:w="3686"/>
        <w:gridCol w:w="1201"/>
        <w:gridCol w:w="1416"/>
        <w:gridCol w:w="77"/>
      </w:tblGrid>
      <w:tr w:rsidR="001B06A4" w:rsidRPr="00F6269F" w14:paraId="3BDCAB43" w14:textId="77777777" w:rsidTr="00FA4C62">
        <w:trPr>
          <w:cantSplit/>
          <w:jc w:val="center"/>
        </w:trPr>
        <w:tc>
          <w:tcPr>
            <w:tcW w:w="2552" w:type="dxa"/>
            <w:tcBorders>
              <w:top w:val="double" w:sz="4" w:space="0" w:color="auto"/>
              <w:left w:val="nil"/>
              <w:bottom w:val="single" w:sz="4" w:space="0" w:color="auto"/>
              <w:right w:val="nil"/>
            </w:tcBorders>
            <w:shd w:val="clear" w:color="auto" w:fill="E7E6E6" w:themeFill="background2"/>
            <w:vAlign w:val="bottom"/>
          </w:tcPr>
          <w:p w14:paraId="179C9EB2" w14:textId="227DC301" w:rsidR="001B06A4" w:rsidRPr="00D85EEC" w:rsidRDefault="00FA4C62" w:rsidP="009C5227">
            <w:pPr>
              <w:autoSpaceDE w:val="0"/>
              <w:autoSpaceDN w:val="0"/>
              <w:adjustRightInd w:val="0"/>
              <w:spacing w:before="100" w:beforeAutospacing="1" w:after="100" w:afterAutospacing="1" w:line="240" w:lineRule="auto"/>
              <w:rPr>
                <w:rFonts w:cs="Times New Roman"/>
                <w:b/>
                <w:bCs/>
                <w:color w:val="000000"/>
                <w:sz w:val="22"/>
              </w:rPr>
            </w:pPr>
            <w:r>
              <w:rPr>
                <w:rFonts w:cs="Times New Roman"/>
                <w:b/>
                <w:bCs/>
                <w:color w:val="000000"/>
                <w:sz w:val="22"/>
              </w:rPr>
              <w:t xml:space="preserve">Despesa Efetiva </w:t>
            </w:r>
            <w:r w:rsidRPr="00506E82">
              <w:rPr>
                <w:rFonts w:cs="Times New Roman"/>
                <w:b/>
                <w:bCs/>
                <w:i/>
                <w:iCs/>
                <w:color w:val="000000"/>
                <w:sz w:val="22"/>
              </w:rPr>
              <w:t>per capita</w:t>
            </w:r>
          </w:p>
        </w:tc>
        <w:tc>
          <w:tcPr>
            <w:tcW w:w="3686" w:type="dxa"/>
            <w:tcBorders>
              <w:top w:val="double" w:sz="4" w:space="0" w:color="auto"/>
              <w:left w:val="nil"/>
              <w:bottom w:val="single" w:sz="4" w:space="0" w:color="auto"/>
              <w:right w:val="nil"/>
            </w:tcBorders>
            <w:shd w:val="clear" w:color="auto" w:fill="E7E6E6" w:themeFill="background2"/>
            <w:vAlign w:val="bottom"/>
          </w:tcPr>
          <w:p w14:paraId="6E80DE30" w14:textId="77777777" w:rsidR="001B06A4" w:rsidRPr="00D85EEC" w:rsidRDefault="001B06A4" w:rsidP="009C5227">
            <w:pPr>
              <w:autoSpaceDE w:val="0"/>
              <w:autoSpaceDN w:val="0"/>
              <w:adjustRightInd w:val="0"/>
              <w:spacing w:before="100" w:beforeAutospacing="1" w:after="100" w:afterAutospacing="1" w:line="240" w:lineRule="auto"/>
              <w:ind w:left="60" w:right="60"/>
              <w:rPr>
                <w:rFonts w:cs="Times New Roman"/>
                <w:b/>
                <w:bCs/>
                <w:color w:val="000000"/>
                <w:sz w:val="22"/>
              </w:rPr>
            </w:pPr>
          </w:p>
        </w:tc>
        <w:tc>
          <w:tcPr>
            <w:tcW w:w="1201" w:type="dxa"/>
            <w:tcBorders>
              <w:top w:val="double" w:sz="4" w:space="0" w:color="auto"/>
              <w:left w:val="nil"/>
              <w:bottom w:val="single" w:sz="4" w:space="0" w:color="auto"/>
              <w:right w:val="nil"/>
            </w:tcBorders>
            <w:shd w:val="clear" w:color="auto" w:fill="E7E6E6" w:themeFill="background2"/>
            <w:vAlign w:val="bottom"/>
          </w:tcPr>
          <w:p w14:paraId="60D8DB3C" w14:textId="77777777" w:rsidR="001B06A4" w:rsidRPr="00D85EEC" w:rsidRDefault="001B06A4" w:rsidP="009C5227">
            <w:pPr>
              <w:autoSpaceDE w:val="0"/>
              <w:autoSpaceDN w:val="0"/>
              <w:adjustRightInd w:val="0"/>
              <w:spacing w:before="100" w:beforeAutospacing="1" w:after="100" w:afterAutospacing="1" w:line="240" w:lineRule="auto"/>
              <w:ind w:left="60" w:right="60"/>
              <w:jc w:val="right"/>
              <w:rPr>
                <w:rFonts w:cs="Times New Roman"/>
                <w:b/>
                <w:bCs/>
                <w:color w:val="000000"/>
                <w:sz w:val="22"/>
              </w:rPr>
            </w:pPr>
            <w:r w:rsidRPr="00D85EEC">
              <w:rPr>
                <w:rFonts w:cs="Times New Roman"/>
                <w:b/>
                <w:bCs/>
                <w:color w:val="000000"/>
                <w:sz w:val="22"/>
              </w:rPr>
              <w:t>Estatística</w:t>
            </w:r>
          </w:p>
        </w:tc>
        <w:tc>
          <w:tcPr>
            <w:tcW w:w="1493" w:type="dxa"/>
            <w:gridSpan w:val="2"/>
            <w:tcBorders>
              <w:top w:val="double" w:sz="4" w:space="0" w:color="auto"/>
              <w:left w:val="nil"/>
              <w:bottom w:val="single" w:sz="4" w:space="0" w:color="auto"/>
              <w:right w:val="nil"/>
            </w:tcBorders>
            <w:shd w:val="clear" w:color="auto" w:fill="E7E6E6" w:themeFill="background2"/>
            <w:vAlign w:val="bottom"/>
          </w:tcPr>
          <w:p w14:paraId="7A5F7A1D" w14:textId="77777777" w:rsidR="001B06A4" w:rsidRPr="00D85EEC" w:rsidRDefault="001B06A4" w:rsidP="009C5227">
            <w:pPr>
              <w:autoSpaceDE w:val="0"/>
              <w:autoSpaceDN w:val="0"/>
              <w:adjustRightInd w:val="0"/>
              <w:spacing w:before="100" w:beforeAutospacing="1" w:after="100" w:afterAutospacing="1" w:line="240" w:lineRule="auto"/>
              <w:ind w:left="60" w:right="60"/>
              <w:jc w:val="right"/>
              <w:rPr>
                <w:rFonts w:cs="Times New Roman"/>
                <w:b/>
                <w:bCs/>
                <w:color w:val="000000"/>
                <w:sz w:val="22"/>
              </w:rPr>
            </w:pPr>
            <w:r w:rsidRPr="00D85EEC">
              <w:rPr>
                <w:rFonts w:cs="Times New Roman"/>
                <w:b/>
                <w:bCs/>
                <w:color w:val="000000"/>
                <w:sz w:val="22"/>
              </w:rPr>
              <w:t>Desvio Padrão</w:t>
            </w:r>
          </w:p>
        </w:tc>
      </w:tr>
      <w:tr w:rsidR="001B06A4" w:rsidRPr="00F6269F" w14:paraId="678C550F" w14:textId="77777777" w:rsidTr="00FA4C62">
        <w:trPr>
          <w:gridAfter w:val="1"/>
          <w:wAfter w:w="77" w:type="dxa"/>
          <w:cantSplit/>
          <w:jc w:val="center"/>
        </w:trPr>
        <w:tc>
          <w:tcPr>
            <w:tcW w:w="2552" w:type="dxa"/>
            <w:vMerge w:val="restart"/>
            <w:tcBorders>
              <w:top w:val="single" w:sz="4" w:space="0" w:color="auto"/>
              <w:left w:val="nil"/>
              <w:right w:val="nil"/>
            </w:tcBorders>
            <w:shd w:val="clear" w:color="auto" w:fill="FFFFFF" w:themeFill="background1"/>
          </w:tcPr>
          <w:p w14:paraId="1BA30594" w14:textId="3752EF74" w:rsidR="001B06A4" w:rsidRPr="00962A49" w:rsidRDefault="00962A49"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r w:rsidRPr="00962A49">
              <w:rPr>
                <w:rFonts w:asciiTheme="majorBidi" w:hAnsiTheme="majorBidi" w:cstheme="majorBidi"/>
                <w:color w:val="000000"/>
                <w:sz w:val="22"/>
              </w:rPr>
              <w:t>Municípios</w:t>
            </w:r>
            <w:r w:rsidRPr="006F398B">
              <w:rPr>
                <w:rFonts w:asciiTheme="majorBidi" w:hAnsiTheme="majorBidi" w:cstheme="majorBidi"/>
                <w:color w:val="000000"/>
                <w:sz w:val="22"/>
              </w:rPr>
              <w:t xml:space="preserve"> c/ </w:t>
            </w:r>
            <w:r w:rsidR="00843BFC">
              <w:rPr>
                <w:rFonts w:asciiTheme="majorBidi" w:hAnsiTheme="majorBidi" w:cstheme="majorBidi"/>
                <w:color w:val="000000"/>
                <w:sz w:val="22"/>
              </w:rPr>
              <w:t>menor</w:t>
            </w:r>
            <w:r w:rsidRPr="006F398B">
              <w:rPr>
                <w:rFonts w:asciiTheme="majorBidi" w:hAnsiTheme="majorBidi" w:cstheme="majorBidi"/>
                <w:color w:val="000000"/>
                <w:sz w:val="22"/>
              </w:rPr>
              <w:t xml:space="preserve"> </w:t>
            </w:r>
            <w:r w:rsidR="00203D7D">
              <w:rPr>
                <w:rFonts w:asciiTheme="majorBidi" w:hAnsiTheme="majorBidi" w:cstheme="majorBidi"/>
                <w:color w:val="000000"/>
                <w:sz w:val="22"/>
              </w:rPr>
              <w:t xml:space="preserve">despesa efetiva </w:t>
            </w:r>
            <w:r w:rsidR="00203D7D" w:rsidRPr="00506E82">
              <w:rPr>
                <w:rFonts w:asciiTheme="majorBidi" w:hAnsiTheme="majorBidi" w:cstheme="majorBidi"/>
                <w:i/>
                <w:iCs/>
                <w:color w:val="000000"/>
                <w:sz w:val="22"/>
              </w:rPr>
              <w:t>per capita</w:t>
            </w:r>
          </w:p>
        </w:tc>
        <w:tc>
          <w:tcPr>
            <w:tcW w:w="3686" w:type="dxa"/>
            <w:tcBorders>
              <w:top w:val="single" w:sz="4" w:space="0" w:color="auto"/>
              <w:left w:val="nil"/>
              <w:bottom w:val="nil"/>
              <w:right w:val="nil"/>
            </w:tcBorders>
            <w:shd w:val="clear" w:color="auto" w:fill="FFFFFF" w:themeFill="background1"/>
          </w:tcPr>
          <w:p w14:paraId="5819C93E" w14:textId="042F03E7" w:rsidR="001B06A4" w:rsidRPr="00CB57E5" w:rsidRDefault="001B06A4"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B57E5">
              <w:rPr>
                <w:rFonts w:asciiTheme="majorBidi" w:hAnsiTheme="majorBidi" w:cstheme="majorBidi"/>
                <w:color w:val="000000"/>
                <w:sz w:val="22"/>
              </w:rPr>
              <w:t>N=</w:t>
            </w:r>
            <w:r w:rsidR="00DC67F3">
              <w:rPr>
                <w:rFonts w:asciiTheme="majorBidi" w:hAnsiTheme="majorBidi" w:cstheme="majorBidi"/>
                <w:color w:val="000000"/>
                <w:sz w:val="22"/>
              </w:rPr>
              <w:t>924</w:t>
            </w:r>
          </w:p>
        </w:tc>
        <w:tc>
          <w:tcPr>
            <w:tcW w:w="1201" w:type="dxa"/>
            <w:tcBorders>
              <w:top w:val="single" w:sz="4" w:space="0" w:color="auto"/>
              <w:left w:val="nil"/>
              <w:bottom w:val="nil"/>
              <w:right w:val="nil"/>
            </w:tcBorders>
            <w:shd w:val="clear" w:color="auto" w:fill="FFFFFF" w:themeFill="background1"/>
          </w:tcPr>
          <w:p w14:paraId="704A3E7D" w14:textId="21ACF013" w:rsidR="001B06A4" w:rsidRPr="00CB57E5" w:rsidRDefault="001B06A4"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c>
          <w:tcPr>
            <w:tcW w:w="1416" w:type="dxa"/>
            <w:tcBorders>
              <w:top w:val="single" w:sz="4" w:space="0" w:color="auto"/>
              <w:left w:val="nil"/>
              <w:bottom w:val="nil"/>
              <w:right w:val="nil"/>
            </w:tcBorders>
            <w:shd w:val="clear" w:color="auto" w:fill="FFFFFF" w:themeFill="background1"/>
          </w:tcPr>
          <w:p w14:paraId="6B4C41FC" w14:textId="77777777" w:rsidR="001B06A4" w:rsidRPr="00CB57E5" w:rsidRDefault="001B06A4"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DC67F3" w:rsidRPr="00F6269F" w14:paraId="3C2EAFB9" w14:textId="77777777" w:rsidTr="00FA4C62">
        <w:trPr>
          <w:gridAfter w:val="1"/>
          <w:wAfter w:w="77" w:type="dxa"/>
          <w:cantSplit/>
          <w:jc w:val="center"/>
        </w:trPr>
        <w:tc>
          <w:tcPr>
            <w:tcW w:w="2552" w:type="dxa"/>
            <w:vMerge/>
            <w:tcBorders>
              <w:left w:val="nil"/>
              <w:right w:val="nil"/>
            </w:tcBorders>
            <w:shd w:val="clear" w:color="auto" w:fill="FFFFFF" w:themeFill="background1"/>
            <w:vAlign w:val="bottom"/>
          </w:tcPr>
          <w:p w14:paraId="0DA80BAD" w14:textId="77777777" w:rsidR="00DC67F3" w:rsidRPr="00CB57E5" w:rsidRDefault="00DC67F3" w:rsidP="00DC67F3">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E7E6E6" w:themeFill="background2"/>
          </w:tcPr>
          <w:p w14:paraId="02D49C8E" w14:textId="77777777" w:rsidR="00DC67F3" w:rsidRPr="00CB57E5" w:rsidRDefault="00DC67F3" w:rsidP="00DC67F3">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Média</w:t>
            </w:r>
          </w:p>
        </w:tc>
        <w:tc>
          <w:tcPr>
            <w:tcW w:w="1201" w:type="dxa"/>
            <w:tcBorders>
              <w:top w:val="nil"/>
              <w:left w:val="nil"/>
              <w:bottom w:val="nil"/>
              <w:right w:val="nil"/>
            </w:tcBorders>
            <w:shd w:val="clear" w:color="auto" w:fill="E7E6E6" w:themeFill="background2"/>
          </w:tcPr>
          <w:p w14:paraId="3186A99C" w14:textId="3B6FB754"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44,7357</w:t>
            </w:r>
          </w:p>
        </w:tc>
        <w:tc>
          <w:tcPr>
            <w:tcW w:w="1416" w:type="dxa"/>
            <w:tcBorders>
              <w:top w:val="nil"/>
              <w:left w:val="nil"/>
              <w:bottom w:val="nil"/>
              <w:right w:val="nil"/>
            </w:tcBorders>
            <w:shd w:val="clear" w:color="auto" w:fill="E7E6E6" w:themeFill="background2"/>
          </w:tcPr>
          <w:p w14:paraId="16259E18" w14:textId="32F2ED6F"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,55393</w:t>
            </w:r>
          </w:p>
        </w:tc>
      </w:tr>
      <w:tr w:rsidR="00DC67F3" w:rsidRPr="00F6269F" w14:paraId="5A410561" w14:textId="77777777" w:rsidTr="00FA4C62">
        <w:trPr>
          <w:gridAfter w:val="1"/>
          <w:wAfter w:w="77" w:type="dxa"/>
          <w:cantSplit/>
          <w:jc w:val="center"/>
        </w:trPr>
        <w:tc>
          <w:tcPr>
            <w:tcW w:w="2552" w:type="dxa"/>
            <w:vMerge/>
            <w:tcBorders>
              <w:left w:val="nil"/>
              <w:right w:val="nil"/>
            </w:tcBorders>
            <w:shd w:val="clear" w:color="auto" w:fill="FFFFFF" w:themeFill="background1"/>
            <w:vAlign w:val="bottom"/>
          </w:tcPr>
          <w:p w14:paraId="66181E1A" w14:textId="77777777" w:rsidR="00DC67F3" w:rsidRPr="00CB57E5" w:rsidRDefault="00DC67F3" w:rsidP="00DC67F3">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FFFFFF" w:themeFill="background1"/>
          </w:tcPr>
          <w:p w14:paraId="4647B9BD" w14:textId="77777777" w:rsidR="00DC67F3" w:rsidRPr="00CB57E5" w:rsidRDefault="00DC67F3" w:rsidP="00DC67F3">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Mediana</w:t>
            </w:r>
          </w:p>
        </w:tc>
        <w:tc>
          <w:tcPr>
            <w:tcW w:w="1201" w:type="dxa"/>
            <w:tcBorders>
              <w:top w:val="nil"/>
              <w:left w:val="nil"/>
              <w:bottom w:val="nil"/>
              <w:right w:val="nil"/>
            </w:tcBorders>
            <w:shd w:val="clear" w:color="auto" w:fill="FFFFFF" w:themeFill="background1"/>
          </w:tcPr>
          <w:p w14:paraId="48AD6FE3" w14:textId="38112C15"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41,0664</w:t>
            </w:r>
          </w:p>
        </w:tc>
        <w:tc>
          <w:tcPr>
            <w:tcW w:w="1416" w:type="dxa"/>
            <w:tcBorders>
              <w:top w:val="nil"/>
              <w:left w:val="nil"/>
              <w:bottom w:val="nil"/>
              <w:right w:val="nil"/>
            </w:tcBorders>
            <w:shd w:val="clear" w:color="auto" w:fill="FFFFFF" w:themeFill="background1"/>
            <w:vAlign w:val="center"/>
          </w:tcPr>
          <w:p w14:paraId="40AA2457" w14:textId="77777777"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DC67F3" w:rsidRPr="00F6269F" w14:paraId="5D015E24" w14:textId="77777777" w:rsidTr="00FA4C62">
        <w:trPr>
          <w:gridAfter w:val="1"/>
          <w:wAfter w:w="77" w:type="dxa"/>
          <w:cantSplit/>
          <w:jc w:val="center"/>
        </w:trPr>
        <w:tc>
          <w:tcPr>
            <w:tcW w:w="2552" w:type="dxa"/>
            <w:vMerge/>
            <w:tcBorders>
              <w:left w:val="nil"/>
              <w:right w:val="nil"/>
            </w:tcBorders>
            <w:shd w:val="clear" w:color="auto" w:fill="FFFFFF" w:themeFill="background1"/>
            <w:vAlign w:val="bottom"/>
          </w:tcPr>
          <w:p w14:paraId="0B784A09" w14:textId="77777777" w:rsidR="00DC67F3" w:rsidRPr="00CB57E5" w:rsidRDefault="00DC67F3" w:rsidP="00DC67F3">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E7E6E6" w:themeFill="background2"/>
          </w:tcPr>
          <w:p w14:paraId="20BCEF0C" w14:textId="77777777" w:rsidR="00DC67F3" w:rsidRPr="00CB57E5" w:rsidRDefault="00DC67F3" w:rsidP="00DC67F3">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Variância</w:t>
            </w:r>
          </w:p>
        </w:tc>
        <w:tc>
          <w:tcPr>
            <w:tcW w:w="1201" w:type="dxa"/>
            <w:tcBorders>
              <w:top w:val="nil"/>
              <w:left w:val="nil"/>
              <w:bottom w:val="nil"/>
              <w:right w:val="nil"/>
            </w:tcBorders>
            <w:shd w:val="clear" w:color="auto" w:fill="E7E6E6" w:themeFill="background2"/>
          </w:tcPr>
          <w:p w14:paraId="0B2B668B" w14:textId="1FEFA835"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283,521</w:t>
            </w:r>
          </w:p>
        </w:tc>
        <w:tc>
          <w:tcPr>
            <w:tcW w:w="1416" w:type="dxa"/>
            <w:tcBorders>
              <w:top w:val="nil"/>
              <w:left w:val="nil"/>
              <w:bottom w:val="nil"/>
              <w:right w:val="nil"/>
            </w:tcBorders>
            <w:shd w:val="clear" w:color="auto" w:fill="E7E6E6" w:themeFill="background2"/>
            <w:vAlign w:val="center"/>
          </w:tcPr>
          <w:p w14:paraId="1B09AB67" w14:textId="77777777"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DC67F3" w:rsidRPr="00F6269F" w14:paraId="7128A9BC" w14:textId="77777777" w:rsidTr="00FA4C62">
        <w:trPr>
          <w:gridAfter w:val="1"/>
          <w:wAfter w:w="77" w:type="dxa"/>
          <w:cantSplit/>
          <w:jc w:val="center"/>
        </w:trPr>
        <w:tc>
          <w:tcPr>
            <w:tcW w:w="2552" w:type="dxa"/>
            <w:vMerge/>
            <w:tcBorders>
              <w:left w:val="nil"/>
              <w:right w:val="nil"/>
            </w:tcBorders>
            <w:shd w:val="clear" w:color="auto" w:fill="FFFFFF" w:themeFill="background1"/>
            <w:vAlign w:val="bottom"/>
          </w:tcPr>
          <w:p w14:paraId="18856F1C" w14:textId="77777777" w:rsidR="00DC67F3" w:rsidRPr="00CB57E5" w:rsidRDefault="00DC67F3" w:rsidP="00DC67F3">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FFFFFF" w:themeFill="background1"/>
          </w:tcPr>
          <w:p w14:paraId="52044B74" w14:textId="77777777" w:rsidR="00DC67F3" w:rsidRPr="00CB57E5" w:rsidRDefault="00DC67F3" w:rsidP="00DC67F3">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Erro Padrão</w:t>
            </w:r>
          </w:p>
        </w:tc>
        <w:tc>
          <w:tcPr>
            <w:tcW w:w="1201" w:type="dxa"/>
            <w:tcBorders>
              <w:top w:val="nil"/>
              <w:left w:val="nil"/>
              <w:bottom w:val="nil"/>
              <w:right w:val="nil"/>
            </w:tcBorders>
            <w:shd w:val="clear" w:color="auto" w:fill="FFFFFF" w:themeFill="background1"/>
          </w:tcPr>
          <w:p w14:paraId="09CF8985" w14:textId="5D1C2921"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16,83809</w:t>
            </w:r>
          </w:p>
        </w:tc>
        <w:tc>
          <w:tcPr>
            <w:tcW w:w="1416" w:type="dxa"/>
            <w:tcBorders>
              <w:top w:val="nil"/>
              <w:left w:val="nil"/>
              <w:bottom w:val="nil"/>
              <w:right w:val="nil"/>
            </w:tcBorders>
            <w:shd w:val="clear" w:color="auto" w:fill="FFFFFF" w:themeFill="background1"/>
            <w:vAlign w:val="center"/>
          </w:tcPr>
          <w:p w14:paraId="79DB67C3" w14:textId="77777777"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DC67F3" w:rsidRPr="00F6269F" w14:paraId="4B36EBB9" w14:textId="77777777" w:rsidTr="00FA4C62">
        <w:trPr>
          <w:gridAfter w:val="1"/>
          <w:wAfter w:w="77" w:type="dxa"/>
          <w:cantSplit/>
          <w:jc w:val="center"/>
        </w:trPr>
        <w:tc>
          <w:tcPr>
            <w:tcW w:w="2552" w:type="dxa"/>
            <w:vMerge/>
            <w:tcBorders>
              <w:left w:val="nil"/>
              <w:right w:val="nil"/>
            </w:tcBorders>
            <w:shd w:val="clear" w:color="auto" w:fill="FFFFFF" w:themeFill="background1"/>
            <w:vAlign w:val="bottom"/>
          </w:tcPr>
          <w:p w14:paraId="400481EA" w14:textId="77777777" w:rsidR="00DC67F3" w:rsidRPr="00CB57E5" w:rsidRDefault="00DC67F3" w:rsidP="00DC67F3">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E7E6E6" w:themeFill="background2"/>
          </w:tcPr>
          <w:p w14:paraId="07F8C826" w14:textId="77777777" w:rsidR="00DC67F3" w:rsidRPr="00CB57E5" w:rsidRDefault="00DC67F3" w:rsidP="00DC67F3">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Mínimo</w:t>
            </w:r>
          </w:p>
        </w:tc>
        <w:tc>
          <w:tcPr>
            <w:tcW w:w="1201" w:type="dxa"/>
            <w:tcBorders>
              <w:top w:val="nil"/>
              <w:left w:val="nil"/>
              <w:bottom w:val="nil"/>
              <w:right w:val="nil"/>
            </w:tcBorders>
            <w:shd w:val="clear" w:color="auto" w:fill="E7E6E6" w:themeFill="background2"/>
          </w:tcPr>
          <w:p w14:paraId="6E2320FC" w14:textId="12CD13AE"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3,02</w:t>
            </w:r>
          </w:p>
        </w:tc>
        <w:tc>
          <w:tcPr>
            <w:tcW w:w="1416" w:type="dxa"/>
            <w:tcBorders>
              <w:top w:val="nil"/>
              <w:left w:val="nil"/>
              <w:bottom w:val="nil"/>
              <w:right w:val="nil"/>
            </w:tcBorders>
            <w:shd w:val="clear" w:color="auto" w:fill="E7E6E6" w:themeFill="background2"/>
            <w:vAlign w:val="center"/>
          </w:tcPr>
          <w:p w14:paraId="54B552D1" w14:textId="77777777"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DC67F3" w:rsidRPr="00F6269F" w14:paraId="457025BC" w14:textId="77777777" w:rsidTr="00FA4C62">
        <w:trPr>
          <w:gridAfter w:val="1"/>
          <w:wAfter w:w="77" w:type="dxa"/>
          <w:cantSplit/>
          <w:jc w:val="center"/>
        </w:trPr>
        <w:tc>
          <w:tcPr>
            <w:tcW w:w="2552" w:type="dxa"/>
            <w:vMerge/>
            <w:tcBorders>
              <w:left w:val="nil"/>
              <w:right w:val="nil"/>
            </w:tcBorders>
            <w:shd w:val="clear" w:color="auto" w:fill="FFFFFF" w:themeFill="background1"/>
            <w:vAlign w:val="bottom"/>
          </w:tcPr>
          <w:p w14:paraId="14FE0335" w14:textId="77777777" w:rsidR="00DC67F3" w:rsidRPr="00CB57E5" w:rsidRDefault="00DC67F3" w:rsidP="00DC67F3">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FFFFFF" w:themeFill="background1"/>
          </w:tcPr>
          <w:p w14:paraId="6FCDCA6A" w14:textId="77777777" w:rsidR="00DC67F3" w:rsidRPr="00CB57E5" w:rsidRDefault="00DC67F3" w:rsidP="00DC67F3">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Máximo</w:t>
            </w:r>
          </w:p>
        </w:tc>
        <w:tc>
          <w:tcPr>
            <w:tcW w:w="1201" w:type="dxa"/>
            <w:tcBorders>
              <w:top w:val="nil"/>
              <w:left w:val="nil"/>
              <w:bottom w:val="nil"/>
              <w:right w:val="nil"/>
            </w:tcBorders>
            <w:shd w:val="clear" w:color="auto" w:fill="FFFFFF" w:themeFill="background1"/>
          </w:tcPr>
          <w:p w14:paraId="44DB2D42" w14:textId="11CE5D8D"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98,21</w:t>
            </w:r>
          </w:p>
        </w:tc>
        <w:tc>
          <w:tcPr>
            <w:tcW w:w="1416" w:type="dxa"/>
            <w:tcBorders>
              <w:top w:val="nil"/>
              <w:left w:val="nil"/>
              <w:bottom w:val="nil"/>
              <w:right w:val="nil"/>
            </w:tcBorders>
            <w:shd w:val="clear" w:color="auto" w:fill="FFFFFF" w:themeFill="background1"/>
            <w:vAlign w:val="center"/>
          </w:tcPr>
          <w:p w14:paraId="2764146B" w14:textId="77777777"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DC67F3" w:rsidRPr="00F6269F" w14:paraId="5B22ED95" w14:textId="77777777" w:rsidTr="00FA4C62">
        <w:trPr>
          <w:gridAfter w:val="1"/>
          <w:wAfter w:w="77" w:type="dxa"/>
          <w:cantSplit/>
          <w:jc w:val="center"/>
        </w:trPr>
        <w:tc>
          <w:tcPr>
            <w:tcW w:w="2552" w:type="dxa"/>
            <w:vMerge/>
            <w:tcBorders>
              <w:left w:val="nil"/>
              <w:right w:val="nil"/>
            </w:tcBorders>
            <w:shd w:val="clear" w:color="auto" w:fill="FFFFFF" w:themeFill="background1"/>
            <w:vAlign w:val="bottom"/>
          </w:tcPr>
          <w:p w14:paraId="7A648778" w14:textId="77777777" w:rsidR="00DC67F3" w:rsidRPr="00CB57E5" w:rsidRDefault="00DC67F3" w:rsidP="00DC67F3">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E7E6E6" w:themeFill="background2"/>
          </w:tcPr>
          <w:p w14:paraId="7DADEF31" w14:textId="77777777" w:rsidR="00DC67F3" w:rsidRPr="00CB57E5" w:rsidRDefault="00DC67F3" w:rsidP="00DC67F3">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Amplitude</w:t>
            </w:r>
          </w:p>
        </w:tc>
        <w:tc>
          <w:tcPr>
            <w:tcW w:w="1201" w:type="dxa"/>
            <w:tcBorders>
              <w:top w:val="nil"/>
              <w:left w:val="nil"/>
              <w:bottom w:val="nil"/>
              <w:right w:val="nil"/>
            </w:tcBorders>
            <w:shd w:val="clear" w:color="auto" w:fill="E7E6E6" w:themeFill="background2"/>
          </w:tcPr>
          <w:p w14:paraId="14BE1A86" w14:textId="3565C485"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95,19</w:t>
            </w:r>
          </w:p>
        </w:tc>
        <w:tc>
          <w:tcPr>
            <w:tcW w:w="1416" w:type="dxa"/>
            <w:tcBorders>
              <w:top w:val="nil"/>
              <w:left w:val="nil"/>
              <w:bottom w:val="nil"/>
              <w:right w:val="nil"/>
            </w:tcBorders>
            <w:shd w:val="clear" w:color="auto" w:fill="E7E6E6" w:themeFill="background2"/>
            <w:vAlign w:val="center"/>
          </w:tcPr>
          <w:p w14:paraId="5C0C338F" w14:textId="77777777"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DC67F3" w:rsidRPr="00F6269F" w14:paraId="5FEB288F" w14:textId="77777777" w:rsidTr="00FA4C62">
        <w:trPr>
          <w:gridAfter w:val="1"/>
          <w:wAfter w:w="77" w:type="dxa"/>
          <w:cantSplit/>
          <w:jc w:val="center"/>
        </w:trPr>
        <w:tc>
          <w:tcPr>
            <w:tcW w:w="2552" w:type="dxa"/>
            <w:vMerge/>
            <w:tcBorders>
              <w:left w:val="nil"/>
              <w:right w:val="nil"/>
            </w:tcBorders>
            <w:shd w:val="clear" w:color="auto" w:fill="FFFFFF" w:themeFill="background1"/>
            <w:vAlign w:val="bottom"/>
          </w:tcPr>
          <w:p w14:paraId="660157E6" w14:textId="77777777" w:rsidR="00DC67F3" w:rsidRPr="00CB57E5" w:rsidRDefault="00DC67F3" w:rsidP="00DC67F3">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FFFFFF" w:themeFill="background1"/>
          </w:tcPr>
          <w:p w14:paraId="5C960C89" w14:textId="77777777" w:rsidR="00DC67F3" w:rsidRPr="00CB57E5" w:rsidRDefault="00DC67F3" w:rsidP="00DC67F3">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Amplitude interquartil</w:t>
            </w:r>
          </w:p>
        </w:tc>
        <w:tc>
          <w:tcPr>
            <w:tcW w:w="1201" w:type="dxa"/>
            <w:tcBorders>
              <w:top w:val="nil"/>
              <w:left w:val="nil"/>
              <w:bottom w:val="nil"/>
              <w:right w:val="nil"/>
            </w:tcBorders>
            <w:shd w:val="clear" w:color="auto" w:fill="FFFFFF" w:themeFill="background1"/>
          </w:tcPr>
          <w:p w14:paraId="036BD8E3" w14:textId="1A9A667F"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22,08</w:t>
            </w:r>
          </w:p>
        </w:tc>
        <w:tc>
          <w:tcPr>
            <w:tcW w:w="1416" w:type="dxa"/>
            <w:tcBorders>
              <w:top w:val="nil"/>
              <w:left w:val="nil"/>
              <w:bottom w:val="nil"/>
              <w:right w:val="nil"/>
            </w:tcBorders>
            <w:shd w:val="clear" w:color="auto" w:fill="FFFFFF" w:themeFill="background1"/>
            <w:vAlign w:val="center"/>
          </w:tcPr>
          <w:p w14:paraId="5B6C2C45" w14:textId="77777777"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DC67F3" w:rsidRPr="00F6269F" w14:paraId="6593BF36" w14:textId="77777777" w:rsidTr="00FA4C62">
        <w:trPr>
          <w:gridAfter w:val="1"/>
          <w:wAfter w:w="77" w:type="dxa"/>
          <w:cantSplit/>
          <w:jc w:val="center"/>
        </w:trPr>
        <w:tc>
          <w:tcPr>
            <w:tcW w:w="2552" w:type="dxa"/>
            <w:vMerge/>
            <w:tcBorders>
              <w:left w:val="nil"/>
              <w:right w:val="nil"/>
            </w:tcBorders>
            <w:shd w:val="clear" w:color="auto" w:fill="FFFFFF" w:themeFill="background1"/>
            <w:vAlign w:val="bottom"/>
          </w:tcPr>
          <w:p w14:paraId="5B7FD974" w14:textId="77777777" w:rsidR="00DC67F3" w:rsidRPr="00CB57E5" w:rsidRDefault="00DC67F3" w:rsidP="00DC67F3">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E7E6E6" w:themeFill="background2"/>
          </w:tcPr>
          <w:p w14:paraId="52C6195F" w14:textId="77777777" w:rsidR="00DC67F3" w:rsidRPr="00CB57E5" w:rsidRDefault="00DC67F3" w:rsidP="00DC67F3">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Assimetria</w:t>
            </w:r>
          </w:p>
        </w:tc>
        <w:tc>
          <w:tcPr>
            <w:tcW w:w="1201" w:type="dxa"/>
            <w:tcBorders>
              <w:top w:val="nil"/>
              <w:left w:val="nil"/>
              <w:bottom w:val="nil"/>
              <w:right w:val="nil"/>
            </w:tcBorders>
            <w:shd w:val="clear" w:color="auto" w:fill="E7E6E6" w:themeFill="background2"/>
          </w:tcPr>
          <w:p w14:paraId="14C83060" w14:textId="62C2B5A4"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0,702</w:t>
            </w:r>
          </w:p>
        </w:tc>
        <w:tc>
          <w:tcPr>
            <w:tcW w:w="1416" w:type="dxa"/>
            <w:tcBorders>
              <w:top w:val="nil"/>
              <w:left w:val="nil"/>
              <w:bottom w:val="nil"/>
              <w:right w:val="nil"/>
            </w:tcBorders>
            <w:shd w:val="clear" w:color="auto" w:fill="E7E6E6" w:themeFill="background2"/>
          </w:tcPr>
          <w:p w14:paraId="5EF484B3" w14:textId="3F37F4D5"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0,080</w:t>
            </w:r>
          </w:p>
        </w:tc>
      </w:tr>
      <w:tr w:rsidR="00DC67F3" w:rsidRPr="00F6269F" w14:paraId="6C63976A" w14:textId="77777777" w:rsidTr="00FA4C62">
        <w:trPr>
          <w:gridAfter w:val="1"/>
          <w:wAfter w:w="77" w:type="dxa"/>
          <w:cantSplit/>
          <w:jc w:val="center"/>
        </w:trPr>
        <w:tc>
          <w:tcPr>
            <w:tcW w:w="2552" w:type="dxa"/>
            <w:vMerge/>
            <w:tcBorders>
              <w:left w:val="nil"/>
              <w:bottom w:val="single" w:sz="4" w:space="0" w:color="auto"/>
              <w:right w:val="nil"/>
            </w:tcBorders>
            <w:shd w:val="clear" w:color="auto" w:fill="FFFFFF" w:themeFill="background1"/>
            <w:vAlign w:val="bottom"/>
          </w:tcPr>
          <w:p w14:paraId="701B61F1" w14:textId="77777777" w:rsidR="00DC67F3" w:rsidRPr="00CB57E5" w:rsidRDefault="00DC67F3" w:rsidP="00DC67F3">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single" w:sz="4" w:space="0" w:color="auto"/>
              <w:right w:val="nil"/>
            </w:tcBorders>
            <w:shd w:val="clear" w:color="auto" w:fill="FFFFFF" w:themeFill="background1"/>
          </w:tcPr>
          <w:p w14:paraId="658946E5" w14:textId="77777777" w:rsidR="00DC67F3" w:rsidRPr="00CB57E5" w:rsidRDefault="00DC67F3" w:rsidP="00DC67F3">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proofErr w:type="spellStart"/>
            <w:r w:rsidRPr="00B85D45">
              <w:rPr>
                <w:rFonts w:asciiTheme="majorBidi" w:hAnsiTheme="majorBidi" w:cstheme="majorBidi"/>
                <w:color w:val="000000"/>
                <w:sz w:val="22"/>
              </w:rPr>
              <w:t>Curtose</w:t>
            </w:r>
            <w:proofErr w:type="spellEnd"/>
          </w:p>
        </w:tc>
        <w:tc>
          <w:tcPr>
            <w:tcW w:w="1201" w:type="dxa"/>
            <w:tcBorders>
              <w:top w:val="nil"/>
              <w:left w:val="nil"/>
              <w:bottom w:val="single" w:sz="4" w:space="0" w:color="auto"/>
              <w:right w:val="nil"/>
            </w:tcBorders>
            <w:shd w:val="clear" w:color="auto" w:fill="FFFFFF" w:themeFill="background1"/>
          </w:tcPr>
          <w:p w14:paraId="5E71B234" w14:textId="62BF52D5"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0,340</w:t>
            </w:r>
          </w:p>
        </w:tc>
        <w:tc>
          <w:tcPr>
            <w:tcW w:w="1416" w:type="dxa"/>
            <w:tcBorders>
              <w:top w:val="nil"/>
              <w:left w:val="nil"/>
              <w:bottom w:val="single" w:sz="4" w:space="0" w:color="auto"/>
              <w:right w:val="nil"/>
            </w:tcBorders>
            <w:shd w:val="clear" w:color="auto" w:fill="FFFFFF" w:themeFill="background1"/>
          </w:tcPr>
          <w:p w14:paraId="4ACE6E20" w14:textId="37997184"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0,161</w:t>
            </w:r>
          </w:p>
        </w:tc>
      </w:tr>
      <w:tr w:rsidR="001B06A4" w:rsidRPr="00355D63" w14:paraId="780E2939" w14:textId="77777777" w:rsidTr="00FA4C62">
        <w:trPr>
          <w:gridAfter w:val="1"/>
          <w:wAfter w:w="77" w:type="dxa"/>
          <w:cantSplit/>
          <w:jc w:val="center"/>
        </w:trPr>
        <w:tc>
          <w:tcPr>
            <w:tcW w:w="2552" w:type="dxa"/>
            <w:vMerge w:val="restart"/>
            <w:tcBorders>
              <w:left w:val="nil"/>
              <w:right w:val="nil"/>
            </w:tcBorders>
            <w:shd w:val="clear" w:color="auto" w:fill="FFFFFF" w:themeFill="background1"/>
          </w:tcPr>
          <w:p w14:paraId="43B4BCE3" w14:textId="29EFF592" w:rsidR="001B06A4" w:rsidRPr="00962A49" w:rsidRDefault="00962A49"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r w:rsidRPr="00962A49">
              <w:rPr>
                <w:rFonts w:asciiTheme="majorBidi" w:hAnsiTheme="majorBidi" w:cstheme="majorBidi"/>
                <w:color w:val="000000"/>
                <w:sz w:val="22"/>
              </w:rPr>
              <w:t>Municípios</w:t>
            </w:r>
            <w:r w:rsidRPr="006F398B">
              <w:rPr>
                <w:rFonts w:asciiTheme="majorBidi" w:hAnsiTheme="majorBidi" w:cstheme="majorBidi"/>
                <w:color w:val="000000"/>
                <w:sz w:val="22"/>
              </w:rPr>
              <w:t xml:space="preserve"> c/ maior </w:t>
            </w:r>
            <w:r w:rsidR="00203D7D">
              <w:rPr>
                <w:rFonts w:asciiTheme="majorBidi" w:hAnsiTheme="majorBidi" w:cstheme="majorBidi"/>
                <w:color w:val="000000"/>
                <w:sz w:val="22"/>
              </w:rPr>
              <w:t xml:space="preserve">despesa efetiva </w:t>
            </w:r>
            <w:r w:rsidR="00203D7D" w:rsidRPr="00506E82">
              <w:rPr>
                <w:rFonts w:asciiTheme="majorBidi" w:hAnsiTheme="majorBidi" w:cstheme="majorBidi"/>
                <w:i/>
                <w:iCs/>
                <w:color w:val="000000"/>
                <w:sz w:val="22"/>
              </w:rPr>
              <w:t>per capita</w:t>
            </w:r>
          </w:p>
        </w:tc>
        <w:tc>
          <w:tcPr>
            <w:tcW w:w="3686" w:type="dxa"/>
            <w:tcBorders>
              <w:top w:val="nil"/>
              <w:left w:val="nil"/>
              <w:bottom w:val="nil"/>
              <w:right w:val="nil"/>
            </w:tcBorders>
            <w:shd w:val="clear" w:color="auto" w:fill="FFFFFF" w:themeFill="background1"/>
          </w:tcPr>
          <w:p w14:paraId="07BF2237" w14:textId="02D98032" w:rsidR="001B06A4" w:rsidRPr="00CB57E5" w:rsidRDefault="001B06A4"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B57E5">
              <w:rPr>
                <w:rFonts w:asciiTheme="majorBidi" w:hAnsiTheme="majorBidi" w:cstheme="majorBidi"/>
                <w:color w:val="000000"/>
                <w:sz w:val="22"/>
              </w:rPr>
              <w:t>N=</w:t>
            </w:r>
            <w:r w:rsidR="00DC67F3">
              <w:rPr>
                <w:rFonts w:asciiTheme="majorBidi" w:hAnsiTheme="majorBidi" w:cstheme="majorBidi"/>
                <w:color w:val="000000"/>
                <w:sz w:val="22"/>
              </w:rPr>
              <w:t>616</w:t>
            </w:r>
          </w:p>
        </w:tc>
        <w:tc>
          <w:tcPr>
            <w:tcW w:w="1201" w:type="dxa"/>
            <w:tcBorders>
              <w:top w:val="nil"/>
              <w:left w:val="nil"/>
              <w:bottom w:val="nil"/>
              <w:right w:val="nil"/>
            </w:tcBorders>
            <w:shd w:val="clear" w:color="auto" w:fill="FFFFFF" w:themeFill="background1"/>
          </w:tcPr>
          <w:p w14:paraId="4A9051FA" w14:textId="19857BB1" w:rsidR="001B06A4" w:rsidRPr="00CB57E5" w:rsidRDefault="001B06A4"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c>
          <w:tcPr>
            <w:tcW w:w="1416" w:type="dxa"/>
            <w:tcBorders>
              <w:top w:val="nil"/>
              <w:left w:val="nil"/>
              <w:bottom w:val="nil"/>
              <w:right w:val="nil"/>
            </w:tcBorders>
            <w:shd w:val="clear" w:color="auto" w:fill="FFFFFF" w:themeFill="background1"/>
          </w:tcPr>
          <w:p w14:paraId="1DA5ADED" w14:textId="77777777" w:rsidR="001B06A4" w:rsidRPr="00CB57E5" w:rsidRDefault="001B06A4"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BB43BD" w:rsidRPr="00355D63" w14:paraId="7C354D54" w14:textId="77777777" w:rsidTr="00FA4C62">
        <w:trPr>
          <w:gridAfter w:val="1"/>
          <w:wAfter w:w="77" w:type="dxa"/>
          <w:cantSplit/>
          <w:jc w:val="center"/>
        </w:trPr>
        <w:tc>
          <w:tcPr>
            <w:tcW w:w="2552" w:type="dxa"/>
            <w:vMerge/>
            <w:tcBorders>
              <w:left w:val="nil"/>
              <w:right w:val="nil"/>
            </w:tcBorders>
            <w:shd w:val="clear" w:color="auto" w:fill="FFFFFF" w:themeFill="background1"/>
            <w:vAlign w:val="bottom"/>
          </w:tcPr>
          <w:p w14:paraId="52505E86" w14:textId="77777777" w:rsidR="00BB43BD" w:rsidRPr="00CB57E5" w:rsidRDefault="00BB43BD"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E7E6E6" w:themeFill="background2"/>
          </w:tcPr>
          <w:p w14:paraId="70472D64" w14:textId="77777777" w:rsidR="00BB43BD" w:rsidRPr="00CB57E5" w:rsidRDefault="00BB43BD"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Média</w:t>
            </w:r>
          </w:p>
        </w:tc>
        <w:tc>
          <w:tcPr>
            <w:tcW w:w="1201" w:type="dxa"/>
            <w:tcBorders>
              <w:top w:val="nil"/>
              <w:left w:val="nil"/>
              <w:bottom w:val="nil"/>
              <w:right w:val="nil"/>
            </w:tcBorders>
            <w:shd w:val="clear" w:color="auto" w:fill="E7E6E6" w:themeFill="background2"/>
          </w:tcPr>
          <w:p w14:paraId="75A5590D" w14:textId="47830C2A" w:rsidR="00BB43BD" w:rsidRPr="00BB43BD" w:rsidRDefault="00DC67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40,0847</w:t>
            </w:r>
          </w:p>
        </w:tc>
        <w:tc>
          <w:tcPr>
            <w:tcW w:w="1416" w:type="dxa"/>
            <w:tcBorders>
              <w:top w:val="nil"/>
              <w:left w:val="nil"/>
              <w:bottom w:val="nil"/>
              <w:right w:val="nil"/>
            </w:tcBorders>
            <w:shd w:val="clear" w:color="auto" w:fill="E7E6E6" w:themeFill="background2"/>
          </w:tcPr>
          <w:p w14:paraId="63562E26" w14:textId="656B989C" w:rsidR="00BB43BD" w:rsidRPr="00BB43BD" w:rsidRDefault="00DC67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0,74091</w:t>
            </w:r>
          </w:p>
        </w:tc>
      </w:tr>
      <w:tr w:rsidR="00DC67F3" w:rsidRPr="00355D63" w14:paraId="1EEE4C92" w14:textId="77777777" w:rsidTr="00FA4C62">
        <w:trPr>
          <w:gridAfter w:val="1"/>
          <w:wAfter w:w="77" w:type="dxa"/>
          <w:cantSplit/>
          <w:jc w:val="center"/>
        </w:trPr>
        <w:tc>
          <w:tcPr>
            <w:tcW w:w="2552" w:type="dxa"/>
            <w:vMerge/>
            <w:tcBorders>
              <w:left w:val="nil"/>
              <w:right w:val="nil"/>
            </w:tcBorders>
            <w:shd w:val="clear" w:color="auto" w:fill="FFFFFF" w:themeFill="background1"/>
            <w:vAlign w:val="bottom"/>
          </w:tcPr>
          <w:p w14:paraId="23E49471" w14:textId="77777777" w:rsidR="00DC67F3" w:rsidRPr="00CB57E5" w:rsidRDefault="00DC67F3" w:rsidP="00DC67F3">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FFFFFF" w:themeFill="background1"/>
          </w:tcPr>
          <w:p w14:paraId="131F6F85" w14:textId="77777777" w:rsidR="00DC67F3" w:rsidRPr="00CB57E5" w:rsidRDefault="00DC67F3" w:rsidP="00DC67F3">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Mediana</w:t>
            </w:r>
          </w:p>
        </w:tc>
        <w:tc>
          <w:tcPr>
            <w:tcW w:w="1201" w:type="dxa"/>
            <w:tcBorders>
              <w:top w:val="nil"/>
              <w:left w:val="nil"/>
              <w:bottom w:val="nil"/>
              <w:right w:val="nil"/>
            </w:tcBorders>
            <w:shd w:val="clear" w:color="auto" w:fill="FFFFFF" w:themeFill="background1"/>
          </w:tcPr>
          <w:p w14:paraId="38060B32" w14:textId="528927E6"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35,9161</w:t>
            </w:r>
          </w:p>
        </w:tc>
        <w:tc>
          <w:tcPr>
            <w:tcW w:w="1416" w:type="dxa"/>
            <w:tcBorders>
              <w:top w:val="nil"/>
              <w:left w:val="nil"/>
              <w:bottom w:val="nil"/>
              <w:right w:val="nil"/>
            </w:tcBorders>
            <w:shd w:val="clear" w:color="auto" w:fill="FFFFFF" w:themeFill="background1"/>
            <w:vAlign w:val="center"/>
          </w:tcPr>
          <w:p w14:paraId="5AE85AC0" w14:textId="77777777"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DC67F3" w:rsidRPr="00355D63" w14:paraId="5CC6DF11" w14:textId="77777777" w:rsidTr="00FA4C62">
        <w:trPr>
          <w:gridAfter w:val="1"/>
          <w:wAfter w:w="77" w:type="dxa"/>
          <w:cantSplit/>
          <w:jc w:val="center"/>
        </w:trPr>
        <w:tc>
          <w:tcPr>
            <w:tcW w:w="2552" w:type="dxa"/>
            <w:vMerge/>
            <w:tcBorders>
              <w:left w:val="nil"/>
              <w:right w:val="nil"/>
            </w:tcBorders>
            <w:shd w:val="clear" w:color="auto" w:fill="FFFFFF" w:themeFill="background1"/>
            <w:vAlign w:val="bottom"/>
          </w:tcPr>
          <w:p w14:paraId="36FC4831" w14:textId="77777777" w:rsidR="00DC67F3" w:rsidRPr="00CB57E5" w:rsidRDefault="00DC67F3" w:rsidP="00DC67F3">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E7E6E6" w:themeFill="background2"/>
          </w:tcPr>
          <w:p w14:paraId="076A60C3" w14:textId="77777777" w:rsidR="00DC67F3" w:rsidRPr="00CB57E5" w:rsidRDefault="00DC67F3" w:rsidP="00DC67F3">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Variância</w:t>
            </w:r>
          </w:p>
        </w:tc>
        <w:tc>
          <w:tcPr>
            <w:tcW w:w="1201" w:type="dxa"/>
            <w:tcBorders>
              <w:top w:val="nil"/>
              <w:left w:val="nil"/>
              <w:bottom w:val="nil"/>
              <w:right w:val="nil"/>
            </w:tcBorders>
            <w:shd w:val="clear" w:color="auto" w:fill="E7E6E6" w:themeFill="background2"/>
          </w:tcPr>
          <w:p w14:paraId="170ECDF8" w14:textId="2BFD8725"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338,150</w:t>
            </w:r>
          </w:p>
        </w:tc>
        <w:tc>
          <w:tcPr>
            <w:tcW w:w="1416" w:type="dxa"/>
            <w:tcBorders>
              <w:top w:val="nil"/>
              <w:left w:val="nil"/>
              <w:bottom w:val="nil"/>
              <w:right w:val="nil"/>
            </w:tcBorders>
            <w:shd w:val="clear" w:color="auto" w:fill="E7E6E6" w:themeFill="background2"/>
            <w:vAlign w:val="center"/>
          </w:tcPr>
          <w:p w14:paraId="2E004E41" w14:textId="77777777"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DC67F3" w:rsidRPr="00355D63" w14:paraId="640CCB5B" w14:textId="77777777" w:rsidTr="00FA4C62">
        <w:trPr>
          <w:gridAfter w:val="1"/>
          <w:wAfter w:w="77" w:type="dxa"/>
          <w:cantSplit/>
          <w:jc w:val="center"/>
        </w:trPr>
        <w:tc>
          <w:tcPr>
            <w:tcW w:w="2552" w:type="dxa"/>
            <w:vMerge/>
            <w:tcBorders>
              <w:left w:val="nil"/>
              <w:right w:val="nil"/>
            </w:tcBorders>
            <w:shd w:val="clear" w:color="auto" w:fill="FFFFFF" w:themeFill="background1"/>
            <w:vAlign w:val="bottom"/>
          </w:tcPr>
          <w:p w14:paraId="546865A4" w14:textId="77777777" w:rsidR="00DC67F3" w:rsidRPr="00CB57E5" w:rsidRDefault="00DC67F3" w:rsidP="00DC67F3">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FFFFFF" w:themeFill="background1"/>
          </w:tcPr>
          <w:p w14:paraId="441035F2" w14:textId="77777777" w:rsidR="00DC67F3" w:rsidRPr="00CB57E5" w:rsidRDefault="00DC67F3" w:rsidP="00DC67F3">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Erro Padrão</w:t>
            </w:r>
          </w:p>
        </w:tc>
        <w:tc>
          <w:tcPr>
            <w:tcW w:w="1201" w:type="dxa"/>
            <w:tcBorders>
              <w:top w:val="nil"/>
              <w:left w:val="nil"/>
              <w:bottom w:val="nil"/>
              <w:right w:val="nil"/>
            </w:tcBorders>
            <w:shd w:val="clear" w:color="auto" w:fill="FFFFFF" w:themeFill="background1"/>
          </w:tcPr>
          <w:p w14:paraId="3CF257EF" w14:textId="1BBD88FC"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18,38887</w:t>
            </w:r>
          </w:p>
        </w:tc>
        <w:tc>
          <w:tcPr>
            <w:tcW w:w="1416" w:type="dxa"/>
            <w:tcBorders>
              <w:top w:val="nil"/>
              <w:left w:val="nil"/>
              <w:bottom w:val="nil"/>
              <w:right w:val="nil"/>
            </w:tcBorders>
            <w:shd w:val="clear" w:color="auto" w:fill="FFFFFF" w:themeFill="background1"/>
            <w:vAlign w:val="center"/>
          </w:tcPr>
          <w:p w14:paraId="38244F8E" w14:textId="77777777"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DC67F3" w:rsidRPr="00355D63" w14:paraId="3FFD0A63" w14:textId="77777777" w:rsidTr="00FA4C62">
        <w:trPr>
          <w:gridAfter w:val="1"/>
          <w:wAfter w:w="77" w:type="dxa"/>
          <w:cantSplit/>
          <w:jc w:val="center"/>
        </w:trPr>
        <w:tc>
          <w:tcPr>
            <w:tcW w:w="2552" w:type="dxa"/>
            <w:vMerge/>
            <w:tcBorders>
              <w:left w:val="nil"/>
              <w:right w:val="nil"/>
            </w:tcBorders>
            <w:shd w:val="clear" w:color="auto" w:fill="FFFFFF" w:themeFill="background1"/>
            <w:vAlign w:val="bottom"/>
          </w:tcPr>
          <w:p w14:paraId="59E25AEB" w14:textId="77777777" w:rsidR="00DC67F3" w:rsidRPr="00CB57E5" w:rsidRDefault="00DC67F3" w:rsidP="00DC67F3">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E7E6E6" w:themeFill="background2"/>
          </w:tcPr>
          <w:p w14:paraId="5BC6C2AF" w14:textId="77777777" w:rsidR="00DC67F3" w:rsidRPr="00CB57E5" w:rsidRDefault="00DC67F3" w:rsidP="00DC67F3">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Mínimo</w:t>
            </w:r>
          </w:p>
        </w:tc>
        <w:tc>
          <w:tcPr>
            <w:tcW w:w="1201" w:type="dxa"/>
            <w:tcBorders>
              <w:top w:val="nil"/>
              <w:left w:val="nil"/>
              <w:bottom w:val="nil"/>
              <w:right w:val="nil"/>
            </w:tcBorders>
            <w:shd w:val="clear" w:color="auto" w:fill="E7E6E6" w:themeFill="background2"/>
          </w:tcPr>
          <w:p w14:paraId="7327A131" w14:textId="1BA93005"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0,82</w:t>
            </w:r>
          </w:p>
        </w:tc>
        <w:tc>
          <w:tcPr>
            <w:tcW w:w="1416" w:type="dxa"/>
            <w:tcBorders>
              <w:top w:val="nil"/>
              <w:left w:val="nil"/>
              <w:bottom w:val="nil"/>
              <w:right w:val="nil"/>
            </w:tcBorders>
            <w:shd w:val="clear" w:color="auto" w:fill="E7E6E6" w:themeFill="background2"/>
            <w:vAlign w:val="center"/>
          </w:tcPr>
          <w:p w14:paraId="525FCB09" w14:textId="77777777"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DC67F3" w:rsidRPr="00355D63" w14:paraId="28C9569D" w14:textId="77777777" w:rsidTr="00FA4C62">
        <w:trPr>
          <w:gridAfter w:val="1"/>
          <w:wAfter w:w="77" w:type="dxa"/>
          <w:cantSplit/>
          <w:jc w:val="center"/>
        </w:trPr>
        <w:tc>
          <w:tcPr>
            <w:tcW w:w="2552" w:type="dxa"/>
            <w:vMerge/>
            <w:tcBorders>
              <w:left w:val="nil"/>
              <w:right w:val="nil"/>
            </w:tcBorders>
            <w:shd w:val="clear" w:color="auto" w:fill="FFFFFF" w:themeFill="background1"/>
            <w:vAlign w:val="bottom"/>
          </w:tcPr>
          <w:p w14:paraId="698443F1" w14:textId="77777777" w:rsidR="00DC67F3" w:rsidRPr="00CB57E5" w:rsidRDefault="00DC67F3" w:rsidP="00DC67F3">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FFFFFF" w:themeFill="background1"/>
          </w:tcPr>
          <w:p w14:paraId="122F5570" w14:textId="77777777" w:rsidR="00DC67F3" w:rsidRPr="00CB57E5" w:rsidRDefault="00DC67F3" w:rsidP="00DC67F3">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Máximo</w:t>
            </w:r>
          </w:p>
        </w:tc>
        <w:tc>
          <w:tcPr>
            <w:tcW w:w="1201" w:type="dxa"/>
            <w:tcBorders>
              <w:top w:val="nil"/>
              <w:left w:val="nil"/>
              <w:bottom w:val="nil"/>
              <w:right w:val="nil"/>
            </w:tcBorders>
            <w:shd w:val="clear" w:color="auto" w:fill="FFFFFF" w:themeFill="background1"/>
          </w:tcPr>
          <w:p w14:paraId="3CED57D8" w14:textId="33F0879B"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100,00</w:t>
            </w:r>
          </w:p>
        </w:tc>
        <w:tc>
          <w:tcPr>
            <w:tcW w:w="1416" w:type="dxa"/>
            <w:tcBorders>
              <w:top w:val="nil"/>
              <w:left w:val="nil"/>
              <w:bottom w:val="nil"/>
              <w:right w:val="nil"/>
            </w:tcBorders>
            <w:shd w:val="clear" w:color="auto" w:fill="FFFFFF" w:themeFill="background1"/>
            <w:vAlign w:val="center"/>
          </w:tcPr>
          <w:p w14:paraId="784FCF1C" w14:textId="77777777"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DC67F3" w:rsidRPr="00355D63" w14:paraId="2411810D" w14:textId="77777777" w:rsidTr="00FA4C62">
        <w:trPr>
          <w:gridAfter w:val="1"/>
          <w:wAfter w:w="77" w:type="dxa"/>
          <w:cantSplit/>
          <w:jc w:val="center"/>
        </w:trPr>
        <w:tc>
          <w:tcPr>
            <w:tcW w:w="2552" w:type="dxa"/>
            <w:vMerge/>
            <w:tcBorders>
              <w:left w:val="nil"/>
              <w:right w:val="nil"/>
            </w:tcBorders>
            <w:shd w:val="clear" w:color="auto" w:fill="FFFFFF" w:themeFill="background1"/>
            <w:vAlign w:val="bottom"/>
          </w:tcPr>
          <w:p w14:paraId="4F0C9F2C" w14:textId="77777777" w:rsidR="00DC67F3" w:rsidRPr="00CB57E5" w:rsidRDefault="00DC67F3" w:rsidP="00DC67F3">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E7E6E6" w:themeFill="background2"/>
          </w:tcPr>
          <w:p w14:paraId="32434888" w14:textId="77777777" w:rsidR="00DC67F3" w:rsidRPr="00CB57E5" w:rsidRDefault="00DC67F3" w:rsidP="00DC67F3">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Amplitude</w:t>
            </w:r>
          </w:p>
        </w:tc>
        <w:tc>
          <w:tcPr>
            <w:tcW w:w="1201" w:type="dxa"/>
            <w:tcBorders>
              <w:top w:val="nil"/>
              <w:left w:val="nil"/>
              <w:bottom w:val="nil"/>
              <w:right w:val="nil"/>
            </w:tcBorders>
            <w:shd w:val="clear" w:color="auto" w:fill="E7E6E6" w:themeFill="background2"/>
          </w:tcPr>
          <w:p w14:paraId="5A42524F" w14:textId="6266779E"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99,18</w:t>
            </w:r>
          </w:p>
        </w:tc>
        <w:tc>
          <w:tcPr>
            <w:tcW w:w="1416" w:type="dxa"/>
            <w:tcBorders>
              <w:top w:val="nil"/>
              <w:left w:val="nil"/>
              <w:bottom w:val="nil"/>
              <w:right w:val="nil"/>
            </w:tcBorders>
            <w:shd w:val="clear" w:color="auto" w:fill="E7E6E6" w:themeFill="background2"/>
            <w:vAlign w:val="center"/>
          </w:tcPr>
          <w:p w14:paraId="3D5C96C9" w14:textId="77777777"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DC67F3" w:rsidRPr="00355D63" w14:paraId="30AC19F4" w14:textId="77777777" w:rsidTr="00FA4C62">
        <w:trPr>
          <w:gridAfter w:val="1"/>
          <w:wAfter w:w="77" w:type="dxa"/>
          <w:cantSplit/>
          <w:jc w:val="center"/>
        </w:trPr>
        <w:tc>
          <w:tcPr>
            <w:tcW w:w="2552" w:type="dxa"/>
            <w:vMerge/>
            <w:tcBorders>
              <w:left w:val="nil"/>
              <w:right w:val="nil"/>
            </w:tcBorders>
            <w:shd w:val="clear" w:color="auto" w:fill="FFFFFF" w:themeFill="background1"/>
            <w:vAlign w:val="bottom"/>
          </w:tcPr>
          <w:p w14:paraId="4E909601" w14:textId="77777777" w:rsidR="00DC67F3" w:rsidRPr="00CB57E5" w:rsidRDefault="00DC67F3" w:rsidP="00DC67F3">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FFFFFF" w:themeFill="background1"/>
          </w:tcPr>
          <w:p w14:paraId="1BD78CBE" w14:textId="77777777" w:rsidR="00DC67F3" w:rsidRPr="00CB57E5" w:rsidRDefault="00DC67F3" w:rsidP="00DC67F3">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Amplitude interquartil</w:t>
            </w:r>
          </w:p>
        </w:tc>
        <w:tc>
          <w:tcPr>
            <w:tcW w:w="1201" w:type="dxa"/>
            <w:tcBorders>
              <w:top w:val="nil"/>
              <w:left w:val="nil"/>
              <w:bottom w:val="nil"/>
              <w:right w:val="nil"/>
            </w:tcBorders>
            <w:shd w:val="clear" w:color="auto" w:fill="FFFFFF" w:themeFill="background1"/>
          </w:tcPr>
          <w:p w14:paraId="373F0979" w14:textId="19597A4B"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21,24</w:t>
            </w:r>
          </w:p>
        </w:tc>
        <w:tc>
          <w:tcPr>
            <w:tcW w:w="1416" w:type="dxa"/>
            <w:tcBorders>
              <w:top w:val="nil"/>
              <w:left w:val="nil"/>
              <w:bottom w:val="nil"/>
              <w:right w:val="nil"/>
            </w:tcBorders>
            <w:shd w:val="clear" w:color="auto" w:fill="FFFFFF" w:themeFill="background1"/>
            <w:vAlign w:val="center"/>
          </w:tcPr>
          <w:p w14:paraId="085B467F" w14:textId="77777777"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DC67F3" w:rsidRPr="00355D63" w14:paraId="658727E7" w14:textId="77777777" w:rsidTr="00FA4C62">
        <w:trPr>
          <w:gridAfter w:val="1"/>
          <w:wAfter w:w="77" w:type="dxa"/>
          <w:cantSplit/>
          <w:jc w:val="center"/>
        </w:trPr>
        <w:tc>
          <w:tcPr>
            <w:tcW w:w="2552" w:type="dxa"/>
            <w:vMerge/>
            <w:tcBorders>
              <w:left w:val="nil"/>
              <w:right w:val="nil"/>
            </w:tcBorders>
            <w:shd w:val="clear" w:color="auto" w:fill="FFFFFF" w:themeFill="background1"/>
            <w:vAlign w:val="bottom"/>
          </w:tcPr>
          <w:p w14:paraId="556C78BC" w14:textId="77777777" w:rsidR="00DC67F3" w:rsidRPr="00CB57E5" w:rsidRDefault="00DC67F3" w:rsidP="00DC67F3">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nil"/>
              <w:right w:val="nil"/>
            </w:tcBorders>
            <w:shd w:val="clear" w:color="auto" w:fill="E7E6E6" w:themeFill="background2"/>
          </w:tcPr>
          <w:p w14:paraId="3D60AEFF" w14:textId="77777777" w:rsidR="00DC67F3" w:rsidRPr="00CB57E5" w:rsidRDefault="00DC67F3" w:rsidP="00DC67F3">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B85D45">
              <w:rPr>
                <w:rFonts w:asciiTheme="majorBidi" w:hAnsiTheme="majorBidi" w:cstheme="majorBidi"/>
                <w:color w:val="000000"/>
                <w:sz w:val="22"/>
              </w:rPr>
              <w:t>Assimetria</w:t>
            </w:r>
          </w:p>
        </w:tc>
        <w:tc>
          <w:tcPr>
            <w:tcW w:w="1201" w:type="dxa"/>
            <w:tcBorders>
              <w:top w:val="nil"/>
              <w:left w:val="nil"/>
              <w:bottom w:val="nil"/>
              <w:right w:val="nil"/>
            </w:tcBorders>
            <w:shd w:val="clear" w:color="auto" w:fill="E7E6E6" w:themeFill="background2"/>
          </w:tcPr>
          <w:p w14:paraId="4126394A" w14:textId="44A3FF77"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0,909</w:t>
            </w:r>
          </w:p>
        </w:tc>
        <w:tc>
          <w:tcPr>
            <w:tcW w:w="1416" w:type="dxa"/>
            <w:tcBorders>
              <w:top w:val="nil"/>
              <w:left w:val="nil"/>
              <w:bottom w:val="nil"/>
              <w:right w:val="nil"/>
            </w:tcBorders>
            <w:shd w:val="clear" w:color="auto" w:fill="E7E6E6" w:themeFill="background2"/>
          </w:tcPr>
          <w:p w14:paraId="72709EC0" w14:textId="6BCA8E15"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0,098</w:t>
            </w:r>
          </w:p>
        </w:tc>
      </w:tr>
      <w:tr w:rsidR="00DC67F3" w:rsidRPr="00355D63" w14:paraId="34AD9051" w14:textId="77777777" w:rsidTr="00FA4C62">
        <w:trPr>
          <w:gridAfter w:val="1"/>
          <w:wAfter w:w="77" w:type="dxa"/>
          <w:cantSplit/>
          <w:jc w:val="center"/>
        </w:trPr>
        <w:tc>
          <w:tcPr>
            <w:tcW w:w="2552" w:type="dxa"/>
            <w:vMerge/>
            <w:tcBorders>
              <w:left w:val="nil"/>
              <w:bottom w:val="double" w:sz="4" w:space="0" w:color="auto"/>
              <w:right w:val="nil"/>
            </w:tcBorders>
            <w:shd w:val="clear" w:color="auto" w:fill="FFFFFF" w:themeFill="background1"/>
            <w:vAlign w:val="bottom"/>
          </w:tcPr>
          <w:p w14:paraId="0D12C860" w14:textId="77777777" w:rsidR="00DC67F3" w:rsidRPr="00CB57E5" w:rsidRDefault="00DC67F3" w:rsidP="00DC67F3">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686" w:type="dxa"/>
            <w:tcBorders>
              <w:top w:val="nil"/>
              <w:left w:val="nil"/>
              <w:bottom w:val="double" w:sz="4" w:space="0" w:color="auto"/>
              <w:right w:val="nil"/>
            </w:tcBorders>
            <w:shd w:val="clear" w:color="auto" w:fill="FFFFFF" w:themeFill="background1"/>
          </w:tcPr>
          <w:p w14:paraId="249DBD3B" w14:textId="77777777" w:rsidR="00DC67F3" w:rsidRPr="00CB57E5" w:rsidRDefault="00DC67F3" w:rsidP="00DC67F3">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proofErr w:type="spellStart"/>
            <w:r w:rsidRPr="00B85D45">
              <w:rPr>
                <w:rFonts w:asciiTheme="majorBidi" w:hAnsiTheme="majorBidi" w:cstheme="majorBidi"/>
                <w:color w:val="000000"/>
                <w:sz w:val="22"/>
              </w:rPr>
              <w:t>Curtose</w:t>
            </w:r>
            <w:proofErr w:type="spellEnd"/>
          </w:p>
        </w:tc>
        <w:tc>
          <w:tcPr>
            <w:tcW w:w="1201" w:type="dxa"/>
            <w:tcBorders>
              <w:top w:val="nil"/>
              <w:left w:val="nil"/>
              <w:bottom w:val="double" w:sz="4" w:space="0" w:color="auto"/>
              <w:right w:val="nil"/>
            </w:tcBorders>
            <w:shd w:val="clear" w:color="auto" w:fill="FFFFFF" w:themeFill="background1"/>
          </w:tcPr>
          <w:p w14:paraId="5271364E" w14:textId="628C554A"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0,590</w:t>
            </w:r>
          </w:p>
        </w:tc>
        <w:tc>
          <w:tcPr>
            <w:tcW w:w="1416" w:type="dxa"/>
            <w:tcBorders>
              <w:top w:val="nil"/>
              <w:left w:val="nil"/>
              <w:bottom w:val="double" w:sz="4" w:space="0" w:color="auto"/>
              <w:right w:val="nil"/>
            </w:tcBorders>
            <w:shd w:val="clear" w:color="auto" w:fill="FFFFFF" w:themeFill="background1"/>
          </w:tcPr>
          <w:p w14:paraId="5C3D3F2D" w14:textId="54B9ADAB" w:rsidR="00DC67F3" w:rsidRPr="00BB43BD" w:rsidRDefault="00DC67F3" w:rsidP="00DC67F3">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C67F3">
              <w:rPr>
                <w:rFonts w:asciiTheme="majorBidi" w:hAnsiTheme="majorBidi" w:cstheme="majorBidi"/>
                <w:color w:val="000000"/>
                <w:sz w:val="22"/>
              </w:rPr>
              <w:t>0,197</w:t>
            </w:r>
          </w:p>
        </w:tc>
      </w:tr>
    </w:tbl>
    <w:p w14:paraId="6299A128" w14:textId="6B747E37" w:rsidR="00843BFC" w:rsidRPr="009C5227" w:rsidRDefault="00843BFC" w:rsidP="00F15B7B">
      <w:pPr>
        <w:spacing w:before="240" w:line="360" w:lineRule="auto"/>
        <w:jc w:val="both"/>
        <w:rPr>
          <w:rFonts w:cs="Times New Roman"/>
        </w:rPr>
      </w:pPr>
      <w:r>
        <w:rPr>
          <w:rFonts w:cs="Times New Roman"/>
        </w:rPr>
        <w:t xml:space="preserve">Como se pode observar o grupo de municípios com </w:t>
      </w:r>
      <w:r w:rsidR="00203D7D">
        <w:rPr>
          <w:rFonts w:cs="Times New Roman"/>
        </w:rPr>
        <w:t xml:space="preserve">despesas efetivas </w:t>
      </w:r>
      <w:r w:rsidR="00203D7D" w:rsidRPr="00506E82">
        <w:rPr>
          <w:rFonts w:cs="Times New Roman"/>
          <w:i/>
          <w:iCs/>
        </w:rPr>
        <w:t>per capita</w:t>
      </w:r>
      <w:r>
        <w:rPr>
          <w:rFonts w:cs="Times New Roman"/>
        </w:rPr>
        <w:t xml:space="preserve"> inferiores é </w:t>
      </w:r>
      <w:r w:rsidR="00DC67F3">
        <w:rPr>
          <w:rFonts w:cs="Times New Roman"/>
        </w:rPr>
        <w:t>mais</w:t>
      </w:r>
      <w:r>
        <w:rPr>
          <w:rFonts w:cs="Times New Roman"/>
        </w:rPr>
        <w:t xml:space="preserve"> representativo (</w:t>
      </w:r>
      <w:r w:rsidR="00DC67F3">
        <w:rPr>
          <w:rFonts w:cs="Times New Roman"/>
        </w:rPr>
        <w:t>924</w:t>
      </w:r>
      <w:r w:rsidR="00D9490A">
        <w:rPr>
          <w:rFonts w:cs="Times New Roman"/>
        </w:rPr>
        <w:t xml:space="preserve"> observações</w:t>
      </w:r>
      <w:r>
        <w:rPr>
          <w:rFonts w:cs="Times New Roman"/>
        </w:rPr>
        <w:t xml:space="preserve">) que o grupo de municípios </w:t>
      </w:r>
      <w:r w:rsidRPr="00843BFC">
        <w:rPr>
          <w:rFonts w:cs="Times New Roman"/>
        </w:rPr>
        <w:t xml:space="preserve">com </w:t>
      </w:r>
      <w:r w:rsidR="00203D7D">
        <w:rPr>
          <w:rFonts w:cs="Times New Roman"/>
        </w:rPr>
        <w:t xml:space="preserve">despesas efetivas </w:t>
      </w:r>
      <w:r w:rsidR="00203D7D" w:rsidRPr="00506E82">
        <w:rPr>
          <w:rFonts w:cs="Times New Roman"/>
          <w:i/>
          <w:iCs/>
        </w:rPr>
        <w:t>per capita</w:t>
      </w:r>
      <w:r w:rsidRPr="00843BFC">
        <w:rPr>
          <w:rFonts w:cs="Times New Roman"/>
        </w:rPr>
        <w:t xml:space="preserve"> superiores</w:t>
      </w:r>
      <w:r>
        <w:rPr>
          <w:rFonts w:cs="Times New Roman"/>
        </w:rPr>
        <w:t xml:space="preserve"> (</w:t>
      </w:r>
      <w:r w:rsidR="00DC67F3">
        <w:rPr>
          <w:rFonts w:cs="Times New Roman"/>
        </w:rPr>
        <w:t>616</w:t>
      </w:r>
      <w:r w:rsidR="00D9490A">
        <w:rPr>
          <w:rFonts w:cs="Times New Roman"/>
        </w:rPr>
        <w:t xml:space="preserve"> observações</w:t>
      </w:r>
      <w:r>
        <w:rPr>
          <w:rFonts w:cs="Times New Roman"/>
        </w:rPr>
        <w:t>).</w:t>
      </w:r>
      <w:r w:rsidR="00DC67F3">
        <w:rPr>
          <w:rFonts w:cs="Times New Roman"/>
        </w:rPr>
        <w:t xml:space="preserve"> O</w:t>
      </w:r>
      <w:r>
        <w:rPr>
          <w:rFonts w:cs="Times New Roman"/>
        </w:rPr>
        <w:t xml:space="preserve">s seus valores médios do ITM, </w:t>
      </w:r>
      <w:r w:rsidRPr="00347775">
        <w:rPr>
          <w:rFonts w:cs="Times New Roman"/>
        </w:rPr>
        <w:t>são diferentes,</w:t>
      </w:r>
      <w:r>
        <w:rPr>
          <w:rFonts w:cs="Times New Roman"/>
        </w:rPr>
        <w:t xml:space="preserve"> apresentando uma média de ITM</w:t>
      </w:r>
      <w:r w:rsidR="009F52BE">
        <w:rPr>
          <w:rFonts w:cs="Times New Roman"/>
        </w:rPr>
        <w:t xml:space="preserve"> superior (</w:t>
      </w:r>
      <w:r w:rsidRPr="002C3799">
        <w:rPr>
          <w:rFonts w:cs="Times New Roman"/>
        </w:rPr>
        <w:t>4</w:t>
      </w:r>
      <w:r w:rsidR="00DC67F3">
        <w:rPr>
          <w:rFonts w:cs="Times New Roman"/>
        </w:rPr>
        <w:t>4</w:t>
      </w:r>
      <w:r>
        <w:rPr>
          <w:rFonts w:cs="Times New Roman"/>
        </w:rPr>
        <w:t>,</w:t>
      </w:r>
      <w:r w:rsidR="00DC67F3">
        <w:rPr>
          <w:rFonts w:cs="Times New Roman"/>
        </w:rPr>
        <w:t>7357</w:t>
      </w:r>
      <w:r w:rsidR="009F52BE">
        <w:rPr>
          <w:rFonts w:cs="Times New Roman"/>
        </w:rPr>
        <w:t>)</w:t>
      </w:r>
      <w:r>
        <w:rPr>
          <w:rFonts w:cs="Times New Roman"/>
        </w:rPr>
        <w:t xml:space="preserve"> os municípios com menores </w:t>
      </w:r>
      <w:r w:rsidR="00203D7D">
        <w:rPr>
          <w:rFonts w:cs="Times New Roman"/>
        </w:rPr>
        <w:t xml:space="preserve">despesas efetivas </w:t>
      </w:r>
      <w:r w:rsidR="00203D7D" w:rsidRPr="00506E82">
        <w:rPr>
          <w:rFonts w:cs="Times New Roman"/>
          <w:i/>
          <w:iCs/>
        </w:rPr>
        <w:t>per capita</w:t>
      </w:r>
      <w:r>
        <w:rPr>
          <w:rFonts w:cs="Times New Roman"/>
          <w:color w:val="000000"/>
          <w:sz w:val="22"/>
        </w:rPr>
        <w:t xml:space="preserve"> </w:t>
      </w:r>
      <w:r>
        <w:rPr>
          <w:rFonts w:cs="Times New Roman"/>
        </w:rPr>
        <w:t>e</w:t>
      </w:r>
      <w:r w:rsidR="009F52BE">
        <w:rPr>
          <w:rFonts w:cs="Times New Roman"/>
        </w:rPr>
        <w:t xml:space="preserve">m relação aos </w:t>
      </w:r>
      <w:r>
        <w:rPr>
          <w:rFonts w:cs="Times New Roman"/>
        </w:rPr>
        <w:t>municípios com</w:t>
      </w:r>
      <w:r w:rsidRPr="000D521D">
        <w:rPr>
          <w:rFonts w:cs="Times New Roman"/>
        </w:rPr>
        <w:t xml:space="preserve"> </w:t>
      </w:r>
      <w:r>
        <w:rPr>
          <w:rFonts w:cs="Times New Roman"/>
        </w:rPr>
        <w:t xml:space="preserve">maiores </w:t>
      </w:r>
      <w:r w:rsidR="00203D7D">
        <w:rPr>
          <w:rFonts w:cs="Times New Roman"/>
        </w:rPr>
        <w:t xml:space="preserve">despesas efetivas </w:t>
      </w:r>
      <w:r w:rsidR="00203D7D" w:rsidRPr="00506E82">
        <w:rPr>
          <w:rFonts w:cs="Times New Roman"/>
          <w:i/>
          <w:iCs/>
        </w:rPr>
        <w:t>per capita</w:t>
      </w:r>
      <w:r w:rsidR="009F52BE">
        <w:rPr>
          <w:rFonts w:cs="Times New Roman"/>
        </w:rPr>
        <w:t xml:space="preserve"> (</w:t>
      </w:r>
      <w:r w:rsidR="00DC67F3">
        <w:rPr>
          <w:rFonts w:cs="Times New Roman"/>
        </w:rPr>
        <w:t>40,0847</w:t>
      </w:r>
      <w:r w:rsidR="009F52BE">
        <w:rPr>
          <w:rFonts w:cs="Times New Roman"/>
        </w:rPr>
        <w:t>)</w:t>
      </w:r>
      <w:r>
        <w:rPr>
          <w:rFonts w:cs="Times New Roman"/>
        </w:rPr>
        <w:t xml:space="preserve">. </w:t>
      </w:r>
      <w:r w:rsidRPr="002C3799">
        <w:rPr>
          <w:rFonts w:cs="Times New Roman"/>
        </w:rPr>
        <w:t>Mais</w:t>
      </w:r>
      <w:r>
        <w:rPr>
          <w:rFonts w:cs="Times New Roman"/>
          <w:color w:val="000000"/>
          <w:sz w:val="22"/>
        </w:rPr>
        <w:t xml:space="preserve"> </w:t>
      </w:r>
      <w:r w:rsidRPr="002C3799">
        <w:rPr>
          <w:rFonts w:cs="Times New Roman"/>
        </w:rPr>
        <w:t xml:space="preserve">uma vez, como ambas as distribuições apresentam </w:t>
      </w:r>
      <w:r w:rsidRPr="003425E2">
        <w:rPr>
          <w:rFonts w:cs="Times New Roman"/>
        </w:rPr>
        <w:t>assimetria</w:t>
      </w:r>
      <w:r w:rsidRPr="003425E2">
        <w:rPr>
          <w:rFonts w:cs="Times New Roman"/>
          <w:sz w:val="22"/>
        </w:rPr>
        <w:t xml:space="preserve">  </w:t>
      </w:r>
      <m:oMath>
        <m:f>
          <m:fPr>
            <m:ctrlPr>
              <w:rPr>
                <w:rFonts w:ascii="Cambria Math" w:hAnsi="Cambria Math" w:cs="Times New Roman"/>
                <w:i/>
                <w:szCs w:val="24"/>
              </w:rPr>
            </m:ctrlPr>
          </m:fPr>
          <m:num>
            <m:r>
              <m:rPr>
                <m:sty m:val="p"/>
              </m:rPr>
              <w:rPr>
                <w:rFonts w:ascii="Cambria Math" w:hAnsi="Cambria Math" w:cs="Times New Roman"/>
                <w:sz w:val="22"/>
              </w:rPr>
              <m:t>0,702</m:t>
            </m:r>
          </m:num>
          <m:den>
            <m:r>
              <m:rPr>
                <m:sty m:val="p"/>
              </m:rPr>
              <w:rPr>
                <w:rFonts w:ascii="Cambria Math" w:hAnsi="Cambria Math" w:cs="Times New Roman"/>
                <w:sz w:val="22"/>
              </w:rPr>
              <m:t>0,080</m:t>
            </m:r>
          </m:den>
        </m:f>
        <m:r>
          <w:rPr>
            <w:rFonts w:ascii="Cambria Math" w:hAnsi="Cambria Math" w:cs="Times New Roman"/>
            <w:szCs w:val="24"/>
          </w:rPr>
          <m:t>=8,775&gt;1,96</m:t>
        </m:r>
      </m:oMath>
      <w:r w:rsidRPr="003425E2">
        <w:rPr>
          <w:rFonts w:eastAsiaTheme="minorEastAsia" w:cs="Times New Roman"/>
          <w:szCs w:val="24"/>
        </w:rPr>
        <w:t xml:space="preserve"> e </w:t>
      </w:r>
      <m:oMath>
        <m:f>
          <m:fPr>
            <m:ctrlPr>
              <w:rPr>
                <w:rFonts w:ascii="Cambria Math" w:hAnsi="Cambria Math" w:cs="Times New Roman"/>
                <w:i/>
                <w:szCs w:val="24"/>
              </w:rPr>
            </m:ctrlPr>
          </m:fPr>
          <m:num>
            <m:r>
              <m:rPr>
                <m:sty m:val="p"/>
              </m:rPr>
              <w:rPr>
                <w:rFonts w:ascii="Cambria Math" w:hAnsi="Cambria Math" w:cs="Times New Roman"/>
                <w:sz w:val="22"/>
              </w:rPr>
              <m:t>0,909</m:t>
            </m:r>
          </m:num>
          <m:den>
            <m:r>
              <m:rPr>
                <m:sty m:val="p"/>
              </m:rPr>
              <w:rPr>
                <w:rFonts w:ascii="Cambria Math" w:hAnsi="Cambria Math" w:cs="Times New Roman"/>
                <w:sz w:val="22"/>
              </w:rPr>
              <m:t>0,098</m:t>
            </m:r>
          </m:den>
        </m:f>
        <m:r>
          <w:rPr>
            <w:rFonts w:ascii="Cambria Math" w:hAnsi="Cambria Math" w:cs="Times New Roman"/>
            <w:szCs w:val="24"/>
          </w:rPr>
          <m:t>=9,276&gt;1,96,</m:t>
        </m:r>
      </m:oMath>
      <w:r w:rsidRPr="003425E2">
        <w:rPr>
          <w:rFonts w:eastAsiaTheme="minorEastAsia" w:cs="Times New Roman"/>
          <w:szCs w:val="24"/>
        </w:rPr>
        <w:t xml:space="preserve"> justificam-se as opções metodológicas de análise descritas nos pontos 4.3.2 e 4.3.3, depois da respetiva análise da normalidade</w:t>
      </w:r>
      <w:r>
        <w:rPr>
          <w:rFonts w:eastAsiaTheme="minorEastAsia" w:cs="Times New Roman"/>
          <w:szCs w:val="24"/>
        </w:rPr>
        <w:t>,</w:t>
      </w:r>
      <w:r w:rsidRPr="003425E2">
        <w:rPr>
          <w:rFonts w:eastAsiaTheme="minorEastAsia" w:cs="Times New Roman"/>
          <w:szCs w:val="24"/>
        </w:rPr>
        <w:t xml:space="preserve"> </w:t>
      </w:r>
      <w:r w:rsidRPr="007F35DF">
        <w:rPr>
          <w:rFonts w:eastAsiaTheme="minorEastAsia" w:cs="Times New Roman"/>
          <w:szCs w:val="24"/>
        </w:rPr>
        <w:t>(</w:t>
      </w:r>
      <w:r w:rsidR="00F338BB">
        <w:rPr>
          <w:rFonts w:eastAsiaTheme="minorEastAsia" w:cs="Times New Roman"/>
          <w:szCs w:val="24"/>
        </w:rPr>
        <w:t>A</w:t>
      </w:r>
      <w:r w:rsidRPr="007F35DF">
        <w:rPr>
          <w:rFonts w:eastAsiaTheme="minorEastAsia" w:cs="Times New Roman"/>
          <w:szCs w:val="24"/>
        </w:rPr>
        <w:t xml:space="preserve">pêndice </w:t>
      </w:r>
      <w:r w:rsidR="00046806">
        <w:rPr>
          <w:rFonts w:eastAsiaTheme="minorEastAsia" w:cs="Times New Roman"/>
          <w:szCs w:val="24"/>
        </w:rPr>
        <w:t>3</w:t>
      </w:r>
      <w:r w:rsidRPr="007F35DF">
        <w:rPr>
          <w:rFonts w:eastAsiaTheme="minorEastAsia" w:cs="Times New Roman"/>
          <w:szCs w:val="24"/>
        </w:rPr>
        <w:t>).</w:t>
      </w:r>
    </w:p>
    <w:p w14:paraId="21110FE9" w14:textId="21F53EA0" w:rsidR="00F15B7B" w:rsidRDefault="00F15B7B" w:rsidP="00F15B7B">
      <w:pPr>
        <w:spacing w:before="240" w:line="360" w:lineRule="auto"/>
        <w:jc w:val="both"/>
        <w:rPr>
          <w:rFonts w:cs="Times New Roman"/>
        </w:rPr>
      </w:pPr>
      <w:r w:rsidRPr="009F52BE">
        <w:rPr>
          <w:rFonts w:cs="Times New Roman"/>
        </w:rPr>
        <w:t xml:space="preserve">Desta forma, </w:t>
      </w:r>
      <w:r w:rsidR="00DF3949" w:rsidRPr="009F52BE">
        <w:rPr>
          <w:rFonts w:cs="Times New Roman"/>
        </w:rPr>
        <w:t>apresenta-se</w:t>
      </w:r>
      <w:r w:rsidRPr="009F52BE">
        <w:rPr>
          <w:rFonts w:cs="Times New Roman"/>
        </w:rPr>
        <w:t xml:space="preserve"> o Gráfico</w:t>
      </w:r>
      <w:r w:rsidR="00AC3ADC" w:rsidRPr="009F52BE">
        <w:rPr>
          <w:rFonts w:cs="Times New Roman"/>
        </w:rPr>
        <w:t xml:space="preserve"> 4.</w:t>
      </w:r>
      <w:r w:rsidR="00F949DE" w:rsidRPr="009F52BE">
        <w:rPr>
          <w:rFonts w:cs="Times New Roman"/>
        </w:rPr>
        <w:t>3</w:t>
      </w:r>
      <w:r w:rsidRPr="009F52BE">
        <w:rPr>
          <w:rFonts w:cs="Times New Roman"/>
        </w:rPr>
        <w:t xml:space="preserve"> que relaciona os valores médios do ITM </w:t>
      </w:r>
      <w:r w:rsidR="00DF3949" w:rsidRPr="009F52BE">
        <w:rPr>
          <w:rFonts w:cs="Times New Roman"/>
        </w:rPr>
        <w:t xml:space="preserve">e os valores da </w:t>
      </w:r>
      <w:r w:rsidR="00FA4C62">
        <w:rPr>
          <w:rFonts w:cs="Times New Roman"/>
        </w:rPr>
        <w:t xml:space="preserve">despesa efetiva </w:t>
      </w:r>
      <w:r w:rsidR="00FA4C62" w:rsidRPr="00506E82">
        <w:rPr>
          <w:rFonts w:cs="Times New Roman"/>
          <w:i/>
          <w:iCs/>
        </w:rPr>
        <w:t>per capita</w:t>
      </w:r>
      <w:r w:rsidR="00DF3949" w:rsidRPr="009F52BE">
        <w:rPr>
          <w:rFonts w:cs="Times New Roman"/>
        </w:rPr>
        <w:t xml:space="preserve"> para cada ano em estudo (2013 – 2017).</w:t>
      </w:r>
    </w:p>
    <w:p w14:paraId="58703420" w14:textId="638C8BB6" w:rsidR="002079A9" w:rsidRDefault="002079A9" w:rsidP="00F15B7B">
      <w:pPr>
        <w:spacing w:before="240" w:line="360" w:lineRule="auto"/>
        <w:jc w:val="both"/>
        <w:rPr>
          <w:rFonts w:cs="Times New Roman"/>
        </w:rPr>
      </w:pPr>
    </w:p>
    <w:p w14:paraId="21D8A806" w14:textId="77777777" w:rsidR="002079A9" w:rsidRDefault="002079A9" w:rsidP="00F15B7B">
      <w:pPr>
        <w:spacing w:before="240" w:line="360" w:lineRule="auto"/>
        <w:jc w:val="both"/>
        <w:rPr>
          <w:rFonts w:cs="Times New Roman"/>
        </w:rPr>
      </w:pPr>
    </w:p>
    <w:p w14:paraId="065A6DD7" w14:textId="2D186851" w:rsidR="00DF3949" w:rsidRPr="00DF3949" w:rsidRDefault="00DF3949" w:rsidP="00DF3949">
      <w:pPr>
        <w:spacing w:before="240" w:after="0" w:line="360" w:lineRule="auto"/>
        <w:jc w:val="center"/>
        <w:rPr>
          <w:rFonts w:cs="Times New Roman"/>
        </w:rPr>
      </w:pPr>
      <w:bookmarkStart w:id="98" w:name="_Toc66624275"/>
      <w:r w:rsidRPr="00DF3949">
        <w:rPr>
          <w:rFonts w:cs="Times New Roman"/>
          <w:b/>
          <w:bCs/>
        </w:rPr>
        <w:lastRenderedPageBreak/>
        <w:t xml:space="preserve">Gráfico </w:t>
      </w:r>
      <w:r w:rsidR="00360329">
        <w:rPr>
          <w:rFonts w:cs="Times New Roman"/>
          <w:b/>
          <w:bCs/>
        </w:rPr>
        <w:fldChar w:fldCharType="begin"/>
      </w:r>
      <w:r w:rsidR="00360329">
        <w:rPr>
          <w:rFonts w:cs="Times New Roman"/>
          <w:b/>
          <w:bCs/>
        </w:rPr>
        <w:instrText xml:space="preserve"> STYLEREF 1 \s </w:instrText>
      </w:r>
      <w:r w:rsidR="00360329">
        <w:rPr>
          <w:rFonts w:cs="Times New Roman"/>
          <w:b/>
          <w:bCs/>
        </w:rPr>
        <w:fldChar w:fldCharType="separate"/>
      </w:r>
      <w:r w:rsidR="00380A6F">
        <w:rPr>
          <w:rFonts w:cs="Times New Roman"/>
          <w:b/>
          <w:bCs/>
          <w:noProof/>
        </w:rPr>
        <w:t>4</w:t>
      </w:r>
      <w:r w:rsidR="00360329">
        <w:rPr>
          <w:rFonts w:cs="Times New Roman"/>
          <w:b/>
          <w:bCs/>
        </w:rPr>
        <w:fldChar w:fldCharType="end"/>
      </w:r>
      <w:r w:rsidR="00360329">
        <w:rPr>
          <w:rFonts w:cs="Times New Roman"/>
          <w:b/>
          <w:bCs/>
        </w:rPr>
        <w:t>.</w:t>
      </w:r>
      <w:r w:rsidR="00360329">
        <w:rPr>
          <w:rFonts w:cs="Times New Roman"/>
          <w:b/>
          <w:bCs/>
        </w:rPr>
        <w:fldChar w:fldCharType="begin"/>
      </w:r>
      <w:r w:rsidR="00360329">
        <w:rPr>
          <w:rFonts w:cs="Times New Roman"/>
          <w:b/>
          <w:bCs/>
        </w:rPr>
        <w:instrText xml:space="preserve"> SEQ Gráfico \* ARABIC \s 1 </w:instrText>
      </w:r>
      <w:r w:rsidR="00360329">
        <w:rPr>
          <w:rFonts w:cs="Times New Roman"/>
          <w:b/>
          <w:bCs/>
        </w:rPr>
        <w:fldChar w:fldCharType="separate"/>
      </w:r>
      <w:r w:rsidR="00380A6F">
        <w:rPr>
          <w:rFonts w:cs="Times New Roman"/>
          <w:b/>
          <w:bCs/>
          <w:noProof/>
        </w:rPr>
        <w:t>3</w:t>
      </w:r>
      <w:r w:rsidR="00360329">
        <w:rPr>
          <w:rFonts w:cs="Times New Roman"/>
          <w:b/>
          <w:bCs/>
        </w:rPr>
        <w:fldChar w:fldCharType="end"/>
      </w:r>
      <w:r w:rsidRPr="00DF3949">
        <w:rPr>
          <w:rFonts w:cs="Times New Roman"/>
          <w:b/>
          <w:bCs/>
        </w:rPr>
        <w:t xml:space="preserve"> -</w:t>
      </w:r>
      <w:r w:rsidRPr="00DF3949">
        <w:rPr>
          <w:rFonts w:cs="Times New Roman"/>
        </w:rPr>
        <w:t xml:space="preserve"> </w:t>
      </w:r>
      <w:r w:rsidRPr="00884E4D">
        <w:rPr>
          <w:rFonts w:cs="Times New Roman"/>
        </w:rPr>
        <w:t>Valores médios do ITM</w:t>
      </w:r>
      <w:r>
        <w:rPr>
          <w:rFonts w:cs="Times New Roman"/>
        </w:rPr>
        <w:t>,</w:t>
      </w:r>
      <w:r w:rsidRPr="00884E4D">
        <w:rPr>
          <w:rFonts w:cs="Times New Roman"/>
        </w:rPr>
        <w:t xml:space="preserve"> por </w:t>
      </w:r>
      <w:r w:rsidR="00203D7D">
        <w:rPr>
          <w:rFonts w:cs="Times New Roman"/>
        </w:rPr>
        <w:t xml:space="preserve">despesa efetiva </w:t>
      </w:r>
      <w:r w:rsidR="00203D7D" w:rsidRPr="00506E82">
        <w:rPr>
          <w:rFonts w:cs="Times New Roman"/>
          <w:i/>
          <w:iCs/>
        </w:rPr>
        <w:t>per capita</w:t>
      </w:r>
      <w:r>
        <w:rPr>
          <w:rFonts w:cs="Times New Roman"/>
        </w:rPr>
        <w:t xml:space="preserve">, </w:t>
      </w:r>
      <w:r w:rsidRPr="00884E4D">
        <w:rPr>
          <w:rFonts w:cs="Times New Roman"/>
        </w:rPr>
        <w:t>por ano (2013-2017)</w:t>
      </w:r>
      <w:bookmarkEnd w:id="98"/>
    </w:p>
    <w:tbl>
      <w:tblPr>
        <w:tblStyle w:val="TabelacomGrelha"/>
        <w:tblpPr w:leftFromText="141" w:rightFromText="141" w:vertAnchor="text" w:horzAnchor="page" w:tblpX="4651" w:tblpY="330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20" w:firstRow="1" w:lastRow="0" w:firstColumn="0" w:lastColumn="0" w:noHBand="1" w:noVBand="1"/>
      </w:tblPr>
      <w:tblGrid>
        <w:gridCol w:w="1984"/>
        <w:gridCol w:w="1930"/>
      </w:tblGrid>
      <w:tr w:rsidR="002079A9" w14:paraId="7932C44D" w14:textId="77777777" w:rsidTr="002079A9">
        <w:tc>
          <w:tcPr>
            <w:tcW w:w="1984" w:type="dxa"/>
          </w:tcPr>
          <w:p w14:paraId="0C69925B" w14:textId="77777777" w:rsidR="002079A9" w:rsidRDefault="002079A9" w:rsidP="002079A9">
            <w:pPr>
              <w:pStyle w:val="PargrafodaLista"/>
              <w:numPr>
                <w:ilvl w:val="0"/>
                <w:numId w:val="20"/>
              </w:numPr>
              <w:ind w:left="170" w:hanging="170"/>
            </w:pPr>
            <w:r w:rsidRPr="00BF2A52">
              <w:rPr>
                <w:sz w:val="20"/>
                <w:szCs w:val="20"/>
              </w:rPr>
              <w:t>0</w:t>
            </w:r>
            <w:r w:rsidRPr="00BF2A52">
              <w:rPr>
                <w:sz w:val="18"/>
                <w:szCs w:val="18"/>
              </w:rPr>
              <w:t xml:space="preserve"> </w:t>
            </w:r>
            <w:r>
              <w:rPr>
                <w:sz w:val="18"/>
                <w:szCs w:val="18"/>
              </w:rPr>
              <w:t>–</w:t>
            </w:r>
            <w:r w:rsidRPr="00BF2A52">
              <w:rPr>
                <w:sz w:val="18"/>
                <w:szCs w:val="18"/>
              </w:rPr>
              <w:t xml:space="preserve"> </w:t>
            </w:r>
            <w:r>
              <w:rPr>
                <w:sz w:val="18"/>
                <w:szCs w:val="18"/>
              </w:rPr>
              <w:t>DE &lt; MDE</w:t>
            </w:r>
          </w:p>
        </w:tc>
        <w:tc>
          <w:tcPr>
            <w:tcW w:w="1930" w:type="dxa"/>
          </w:tcPr>
          <w:p w14:paraId="49205A3D" w14:textId="77777777" w:rsidR="002079A9" w:rsidRDefault="002079A9" w:rsidP="002079A9">
            <w:pPr>
              <w:pStyle w:val="PargrafodaLista"/>
              <w:numPr>
                <w:ilvl w:val="0"/>
                <w:numId w:val="25"/>
              </w:numPr>
              <w:ind w:left="128" w:hanging="128"/>
            </w:pPr>
            <w:r w:rsidRPr="00FE581A">
              <w:rPr>
                <w:sz w:val="20"/>
                <w:szCs w:val="20"/>
              </w:rPr>
              <w:t>1 –</w:t>
            </w:r>
            <w:r w:rsidRPr="00FE581A">
              <w:rPr>
                <w:sz w:val="28"/>
                <w:szCs w:val="24"/>
              </w:rPr>
              <w:t xml:space="preserve"> </w:t>
            </w:r>
            <w:r>
              <w:rPr>
                <w:sz w:val="18"/>
                <w:szCs w:val="18"/>
              </w:rPr>
              <w:t>DE</w:t>
            </w:r>
            <w:r w:rsidRPr="00FE581A">
              <w:rPr>
                <w:sz w:val="18"/>
                <w:szCs w:val="18"/>
              </w:rPr>
              <w:t xml:space="preserve"> </w:t>
            </w:r>
            <w:r>
              <w:rPr>
                <w:rFonts w:cs="Times New Roman"/>
                <w:sz w:val="18"/>
                <w:szCs w:val="18"/>
              </w:rPr>
              <w:t>≥</w:t>
            </w:r>
            <w:r w:rsidRPr="00FE581A">
              <w:rPr>
                <w:sz w:val="18"/>
                <w:szCs w:val="18"/>
              </w:rPr>
              <w:t xml:space="preserve"> M</w:t>
            </w:r>
            <w:r>
              <w:rPr>
                <w:sz w:val="18"/>
                <w:szCs w:val="18"/>
              </w:rPr>
              <w:t>DE</w:t>
            </w:r>
          </w:p>
        </w:tc>
      </w:tr>
    </w:tbl>
    <w:p w14:paraId="7371F29A" w14:textId="61AE8022" w:rsidR="00203D7D" w:rsidRDefault="00D85EEC" w:rsidP="00203D7D">
      <w:pPr>
        <w:spacing w:line="360" w:lineRule="auto"/>
        <w:jc w:val="center"/>
        <w:rPr>
          <w:rFonts w:cs="Times New Roman"/>
        </w:rPr>
      </w:pPr>
      <w:r>
        <w:rPr>
          <w:noProof/>
        </w:rPr>
        <w:t xml:space="preserve"> </w:t>
      </w:r>
      <w:r w:rsidR="00AF7CDF">
        <w:rPr>
          <w:noProof/>
        </w:rPr>
        <w:drawing>
          <wp:inline distT="0" distB="0" distL="0" distR="0" wp14:anchorId="2389D80C" wp14:editId="17F46150">
            <wp:extent cx="4572000" cy="2077200"/>
            <wp:effectExtent l="0" t="0" r="0" b="0"/>
            <wp:docPr id="1" name="Chart 1">
              <a:extLst xmlns:a="http://schemas.openxmlformats.org/drawingml/2006/main">
                <a:ext uri="{FF2B5EF4-FFF2-40B4-BE49-F238E27FC236}">
                  <a16:creationId xmlns:a16="http://schemas.microsoft.com/office/drawing/2014/main" id="{9399FEA9-B2C8-489B-B8D7-7582DC7CBF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2B1B575" w14:textId="33D06640" w:rsidR="00203D7D" w:rsidRDefault="0031548B" w:rsidP="00FF3C2C">
      <w:pPr>
        <w:spacing w:before="240" w:line="360" w:lineRule="auto"/>
        <w:jc w:val="both"/>
        <w:rPr>
          <w:rFonts w:cs="Times New Roman"/>
        </w:rPr>
      </w:pPr>
      <w:r w:rsidRPr="009F52BE">
        <w:rPr>
          <w:rFonts w:cs="Times New Roman"/>
        </w:rPr>
        <w:t xml:space="preserve">Por interpretação do gráfico, </w:t>
      </w:r>
      <w:r w:rsidR="00B4646C">
        <w:rPr>
          <w:rFonts w:cs="Times New Roman"/>
        </w:rPr>
        <w:t>observa-se</w:t>
      </w:r>
      <w:r w:rsidRPr="009F52BE">
        <w:rPr>
          <w:rFonts w:cs="Times New Roman"/>
        </w:rPr>
        <w:t xml:space="preserve"> </w:t>
      </w:r>
      <w:r w:rsidR="00A74BF5" w:rsidRPr="009F52BE">
        <w:rPr>
          <w:rFonts w:cs="Times New Roman"/>
        </w:rPr>
        <w:t>que os municípios</w:t>
      </w:r>
      <w:r w:rsidR="009F52BE" w:rsidRPr="009F52BE">
        <w:rPr>
          <w:rFonts w:cs="Times New Roman"/>
        </w:rPr>
        <w:t xml:space="preserve"> com menores d</w:t>
      </w:r>
      <w:r w:rsidR="000A23D0">
        <w:rPr>
          <w:rFonts w:cs="Times New Roman"/>
        </w:rPr>
        <w:t xml:space="preserve">espesas efetivas </w:t>
      </w:r>
      <w:r w:rsidR="000A23D0" w:rsidRPr="00506E82">
        <w:rPr>
          <w:rFonts w:cs="Times New Roman"/>
          <w:i/>
          <w:iCs/>
        </w:rPr>
        <w:t>per capita</w:t>
      </w:r>
      <w:r w:rsidR="00A74BF5" w:rsidRPr="00506E82">
        <w:rPr>
          <w:rFonts w:cs="Times New Roman"/>
          <w:i/>
          <w:iCs/>
        </w:rPr>
        <w:t xml:space="preserve"> </w:t>
      </w:r>
      <w:r w:rsidR="00A74BF5" w:rsidRPr="009F52BE">
        <w:rPr>
          <w:rFonts w:cs="Times New Roman"/>
        </w:rPr>
        <w:t>(D</w:t>
      </w:r>
      <w:r w:rsidR="000A23D0">
        <w:rPr>
          <w:rFonts w:cs="Times New Roman"/>
        </w:rPr>
        <w:t>E</w:t>
      </w:r>
      <w:r w:rsidR="00A74BF5" w:rsidRPr="009F52BE">
        <w:rPr>
          <w:rFonts w:cs="Times New Roman"/>
        </w:rPr>
        <w:t xml:space="preserve"> &lt; </w:t>
      </w:r>
      <w:r w:rsidR="00DC67F3">
        <w:rPr>
          <w:rFonts w:cs="Times New Roman"/>
        </w:rPr>
        <w:t>MDE</w:t>
      </w:r>
      <w:r w:rsidR="00A74BF5" w:rsidRPr="009F52BE">
        <w:rPr>
          <w:rFonts w:cs="Times New Roman"/>
        </w:rPr>
        <w:t>) apresentam</w:t>
      </w:r>
      <w:r w:rsidR="009F52BE" w:rsidRPr="009F52BE">
        <w:rPr>
          <w:rFonts w:cs="Times New Roman"/>
        </w:rPr>
        <w:t xml:space="preserve"> uma tendência para maiores níveis de transparecia</w:t>
      </w:r>
      <w:r w:rsidR="00A74BF5" w:rsidRPr="009F52BE">
        <w:rPr>
          <w:rFonts w:cs="Times New Roman"/>
        </w:rPr>
        <w:t xml:space="preserve">, ao longo de todos os anos </w:t>
      </w:r>
      <w:r w:rsidR="009F52BE" w:rsidRPr="009F52BE">
        <w:rPr>
          <w:rFonts w:cs="Times New Roman"/>
        </w:rPr>
        <w:t>(2013-2017) com evid</w:t>
      </w:r>
      <w:r w:rsidR="009F52BE">
        <w:rPr>
          <w:rFonts w:cs="Times New Roman"/>
        </w:rPr>
        <w:t>ê</w:t>
      </w:r>
      <w:r w:rsidR="009F52BE" w:rsidRPr="009F52BE">
        <w:rPr>
          <w:rFonts w:cs="Times New Roman"/>
        </w:rPr>
        <w:t xml:space="preserve">ncia nos primeiros 3 anos em estudo. </w:t>
      </w:r>
    </w:p>
    <w:p w14:paraId="48A7975E" w14:textId="14056125" w:rsidR="003E006E" w:rsidRPr="003E006E" w:rsidRDefault="00F81F8A" w:rsidP="003E006E">
      <w:pPr>
        <w:pStyle w:val="PargrafodaLista"/>
        <w:numPr>
          <w:ilvl w:val="0"/>
          <w:numId w:val="37"/>
        </w:numPr>
        <w:spacing w:line="360" w:lineRule="auto"/>
        <w:jc w:val="both"/>
        <w:rPr>
          <w:rFonts w:cs="Times New Roman"/>
          <w:b/>
          <w:bCs/>
        </w:rPr>
      </w:pPr>
      <w:r>
        <w:rPr>
          <w:rFonts w:cs="Times New Roman"/>
          <w:b/>
          <w:bCs/>
        </w:rPr>
        <w:t>ITM por</w:t>
      </w:r>
      <w:r>
        <w:rPr>
          <w:rFonts w:cs="Times New Roman"/>
          <w:b/>
          <w:bCs/>
          <w:shd w:val="clear" w:color="auto" w:fill="FFFFFF" w:themeFill="background1"/>
        </w:rPr>
        <w:t xml:space="preserve"> </w:t>
      </w:r>
      <w:r w:rsidR="003E006E">
        <w:rPr>
          <w:rFonts w:cs="Times New Roman"/>
          <w:b/>
          <w:bCs/>
          <w:shd w:val="clear" w:color="auto" w:fill="FFFFFF" w:themeFill="background1"/>
        </w:rPr>
        <w:t>população residente</w:t>
      </w:r>
      <w:r>
        <w:rPr>
          <w:rFonts w:cs="Times New Roman"/>
          <w:b/>
          <w:bCs/>
          <w:shd w:val="clear" w:color="auto" w:fill="FFFFFF" w:themeFill="background1"/>
        </w:rPr>
        <w:t xml:space="preserve"> (</w:t>
      </w:r>
      <w:r w:rsidR="003E006E">
        <w:rPr>
          <w:rFonts w:cs="Times New Roman"/>
          <w:b/>
          <w:bCs/>
          <w:shd w:val="clear" w:color="auto" w:fill="FFFFFF" w:themeFill="background1"/>
        </w:rPr>
        <w:t>PR</w:t>
      </w:r>
      <w:r>
        <w:rPr>
          <w:rFonts w:cs="Times New Roman"/>
          <w:b/>
          <w:bCs/>
          <w:shd w:val="clear" w:color="auto" w:fill="FFFFFF" w:themeFill="background1"/>
        </w:rPr>
        <w:t>)</w:t>
      </w:r>
    </w:p>
    <w:p w14:paraId="48A6E052" w14:textId="6D6CEA82" w:rsidR="00FF3C2C" w:rsidRPr="003E006E" w:rsidRDefault="00FF3C2C" w:rsidP="003E006E">
      <w:pPr>
        <w:spacing w:line="360" w:lineRule="auto"/>
        <w:jc w:val="both"/>
        <w:rPr>
          <w:rFonts w:cs="Times New Roman"/>
          <w:b/>
          <w:bCs/>
        </w:rPr>
      </w:pPr>
      <w:r w:rsidRPr="003E006E">
        <w:rPr>
          <w:rFonts w:cs="Times New Roman"/>
        </w:rPr>
        <w:t>Com o intuito de relacionar a população residente com os níveis de transparência dos 308 municípios portugueses</w:t>
      </w:r>
      <w:r w:rsidR="00990766" w:rsidRPr="003E006E">
        <w:rPr>
          <w:rFonts w:cs="Times New Roman"/>
        </w:rPr>
        <w:t xml:space="preserve"> </w:t>
      </w:r>
      <w:r w:rsidRPr="003E006E">
        <w:rPr>
          <w:rFonts w:cs="Times New Roman"/>
          <w:lang w:eastAsia="pt-PT"/>
        </w:rPr>
        <w:t>onde foram agrupados os municípios por pequenos (1), médios (2) e grandes (3) municípios. Esta classificação, de acordo com a dimensão populacional, foi feita por Fernandes, Camões e Jorge (2019, p. 25), no âmbito do Anuário Financeiro dos Municípios Portugueses, onde:</w:t>
      </w:r>
    </w:p>
    <w:p w14:paraId="44F89264" w14:textId="77777777" w:rsidR="00FF3C2C" w:rsidRPr="00C12E58" w:rsidRDefault="00FF3C2C" w:rsidP="00FF3C2C">
      <w:pPr>
        <w:pStyle w:val="PargrafodaLista"/>
        <w:numPr>
          <w:ilvl w:val="0"/>
          <w:numId w:val="26"/>
        </w:numPr>
        <w:spacing w:line="360" w:lineRule="auto"/>
        <w:jc w:val="both"/>
        <w:rPr>
          <w:rFonts w:cs="Times New Roman"/>
          <w:lang w:eastAsia="pt-PT"/>
        </w:rPr>
      </w:pPr>
      <w:r>
        <w:rPr>
          <w:rFonts w:cs="Times New Roman"/>
          <w:lang w:eastAsia="pt-PT"/>
        </w:rPr>
        <w:t xml:space="preserve">1 - </w:t>
      </w:r>
      <w:r w:rsidRPr="00C12E58">
        <w:rPr>
          <w:rFonts w:cs="Times New Roman"/>
          <w:lang w:eastAsia="pt-PT"/>
        </w:rPr>
        <w:t>Os Municípios pequenos, são os que têm até 20.000 habitantes inclusive;</w:t>
      </w:r>
    </w:p>
    <w:p w14:paraId="0F14CFB0" w14:textId="77777777" w:rsidR="00FF3C2C" w:rsidRPr="00C12E58" w:rsidRDefault="00FF3C2C" w:rsidP="00FF3C2C">
      <w:pPr>
        <w:pStyle w:val="PargrafodaLista"/>
        <w:numPr>
          <w:ilvl w:val="0"/>
          <w:numId w:val="26"/>
        </w:numPr>
        <w:spacing w:line="360" w:lineRule="auto"/>
        <w:jc w:val="both"/>
        <w:rPr>
          <w:rFonts w:cs="Times New Roman"/>
          <w:lang w:eastAsia="pt-PT"/>
        </w:rPr>
      </w:pPr>
      <w:r>
        <w:rPr>
          <w:rFonts w:cs="Times New Roman"/>
          <w:lang w:eastAsia="pt-PT"/>
        </w:rPr>
        <w:t xml:space="preserve">2 - </w:t>
      </w:r>
      <w:r w:rsidRPr="00C12E58">
        <w:rPr>
          <w:rFonts w:cs="Times New Roman"/>
          <w:lang w:eastAsia="pt-PT"/>
        </w:rPr>
        <w:t>Os Municípios médios, são os que contêm entre 20.000 habitantes a 100.000 habitantes inclusive; e</w:t>
      </w:r>
    </w:p>
    <w:p w14:paraId="2C703FBF" w14:textId="74E98B66" w:rsidR="00FF3C2C" w:rsidRDefault="00FF3C2C" w:rsidP="00FF3C2C">
      <w:pPr>
        <w:pStyle w:val="PargrafodaLista"/>
        <w:numPr>
          <w:ilvl w:val="0"/>
          <w:numId w:val="26"/>
        </w:numPr>
        <w:spacing w:line="360" w:lineRule="auto"/>
        <w:jc w:val="both"/>
        <w:rPr>
          <w:rFonts w:cs="Times New Roman"/>
          <w:lang w:eastAsia="pt-PT"/>
        </w:rPr>
      </w:pPr>
      <w:r>
        <w:rPr>
          <w:rFonts w:cs="Times New Roman"/>
          <w:lang w:eastAsia="pt-PT"/>
        </w:rPr>
        <w:t xml:space="preserve">3 - </w:t>
      </w:r>
      <w:r w:rsidRPr="00C12E58">
        <w:rPr>
          <w:rFonts w:cs="Times New Roman"/>
          <w:lang w:eastAsia="pt-PT"/>
        </w:rPr>
        <w:t>Os Municípios grandes, são os que têm mais de 100.000 habitantes.</w:t>
      </w:r>
    </w:p>
    <w:p w14:paraId="59D22107" w14:textId="1BD3EE36" w:rsidR="00B4646C" w:rsidRDefault="00FF13F9" w:rsidP="00FF13F9">
      <w:pPr>
        <w:spacing w:line="360" w:lineRule="auto"/>
        <w:jc w:val="both"/>
        <w:rPr>
          <w:rFonts w:cs="Times New Roman"/>
          <w:lang w:eastAsia="pt-PT"/>
        </w:rPr>
      </w:pPr>
      <w:r w:rsidRPr="00FF13F9">
        <w:rPr>
          <w:rFonts w:cs="Times New Roman"/>
          <w:lang w:eastAsia="pt-PT"/>
        </w:rPr>
        <w:t xml:space="preserve">Prosseguiu-se com a análise do histograma </w:t>
      </w:r>
      <w:r w:rsidRPr="00990766">
        <w:rPr>
          <w:rFonts w:cs="Times New Roman"/>
          <w:lang w:eastAsia="pt-PT"/>
        </w:rPr>
        <w:t>(</w:t>
      </w:r>
      <w:r w:rsidR="00F338BB">
        <w:rPr>
          <w:rFonts w:cs="Times New Roman"/>
          <w:lang w:eastAsia="pt-PT"/>
        </w:rPr>
        <w:t>A</w:t>
      </w:r>
      <w:r w:rsidRPr="00990766">
        <w:rPr>
          <w:rFonts w:cs="Times New Roman"/>
          <w:lang w:eastAsia="pt-PT"/>
        </w:rPr>
        <w:t>pêndice 2)</w:t>
      </w:r>
      <w:r w:rsidRPr="00FF13F9">
        <w:rPr>
          <w:rFonts w:cs="Times New Roman"/>
          <w:lang w:eastAsia="pt-PT"/>
        </w:rPr>
        <w:t xml:space="preserve"> e com o cálculo das medidas estatísticas para cada um destes grupos, conforme se apresenta na </w:t>
      </w:r>
      <w:r w:rsidR="00B4646C">
        <w:rPr>
          <w:rFonts w:cs="Times New Roman"/>
          <w:lang w:eastAsia="pt-PT"/>
        </w:rPr>
        <w:t>T</w:t>
      </w:r>
      <w:r w:rsidRPr="00FF13F9">
        <w:rPr>
          <w:rFonts w:cs="Times New Roman"/>
          <w:lang w:eastAsia="pt-PT"/>
        </w:rPr>
        <w:t xml:space="preserve">abela </w:t>
      </w:r>
      <w:r w:rsidRPr="009F52BE">
        <w:rPr>
          <w:rFonts w:cs="Times New Roman"/>
          <w:lang w:eastAsia="pt-PT"/>
        </w:rPr>
        <w:t>4.</w:t>
      </w:r>
      <w:r w:rsidR="009F52BE" w:rsidRPr="009F52BE">
        <w:rPr>
          <w:rFonts w:cs="Times New Roman"/>
          <w:lang w:eastAsia="pt-PT"/>
        </w:rPr>
        <w:t>8</w:t>
      </w:r>
      <w:r w:rsidR="002079A9">
        <w:rPr>
          <w:rFonts w:cs="Times New Roman"/>
          <w:lang w:eastAsia="pt-PT"/>
        </w:rPr>
        <w:t>:</w:t>
      </w:r>
    </w:p>
    <w:p w14:paraId="5B76726B" w14:textId="6A106596" w:rsidR="002079A9" w:rsidRDefault="002079A9" w:rsidP="00FF13F9">
      <w:pPr>
        <w:spacing w:line="360" w:lineRule="auto"/>
        <w:jc w:val="both"/>
        <w:rPr>
          <w:rFonts w:cs="Times New Roman"/>
          <w:lang w:eastAsia="pt-PT"/>
        </w:rPr>
      </w:pPr>
    </w:p>
    <w:p w14:paraId="121608DB" w14:textId="60D777CA" w:rsidR="002079A9" w:rsidRDefault="002079A9" w:rsidP="00FF13F9">
      <w:pPr>
        <w:spacing w:line="360" w:lineRule="auto"/>
        <w:jc w:val="both"/>
        <w:rPr>
          <w:rFonts w:cs="Times New Roman"/>
          <w:lang w:eastAsia="pt-PT"/>
        </w:rPr>
      </w:pPr>
    </w:p>
    <w:p w14:paraId="451B666F" w14:textId="77777777" w:rsidR="002079A9" w:rsidRDefault="002079A9" w:rsidP="00FF13F9">
      <w:pPr>
        <w:spacing w:line="360" w:lineRule="auto"/>
        <w:jc w:val="both"/>
        <w:rPr>
          <w:rFonts w:cs="Times New Roman"/>
          <w:lang w:eastAsia="pt-PT"/>
        </w:rPr>
      </w:pPr>
    </w:p>
    <w:p w14:paraId="0D7E73AD" w14:textId="0DD9EEAC" w:rsidR="00FF13F9" w:rsidRPr="00FF13F9" w:rsidRDefault="00FF13F9" w:rsidP="00FF13F9">
      <w:pPr>
        <w:spacing w:after="0" w:line="360" w:lineRule="auto"/>
        <w:jc w:val="center"/>
        <w:rPr>
          <w:rFonts w:cs="Times New Roman"/>
          <w:lang w:eastAsia="pt-PT"/>
        </w:rPr>
      </w:pPr>
      <w:bookmarkStart w:id="99" w:name="_Toc58853168"/>
      <w:bookmarkStart w:id="100" w:name="_Toc66624257"/>
      <w:r w:rsidRPr="00FF13F9">
        <w:rPr>
          <w:rFonts w:cs="Times New Roman"/>
          <w:b/>
          <w:bCs/>
          <w:lang w:eastAsia="pt-PT"/>
        </w:rPr>
        <w:lastRenderedPageBreak/>
        <w:t xml:space="preserve">Tabela </w:t>
      </w:r>
      <w:r w:rsidR="00843BFC">
        <w:rPr>
          <w:rFonts w:cs="Times New Roman"/>
          <w:b/>
          <w:bCs/>
          <w:lang w:eastAsia="pt-PT"/>
        </w:rPr>
        <w:fldChar w:fldCharType="begin"/>
      </w:r>
      <w:r w:rsidR="00843BFC">
        <w:rPr>
          <w:rFonts w:cs="Times New Roman"/>
          <w:b/>
          <w:bCs/>
          <w:lang w:eastAsia="pt-PT"/>
        </w:rPr>
        <w:instrText xml:space="preserve"> STYLEREF 1 \s </w:instrText>
      </w:r>
      <w:r w:rsidR="00843BFC">
        <w:rPr>
          <w:rFonts w:cs="Times New Roman"/>
          <w:b/>
          <w:bCs/>
          <w:lang w:eastAsia="pt-PT"/>
        </w:rPr>
        <w:fldChar w:fldCharType="separate"/>
      </w:r>
      <w:r w:rsidR="00380A6F">
        <w:rPr>
          <w:rFonts w:cs="Times New Roman"/>
          <w:b/>
          <w:bCs/>
          <w:noProof/>
          <w:lang w:eastAsia="pt-PT"/>
        </w:rPr>
        <w:t>4</w:t>
      </w:r>
      <w:r w:rsidR="00843BFC">
        <w:rPr>
          <w:rFonts w:cs="Times New Roman"/>
          <w:b/>
          <w:bCs/>
          <w:lang w:eastAsia="pt-PT"/>
        </w:rPr>
        <w:fldChar w:fldCharType="end"/>
      </w:r>
      <w:r w:rsidR="00843BFC">
        <w:rPr>
          <w:rFonts w:cs="Times New Roman"/>
          <w:b/>
          <w:bCs/>
          <w:lang w:eastAsia="pt-PT"/>
        </w:rPr>
        <w:t>.</w:t>
      </w:r>
      <w:r w:rsidR="00843BFC">
        <w:rPr>
          <w:rFonts w:cs="Times New Roman"/>
          <w:b/>
          <w:bCs/>
          <w:lang w:eastAsia="pt-PT"/>
        </w:rPr>
        <w:fldChar w:fldCharType="begin"/>
      </w:r>
      <w:r w:rsidR="00843BFC">
        <w:rPr>
          <w:rFonts w:cs="Times New Roman"/>
          <w:b/>
          <w:bCs/>
          <w:lang w:eastAsia="pt-PT"/>
        </w:rPr>
        <w:instrText xml:space="preserve"> SEQ Tabela \* ARABIC \s 1 </w:instrText>
      </w:r>
      <w:r w:rsidR="00843BFC">
        <w:rPr>
          <w:rFonts w:cs="Times New Roman"/>
          <w:b/>
          <w:bCs/>
          <w:lang w:eastAsia="pt-PT"/>
        </w:rPr>
        <w:fldChar w:fldCharType="separate"/>
      </w:r>
      <w:r w:rsidR="00380A6F">
        <w:rPr>
          <w:rFonts w:cs="Times New Roman"/>
          <w:b/>
          <w:bCs/>
          <w:noProof/>
          <w:lang w:eastAsia="pt-PT"/>
        </w:rPr>
        <w:t>8</w:t>
      </w:r>
      <w:r w:rsidR="00843BFC">
        <w:rPr>
          <w:rFonts w:cs="Times New Roman"/>
          <w:b/>
          <w:bCs/>
          <w:lang w:eastAsia="pt-PT"/>
        </w:rPr>
        <w:fldChar w:fldCharType="end"/>
      </w:r>
      <w:r w:rsidRPr="00FF13F9">
        <w:rPr>
          <w:rFonts w:cs="Times New Roman"/>
          <w:b/>
          <w:bCs/>
          <w:lang w:eastAsia="pt-PT"/>
        </w:rPr>
        <w:t xml:space="preserve"> -</w:t>
      </w:r>
      <w:r w:rsidRPr="00FF13F9">
        <w:rPr>
          <w:rFonts w:cs="Times New Roman"/>
          <w:lang w:eastAsia="pt-PT"/>
        </w:rPr>
        <w:t xml:space="preserve"> Medidas estatísticas do ITM por população residente</w:t>
      </w:r>
      <w:bookmarkEnd w:id="99"/>
      <w:bookmarkEnd w:id="100"/>
    </w:p>
    <w:tbl>
      <w:tblPr>
        <w:tblW w:w="868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127"/>
        <w:gridCol w:w="3827"/>
        <w:gridCol w:w="1128"/>
        <w:gridCol w:w="1606"/>
      </w:tblGrid>
      <w:tr w:rsidR="00FF13F9" w:rsidRPr="00FF13F9" w14:paraId="7C8357D6" w14:textId="77777777" w:rsidTr="009C5227">
        <w:trPr>
          <w:cantSplit/>
          <w:jc w:val="center"/>
        </w:trPr>
        <w:tc>
          <w:tcPr>
            <w:tcW w:w="5954" w:type="dxa"/>
            <w:gridSpan w:val="2"/>
            <w:tcBorders>
              <w:top w:val="double" w:sz="8" w:space="0" w:color="000000"/>
              <w:left w:val="nil"/>
              <w:bottom w:val="single" w:sz="4" w:space="0" w:color="auto"/>
              <w:right w:val="nil"/>
            </w:tcBorders>
            <w:shd w:val="clear" w:color="auto" w:fill="E7E6E6" w:themeFill="background2"/>
            <w:vAlign w:val="bottom"/>
          </w:tcPr>
          <w:p w14:paraId="08754531" w14:textId="2DBADDDA" w:rsidR="00FF13F9" w:rsidRPr="00FF13F9" w:rsidRDefault="00FF13F9" w:rsidP="009C5227">
            <w:pPr>
              <w:autoSpaceDE w:val="0"/>
              <w:autoSpaceDN w:val="0"/>
              <w:adjustRightInd w:val="0"/>
              <w:spacing w:after="0" w:line="240" w:lineRule="auto"/>
              <w:ind w:left="60" w:right="60"/>
              <w:rPr>
                <w:rFonts w:cs="Times New Roman"/>
                <w:color w:val="000000"/>
                <w:sz w:val="22"/>
              </w:rPr>
            </w:pPr>
            <w:r>
              <w:rPr>
                <w:rFonts w:cs="Times New Roman"/>
                <w:color w:val="000000"/>
                <w:sz w:val="22"/>
              </w:rPr>
              <w:t>População Residente</w:t>
            </w:r>
          </w:p>
        </w:tc>
        <w:tc>
          <w:tcPr>
            <w:tcW w:w="1128" w:type="dxa"/>
            <w:tcBorders>
              <w:top w:val="double" w:sz="8" w:space="0" w:color="000000"/>
              <w:left w:val="nil"/>
              <w:bottom w:val="single" w:sz="4" w:space="0" w:color="auto"/>
              <w:right w:val="nil"/>
            </w:tcBorders>
            <w:shd w:val="clear" w:color="auto" w:fill="E7E6E6" w:themeFill="background2"/>
            <w:vAlign w:val="bottom"/>
          </w:tcPr>
          <w:p w14:paraId="15EC1C21" w14:textId="77777777" w:rsidR="00FF13F9" w:rsidRPr="00FF13F9" w:rsidRDefault="00FF13F9" w:rsidP="009C5227">
            <w:pPr>
              <w:autoSpaceDE w:val="0"/>
              <w:autoSpaceDN w:val="0"/>
              <w:adjustRightInd w:val="0"/>
              <w:spacing w:after="0" w:line="240" w:lineRule="auto"/>
              <w:ind w:left="60" w:right="60"/>
              <w:jc w:val="center"/>
              <w:rPr>
                <w:rFonts w:cs="Times New Roman"/>
                <w:color w:val="000000"/>
                <w:sz w:val="22"/>
              </w:rPr>
            </w:pPr>
            <w:r w:rsidRPr="00FF13F9">
              <w:rPr>
                <w:rFonts w:cs="Times New Roman"/>
                <w:color w:val="000000"/>
                <w:sz w:val="22"/>
              </w:rPr>
              <w:t>Estatística</w:t>
            </w:r>
          </w:p>
        </w:tc>
        <w:tc>
          <w:tcPr>
            <w:tcW w:w="1606" w:type="dxa"/>
            <w:tcBorders>
              <w:top w:val="double" w:sz="8" w:space="0" w:color="000000"/>
              <w:left w:val="nil"/>
              <w:bottom w:val="single" w:sz="4" w:space="0" w:color="auto"/>
              <w:right w:val="nil"/>
            </w:tcBorders>
            <w:shd w:val="clear" w:color="auto" w:fill="E7E6E6" w:themeFill="background2"/>
            <w:vAlign w:val="bottom"/>
          </w:tcPr>
          <w:p w14:paraId="1DFFE1BA" w14:textId="77777777" w:rsidR="00FF13F9" w:rsidRPr="00FF13F9" w:rsidRDefault="00FF13F9" w:rsidP="009C5227">
            <w:pPr>
              <w:autoSpaceDE w:val="0"/>
              <w:autoSpaceDN w:val="0"/>
              <w:adjustRightInd w:val="0"/>
              <w:spacing w:after="0" w:line="240" w:lineRule="auto"/>
              <w:ind w:left="60" w:right="60"/>
              <w:jc w:val="center"/>
              <w:rPr>
                <w:rFonts w:cs="Times New Roman"/>
                <w:color w:val="000000"/>
                <w:sz w:val="22"/>
              </w:rPr>
            </w:pPr>
            <w:r w:rsidRPr="00FF13F9">
              <w:rPr>
                <w:rFonts w:cs="Times New Roman"/>
                <w:color w:val="000000"/>
                <w:sz w:val="22"/>
              </w:rPr>
              <w:t>Desvio Padrão</w:t>
            </w:r>
          </w:p>
        </w:tc>
      </w:tr>
      <w:tr w:rsidR="00FF13F9" w:rsidRPr="00FF13F9" w14:paraId="7601AEC9" w14:textId="77777777" w:rsidTr="009C5227">
        <w:trPr>
          <w:cantSplit/>
          <w:jc w:val="center"/>
        </w:trPr>
        <w:tc>
          <w:tcPr>
            <w:tcW w:w="2127" w:type="dxa"/>
            <w:vMerge w:val="restart"/>
            <w:tcBorders>
              <w:top w:val="single" w:sz="4" w:space="0" w:color="auto"/>
              <w:left w:val="nil"/>
              <w:right w:val="nil"/>
            </w:tcBorders>
            <w:shd w:val="clear" w:color="auto" w:fill="FFFFFF"/>
          </w:tcPr>
          <w:p w14:paraId="55CDA095" w14:textId="3BA62F66" w:rsidR="00FF13F9" w:rsidRPr="00FF13F9" w:rsidRDefault="00FF13F9" w:rsidP="009C5227">
            <w:pPr>
              <w:autoSpaceDE w:val="0"/>
              <w:autoSpaceDN w:val="0"/>
              <w:adjustRightInd w:val="0"/>
              <w:spacing w:after="0" w:line="240" w:lineRule="auto"/>
              <w:ind w:left="60" w:right="60"/>
              <w:rPr>
                <w:rFonts w:cs="Times New Roman"/>
                <w:color w:val="000000"/>
                <w:sz w:val="22"/>
              </w:rPr>
            </w:pPr>
            <w:r>
              <w:rPr>
                <w:rFonts w:cs="Times New Roman"/>
                <w:color w:val="000000"/>
                <w:sz w:val="22"/>
              </w:rPr>
              <w:t>M</w:t>
            </w:r>
            <w:r w:rsidRPr="00FF13F9">
              <w:rPr>
                <w:rFonts w:cs="Times New Roman"/>
                <w:color w:val="000000"/>
                <w:sz w:val="22"/>
              </w:rPr>
              <w:t>unicípios pequenos</w:t>
            </w:r>
          </w:p>
        </w:tc>
        <w:tc>
          <w:tcPr>
            <w:tcW w:w="3827" w:type="dxa"/>
            <w:tcBorders>
              <w:top w:val="single" w:sz="4" w:space="0" w:color="auto"/>
              <w:left w:val="nil"/>
              <w:bottom w:val="nil"/>
              <w:right w:val="nil"/>
            </w:tcBorders>
            <w:shd w:val="clear" w:color="auto" w:fill="FFFFFF"/>
          </w:tcPr>
          <w:p w14:paraId="4C964713" w14:textId="663F6164" w:rsidR="00FF13F9" w:rsidRPr="00FF13F9" w:rsidRDefault="009D7773" w:rsidP="009C5227">
            <w:pPr>
              <w:autoSpaceDE w:val="0"/>
              <w:autoSpaceDN w:val="0"/>
              <w:adjustRightInd w:val="0"/>
              <w:spacing w:after="0" w:line="240" w:lineRule="auto"/>
              <w:ind w:left="60" w:right="60"/>
              <w:rPr>
                <w:rFonts w:cs="Times New Roman"/>
                <w:color w:val="000000"/>
                <w:sz w:val="22"/>
              </w:rPr>
            </w:pPr>
            <w:r>
              <w:rPr>
                <w:rFonts w:cs="Times New Roman"/>
                <w:color w:val="000000"/>
                <w:sz w:val="22"/>
              </w:rPr>
              <w:t>N=</w:t>
            </w:r>
            <w:r w:rsidR="008D7D4E">
              <w:rPr>
                <w:rFonts w:cs="Times New Roman"/>
                <w:color w:val="000000"/>
                <w:sz w:val="22"/>
              </w:rPr>
              <w:t xml:space="preserve"> </w:t>
            </w:r>
            <w:r w:rsidR="007C0296">
              <w:rPr>
                <w:rFonts w:cs="Times New Roman"/>
                <w:color w:val="000000"/>
                <w:sz w:val="22"/>
              </w:rPr>
              <w:t>924</w:t>
            </w:r>
          </w:p>
        </w:tc>
        <w:tc>
          <w:tcPr>
            <w:tcW w:w="1128" w:type="dxa"/>
            <w:tcBorders>
              <w:top w:val="single" w:sz="4" w:space="0" w:color="auto"/>
              <w:left w:val="nil"/>
              <w:bottom w:val="nil"/>
              <w:right w:val="nil"/>
            </w:tcBorders>
            <w:shd w:val="clear" w:color="auto" w:fill="FFFFFF"/>
          </w:tcPr>
          <w:p w14:paraId="3C3180AA" w14:textId="03B38F22" w:rsidR="00FF13F9" w:rsidRPr="00FF13F9" w:rsidRDefault="00FF13F9" w:rsidP="009C5227">
            <w:pPr>
              <w:autoSpaceDE w:val="0"/>
              <w:autoSpaceDN w:val="0"/>
              <w:adjustRightInd w:val="0"/>
              <w:spacing w:after="0" w:line="240" w:lineRule="auto"/>
              <w:ind w:left="60" w:right="60"/>
              <w:jc w:val="right"/>
              <w:rPr>
                <w:rFonts w:cs="Times New Roman"/>
                <w:color w:val="000000"/>
                <w:sz w:val="22"/>
              </w:rPr>
            </w:pPr>
          </w:p>
        </w:tc>
        <w:tc>
          <w:tcPr>
            <w:tcW w:w="1606" w:type="dxa"/>
            <w:tcBorders>
              <w:top w:val="single" w:sz="4" w:space="0" w:color="auto"/>
              <w:left w:val="nil"/>
              <w:bottom w:val="nil"/>
              <w:right w:val="nil"/>
            </w:tcBorders>
            <w:shd w:val="clear" w:color="auto" w:fill="FFFFFF"/>
          </w:tcPr>
          <w:p w14:paraId="5221CEA7" w14:textId="26B8341A" w:rsidR="00FF13F9" w:rsidRPr="00FF13F9" w:rsidRDefault="00FF13F9" w:rsidP="009C5227">
            <w:pPr>
              <w:autoSpaceDE w:val="0"/>
              <w:autoSpaceDN w:val="0"/>
              <w:adjustRightInd w:val="0"/>
              <w:spacing w:after="0" w:line="240" w:lineRule="auto"/>
              <w:ind w:left="60" w:right="60"/>
              <w:jc w:val="right"/>
              <w:rPr>
                <w:rFonts w:cs="Times New Roman"/>
                <w:color w:val="000000"/>
                <w:sz w:val="22"/>
              </w:rPr>
            </w:pPr>
          </w:p>
        </w:tc>
      </w:tr>
      <w:tr w:rsidR="009D7773" w:rsidRPr="00FF13F9" w14:paraId="09D7E7E0" w14:textId="77777777" w:rsidTr="00C413F3">
        <w:trPr>
          <w:cantSplit/>
          <w:jc w:val="center"/>
        </w:trPr>
        <w:tc>
          <w:tcPr>
            <w:tcW w:w="2127" w:type="dxa"/>
            <w:vMerge/>
            <w:tcBorders>
              <w:top w:val="single" w:sz="16" w:space="0" w:color="000000"/>
              <w:left w:val="nil"/>
              <w:right w:val="nil"/>
            </w:tcBorders>
            <w:shd w:val="clear" w:color="auto" w:fill="FFFFFF"/>
          </w:tcPr>
          <w:p w14:paraId="62891552" w14:textId="77777777" w:rsidR="009D7773" w:rsidRDefault="009D7773" w:rsidP="009C5227">
            <w:pPr>
              <w:autoSpaceDE w:val="0"/>
              <w:autoSpaceDN w:val="0"/>
              <w:adjustRightInd w:val="0"/>
              <w:spacing w:after="0" w:line="240" w:lineRule="auto"/>
              <w:ind w:left="60" w:right="60"/>
              <w:rPr>
                <w:rFonts w:cs="Times New Roman"/>
                <w:color w:val="000000"/>
                <w:sz w:val="22"/>
              </w:rPr>
            </w:pPr>
          </w:p>
        </w:tc>
        <w:tc>
          <w:tcPr>
            <w:tcW w:w="3827" w:type="dxa"/>
            <w:tcBorders>
              <w:top w:val="nil"/>
              <w:left w:val="nil"/>
              <w:bottom w:val="nil"/>
              <w:right w:val="nil"/>
            </w:tcBorders>
            <w:shd w:val="clear" w:color="auto" w:fill="FFFFFF"/>
          </w:tcPr>
          <w:p w14:paraId="4003E11A" w14:textId="292860D4" w:rsidR="009D7773" w:rsidRPr="00FF13F9" w:rsidRDefault="009D7773"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Média</w:t>
            </w:r>
          </w:p>
        </w:tc>
        <w:tc>
          <w:tcPr>
            <w:tcW w:w="1128" w:type="dxa"/>
            <w:tcBorders>
              <w:top w:val="nil"/>
              <w:left w:val="nil"/>
              <w:bottom w:val="nil"/>
              <w:right w:val="nil"/>
            </w:tcBorders>
            <w:shd w:val="clear" w:color="auto" w:fill="FFFFFF"/>
          </w:tcPr>
          <w:p w14:paraId="6FDF7504" w14:textId="0D176515"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40,1850</w:t>
            </w:r>
          </w:p>
        </w:tc>
        <w:tc>
          <w:tcPr>
            <w:tcW w:w="1606" w:type="dxa"/>
            <w:tcBorders>
              <w:top w:val="nil"/>
              <w:left w:val="nil"/>
              <w:bottom w:val="nil"/>
              <w:right w:val="nil"/>
            </w:tcBorders>
            <w:shd w:val="clear" w:color="auto" w:fill="FFFFFF"/>
          </w:tcPr>
          <w:p w14:paraId="6A98FABC" w14:textId="558D95B8" w:rsidR="009D7773" w:rsidRDefault="009D7773" w:rsidP="009C5227">
            <w:pPr>
              <w:autoSpaceDE w:val="0"/>
              <w:autoSpaceDN w:val="0"/>
              <w:adjustRightInd w:val="0"/>
              <w:spacing w:after="0" w:line="240" w:lineRule="auto"/>
              <w:ind w:left="60" w:right="60"/>
              <w:jc w:val="right"/>
              <w:rPr>
                <w:rFonts w:cs="Times New Roman"/>
                <w:color w:val="000000"/>
                <w:sz w:val="22"/>
              </w:rPr>
            </w:pPr>
            <w:r>
              <w:rPr>
                <w:rFonts w:cs="Times New Roman"/>
                <w:color w:val="000000"/>
                <w:sz w:val="22"/>
              </w:rPr>
              <w:t>0</w:t>
            </w:r>
            <w:r w:rsidRPr="00FF13F9">
              <w:rPr>
                <w:rFonts w:cs="Times New Roman"/>
                <w:color w:val="000000"/>
                <w:sz w:val="22"/>
              </w:rPr>
              <w:t>,59758</w:t>
            </w:r>
          </w:p>
        </w:tc>
      </w:tr>
      <w:tr w:rsidR="00FF13F9" w:rsidRPr="00FF13F9" w14:paraId="4F7CC832" w14:textId="77777777" w:rsidTr="00C413F3">
        <w:trPr>
          <w:cantSplit/>
          <w:jc w:val="center"/>
        </w:trPr>
        <w:tc>
          <w:tcPr>
            <w:tcW w:w="2127" w:type="dxa"/>
            <w:vMerge/>
            <w:tcBorders>
              <w:top w:val="single" w:sz="16" w:space="0" w:color="000000"/>
              <w:left w:val="nil"/>
              <w:right w:val="nil"/>
            </w:tcBorders>
            <w:shd w:val="clear" w:color="auto" w:fill="FFFFFF"/>
          </w:tcPr>
          <w:p w14:paraId="399B5838" w14:textId="77777777" w:rsidR="00FF13F9" w:rsidRPr="00FF13F9" w:rsidRDefault="00FF13F9"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E7E6E6" w:themeFill="background2"/>
          </w:tcPr>
          <w:p w14:paraId="17943849" w14:textId="77777777" w:rsidR="00FF13F9" w:rsidRPr="00FF13F9" w:rsidRDefault="00FF13F9"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Mediana</w:t>
            </w:r>
          </w:p>
        </w:tc>
        <w:tc>
          <w:tcPr>
            <w:tcW w:w="1128" w:type="dxa"/>
            <w:tcBorders>
              <w:top w:val="nil"/>
              <w:left w:val="nil"/>
              <w:bottom w:val="nil"/>
              <w:right w:val="nil"/>
            </w:tcBorders>
            <w:shd w:val="clear" w:color="auto" w:fill="E7E6E6" w:themeFill="background2"/>
          </w:tcPr>
          <w:p w14:paraId="2C3FF720" w14:textId="77777777" w:rsidR="00FF13F9" w:rsidRPr="00FF13F9" w:rsidRDefault="00FF13F9"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36,0000</w:t>
            </w:r>
          </w:p>
        </w:tc>
        <w:tc>
          <w:tcPr>
            <w:tcW w:w="1606" w:type="dxa"/>
            <w:tcBorders>
              <w:top w:val="nil"/>
              <w:left w:val="nil"/>
              <w:bottom w:val="nil"/>
              <w:right w:val="nil"/>
            </w:tcBorders>
            <w:shd w:val="clear" w:color="auto" w:fill="E7E6E6" w:themeFill="background2"/>
            <w:vAlign w:val="center"/>
          </w:tcPr>
          <w:p w14:paraId="2CF85FB7" w14:textId="77777777" w:rsidR="00FF13F9" w:rsidRPr="00FF13F9" w:rsidRDefault="00FF13F9" w:rsidP="009C5227">
            <w:pPr>
              <w:autoSpaceDE w:val="0"/>
              <w:autoSpaceDN w:val="0"/>
              <w:adjustRightInd w:val="0"/>
              <w:spacing w:after="0" w:line="240" w:lineRule="auto"/>
              <w:rPr>
                <w:rFonts w:cs="Times New Roman"/>
                <w:sz w:val="22"/>
              </w:rPr>
            </w:pPr>
          </w:p>
        </w:tc>
      </w:tr>
      <w:tr w:rsidR="00FF13F9" w:rsidRPr="00FF13F9" w14:paraId="03306E9D" w14:textId="77777777" w:rsidTr="00C413F3">
        <w:trPr>
          <w:cantSplit/>
          <w:jc w:val="center"/>
        </w:trPr>
        <w:tc>
          <w:tcPr>
            <w:tcW w:w="2127" w:type="dxa"/>
            <w:vMerge/>
            <w:tcBorders>
              <w:top w:val="single" w:sz="16" w:space="0" w:color="000000"/>
              <w:left w:val="nil"/>
              <w:right w:val="nil"/>
            </w:tcBorders>
            <w:shd w:val="clear" w:color="auto" w:fill="FFFFFF"/>
          </w:tcPr>
          <w:p w14:paraId="01190268" w14:textId="77777777" w:rsidR="00FF13F9" w:rsidRPr="00FF13F9" w:rsidRDefault="00FF13F9"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FFFFFF"/>
          </w:tcPr>
          <w:p w14:paraId="377DF3E6" w14:textId="77777777" w:rsidR="00FF13F9" w:rsidRPr="00FF13F9" w:rsidRDefault="00FF13F9"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Variância</w:t>
            </w:r>
          </w:p>
        </w:tc>
        <w:tc>
          <w:tcPr>
            <w:tcW w:w="1128" w:type="dxa"/>
            <w:tcBorders>
              <w:top w:val="nil"/>
              <w:left w:val="nil"/>
              <w:bottom w:val="nil"/>
              <w:right w:val="nil"/>
            </w:tcBorders>
            <w:shd w:val="clear" w:color="auto" w:fill="FFFFFF"/>
          </w:tcPr>
          <w:p w14:paraId="76028729" w14:textId="77777777" w:rsidR="00FF13F9" w:rsidRPr="00FF13F9" w:rsidRDefault="00FF13F9"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329,964</w:t>
            </w:r>
          </w:p>
        </w:tc>
        <w:tc>
          <w:tcPr>
            <w:tcW w:w="1606" w:type="dxa"/>
            <w:tcBorders>
              <w:top w:val="nil"/>
              <w:left w:val="nil"/>
              <w:bottom w:val="nil"/>
              <w:right w:val="nil"/>
            </w:tcBorders>
            <w:shd w:val="clear" w:color="auto" w:fill="FFFFFF"/>
            <w:vAlign w:val="center"/>
          </w:tcPr>
          <w:p w14:paraId="5A081592" w14:textId="77777777" w:rsidR="00FF13F9" w:rsidRPr="00FF13F9" w:rsidRDefault="00FF13F9" w:rsidP="009C5227">
            <w:pPr>
              <w:autoSpaceDE w:val="0"/>
              <w:autoSpaceDN w:val="0"/>
              <w:adjustRightInd w:val="0"/>
              <w:spacing w:after="0" w:line="240" w:lineRule="auto"/>
              <w:rPr>
                <w:rFonts w:cs="Times New Roman"/>
                <w:sz w:val="22"/>
              </w:rPr>
            </w:pPr>
          </w:p>
        </w:tc>
      </w:tr>
      <w:tr w:rsidR="00FF13F9" w:rsidRPr="00FF13F9" w14:paraId="5AD69359" w14:textId="77777777" w:rsidTr="00C413F3">
        <w:trPr>
          <w:cantSplit/>
          <w:jc w:val="center"/>
        </w:trPr>
        <w:tc>
          <w:tcPr>
            <w:tcW w:w="2127" w:type="dxa"/>
            <w:vMerge/>
            <w:tcBorders>
              <w:top w:val="single" w:sz="16" w:space="0" w:color="000000"/>
              <w:left w:val="nil"/>
              <w:right w:val="nil"/>
            </w:tcBorders>
            <w:shd w:val="clear" w:color="auto" w:fill="FFFFFF"/>
          </w:tcPr>
          <w:p w14:paraId="74103813" w14:textId="77777777" w:rsidR="00FF13F9" w:rsidRPr="00FF13F9" w:rsidRDefault="00FF13F9"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E7E6E6" w:themeFill="background2"/>
          </w:tcPr>
          <w:p w14:paraId="2D443634" w14:textId="77777777" w:rsidR="00FF13F9" w:rsidRPr="00FF13F9" w:rsidRDefault="00FF13F9"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Erro Padrão</w:t>
            </w:r>
          </w:p>
        </w:tc>
        <w:tc>
          <w:tcPr>
            <w:tcW w:w="1128" w:type="dxa"/>
            <w:tcBorders>
              <w:top w:val="nil"/>
              <w:left w:val="nil"/>
              <w:bottom w:val="nil"/>
              <w:right w:val="nil"/>
            </w:tcBorders>
            <w:shd w:val="clear" w:color="auto" w:fill="E7E6E6" w:themeFill="background2"/>
          </w:tcPr>
          <w:p w14:paraId="2CE038B1" w14:textId="77777777" w:rsidR="00FF13F9" w:rsidRPr="00FF13F9" w:rsidRDefault="00FF13F9"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18,16491</w:t>
            </w:r>
          </w:p>
        </w:tc>
        <w:tc>
          <w:tcPr>
            <w:tcW w:w="1606" w:type="dxa"/>
            <w:tcBorders>
              <w:top w:val="nil"/>
              <w:left w:val="nil"/>
              <w:bottom w:val="nil"/>
              <w:right w:val="nil"/>
            </w:tcBorders>
            <w:shd w:val="clear" w:color="auto" w:fill="E7E6E6" w:themeFill="background2"/>
            <w:vAlign w:val="center"/>
          </w:tcPr>
          <w:p w14:paraId="30EBA2F0" w14:textId="77777777" w:rsidR="00FF13F9" w:rsidRPr="00FF13F9" w:rsidRDefault="00FF13F9" w:rsidP="009C5227">
            <w:pPr>
              <w:autoSpaceDE w:val="0"/>
              <w:autoSpaceDN w:val="0"/>
              <w:adjustRightInd w:val="0"/>
              <w:spacing w:after="0" w:line="240" w:lineRule="auto"/>
              <w:rPr>
                <w:rFonts w:cs="Times New Roman"/>
                <w:sz w:val="22"/>
              </w:rPr>
            </w:pPr>
          </w:p>
        </w:tc>
      </w:tr>
      <w:tr w:rsidR="00FF13F9" w:rsidRPr="00FF13F9" w14:paraId="317F41F1" w14:textId="77777777" w:rsidTr="00C413F3">
        <w:trPr>
          <w:cantSplit/>
          <w:jc w:val="center"/>
        </w:trPr>
        <w:tc>
          <w:tcPr>
            <w:tcW w:w="2127" w:type="dxa"/>
            <w:vMerge/>
            <w:tcBorders>
              <w:top w:val="single" w:sz="16" w:space="0" w:color="000000"/>
              <w:left w:val="nil"/>
              <w:right w:val="nil"/>
            </w:tcBorders>
            <w:shd w:val="clear" w:color="auto" w:fill="FFFFFF"/>
          </w:tcPr>
          <w:p w14:paraId="74DFA614" w14:textId="77777777" w:rsidR="00FF13F9" w:rsidRPr="00FF13F9" w:rsidRDefault="00FF13F9"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FFFFFF"/>
          </w:tcPr>
          <w:p w14:paraId="42F34AEC" w14:textId="77777777" w:rsidR="00FF13F9" w:rsidRPr="00FF13F9" w:rsidRDefault="00FF13F9"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Mínimo</w:t>
            </w:r>
          </w:p>
        </w:tc>
        <w:tc>
          <w:tcPr>
            <w:tcW w:w="1128" w:type="dxa"/>
            <w:tcBorders>
              <w:top w:val="nil"/>
              <w:left w:val="nil"/>
              <w:bottom w:val="nil"/>
              <w:right w:val="nil"/>
            </w:tcBorders>
            <w:shd w:val="clear" w:color="auto" w:fill="FFFFFF"/>
          </w:tcPr>
          <w:p w14:paraId="0A8E0ABE" w14:textId="2BD40382" w:rsidR="00FF13F9" w:rsidRPr="00FF13F9" w:rsidRDefault="00FF13F9" w:rsidP="009C5227">
            <w:pPr>
              <w:autoSpaceDE w:val="0"/>
              <w:autoSpaceDN w:val="0"/>
              <w:adjustRightInd w:val="0"/>
              <w:spacing w:after="0" w:line="240" w:lineRule="auto"/>
              <w:ind w:left="60" w:right="60"/>
              <w:jc w:val="right"/>
              <w:rPr>
                <w:rFonts w:cs="Times New Roman"/>
                <w:color w:val="000000"/>
                <w:sz w:val="22"/>
              </w:rPr>
            </w:pPr>
            <w:r>
              <w:rPr>
                <w:rFonts w:cs="Times New Roman"/>
                <w:color w:val="000000"/>
                <w:sz w:val="22"/>
              </w:rPr>
              <w:t>0</w:t>
            </w:r>
            <w:r w:rsidRPr="00FF13F9">
              <w:rPr>
                <w:rFonts w:cs="Times New Roman"/>
                <w:color w:val="000000"/>
                <w:sz w:val="22"/>
              </w:rPr>
              <w:t>,82</w:t>
            </w:r>
          </w:p>
        </w:tc>
        <w:tc>
          <w:tcPr>
            <w:tcW w:w="1606" w:type="dxa"/>
            <w:tcBorders>
              <w:top w:val="nil"/>
              <w:left w:val="nil"/>
              <w:bottom w:val="nil"/>
              <w:right w:val="nil"/>
            </w:tcBorders>
            <w:shd w:val="clear" w:color="auto" w:fill="FFFFFF"/>
            <w:vAlign w:val="center"/>
          </w:tcPr>
          <w:p w14:paraId="063EC7AF" w14:textId="77777777" w:rsidR="00FF13F9" w:rsidRPr="00FF13F9" w:rsidRDefault="00FF13F9" w:rsidP="009C5227">
            <w:pPr>
              <w:autoSpaceDE w:val="0"/>
              <w:autoSpaceDN w:val="0"/>
              <w:adjustRightInd w:val="0"/>
              <w:spacing w:after="0" w:line="240" w:lineRule="auto"/>
              <w:rPr>
                <w:rFonts w:cs="Times New Roman"/>
                <w:sz w:val="22"/>
              </w:rPr>
            </w:pPr>
          </w:p>
        </w:tc>
      </w:tr>
      <w:tr w:rsidR="00FF13F9" w:rsidRPr="00FF13F9" w14:paraId="46234E95" w14:textId="77777777" w:rsidTr="00C413F3">
        <w:trPr>
          <w:cantSplit/>
          <w:jc w:val="center"/>
        </w:trPr>
        <w:tc>
          <w:tcPr>
            <w:tcW w:w="2127" w:type="dxa"/>
            <w:vMerge/>
            <w:tcBorders>
              <w:top w:val="single" w:sz="16" w:space="0" w:color="000000"/>
              <w:left w:val="nil"/>
              <w:right w:val="nil"/>
            </w:tcBorders>
            <w:shd w:val="clear" w:color="auto" w:fill="FFFFFF"/>
          </w:tcPr>
          <w:p w14:paraId="7A118B52" w14:textId="77777777" w:rsidR="00FF13F9" w:rsidRPr="00FF13F9" w:rsidRDefault="00FF13F9"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E7E6E6" w:themeFill="background2"/>
          </w:tcPr>
          <w:p w14:paraId="0E1AC1A7" w14:textId="77777777" w:rsidR="00FF13F9" w:rsidRPr="00FF13F9" w:rsidRDefault="00FF13F9"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Máximo</w:t>
            </w:r>
          </w:p>
        </w:tc>
        <w:tc>
          <w:tcPr>
            <w:tcW w:w="1128" w:type="dxa"/>
            <w:tcBorders>
              <w:top w:val="nil"/>
              <w:left w:val="nil"/>
              <w:bottom w:val="nil"/>
              <w:right w:val="nil"/>
            </w:tcBorders>
            <w:shd w:val="clear" w:color="auto" w:fill="E7E6E6" w:themeFill="background2"/>
          </w:tcPr>
          <w:p w14:paraId="3383D6B2" w14:textId="77777777" w:rsidR="00FF13F9" w:rsidRPr="00FF13F9" w:rsidRDefault="00FF13F9"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100,00</w:t>
            </w:r>
          </w:p>
        </w:tc>
        <w:tc>
          <w:tcPr>
            <w:tcW w:w="1606" w:type="dxa"/>
            <w:tcBorders>
              <w:top w:val="nil"/>
              <w:left w:val="nil"/>
              <w:bottom w:val="nil"/>
              <w:right w:val="nil"/>
            </w:tcBorders>
            <w:shd w:val="clear" w:color="auto" w:fill="E7E6E6" w:themeFill="background2"/>
            <w:vAlign w:val="center"/>
          </w:tcPr>
          <w:p w14:paraId="63D038E3" w14:textId="77777777" w:rsidR="00FF13F9" w:rsidRPr="00FF13F9" w:rsidRDefault="00FF13F9" w:rsidP="009C5227">
            <w:pPr>
              <w:autoSpaceDE w:val="0"/>
              <w:autoSpaceDN w:val="0"/>
              <w:adjustRightInd w:val="0"/>
              <w:spacing w:after="0" w:line="240" w:lineRule="auto"/>
              <w:rPr>
                <w:rFonts w:cs="Times New Roman"/>
                <w:sz w:val="22"/>
              </w:rPr>
            </w:pPr>
          </w:p>
        </w:tc>
      </w:tr>
      <w:tr w:rsidR="00FF13F9" w:rsidRPr="00FF13F9" w14:paraId="004747E9" w14:textId="77777777" w:rsidTr="00C413F3">
        <w:trPr>
          <w:cantSplit/>
          <w:jc w:val="center"/>
        </w:trPr>
        <w:tc>
          <w:tcPr>
            <w:tcW w:w="2127" w:type="dxa"/>
            <w:vMerge/>
            <w:tcBorders>
              <w:top w:val="single" w:sz="16" w:space="0" w:color="000000"/>
              <w:left w:val="nil"/>
              <w:right w:val="nil"/>
            </w:tcBorders>
            <w:shd w:val="clear" w:color="auto" w:fill="FFFFFF"/>
          </w:tcPr>
          <w:p w14:paraId="538A761B" w14:textId="77777777" w:rsidR="00FF13F9" w:rsidRPr="00FF13F9" w:rsidRDefault="00FF13F9"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FFFFFF"/>
          </w:tcPr>
          <w:p w14:paraId="01E1CAB2" w14:textId="77777777" w:rsidR="00FF13F9" w:rsidRPr="00FF13F9" w:rsidRDefault="00FF13F9"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Amplitude</w:t>
            </w:r>
          </w:p>
        </w:tc>
        <w:tc>
          <w:tcPr>
            <w:tcW w:w="1128" w:type="dxa"/>
            <w:tcBorders>
              <w:top w:val="nil"/>
              <w:left w:val="nil"/>
              <w:bottom w:val="nil"/>
              <w:right w:val="nil"/>
            </w:tcBorders>
            <w:shd w:val="clear" w:color="auto" w:fill="FFFFFF"/>
          </w:tcPr>
          <w:p w14:paraId="4E29BCD2" w14:textId="77777777" w:rsidR="00FF13F9" w:rsidRPr="00FF13F9" w:rsidRDefault="00FF13F9"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99,18</w:t>
            </w:r>
          </w:p>
        </w:tc>
        <w:tc>
          <w:tcPr>
            <w:tcW w:w="1606" w:type="dxa"/>
            <w:tcBorders>
              <w:top w:val="nil"/>
              <w:left w:val="nil"/>
              <w:bottom w:val="nil"/>
              <w:right w:val="nil"/>
            </w:tcBorders>
            <w:shd w:val="clear" w:color="auto" w:fill="FFFFFF"/>
            <w:vAlign w:val="center"/>
          </w:tcPr>
          <w:p w14:paraId="323D99F0" w14:textId="77777777" w:rsidR="00FF13F9" w:rsidRPr="00FF13F9" w:rsidRDefault="00FF13F9" w:rsidP="009C5227">
            <w:pPr>
              <w:autoSpaceDE w:val="0"/>
              <w:autoSpaceDN w:val="0"/>
              <w:adjustRightInd w:val="0"/>
              <w:spacing w:after="0" w:line="240" w:lineRule="auto"/>
              <w:rPr>
                <w:rFonts w:cs="Times New Roman"/>
                <w:sz w:val="22"/>
              </w:rPr>
            </w:pPr>
          </w:p>
        </w:tc>
      </w:tr>
      <w:tr w:rsidR="00FF13F9" w:rsidRPr="00FF13F9" w14:paraId="325EE81B" w14:textId="77777777" w:rsidTr="00C413F3">
        <w:trPr>
          <w:cantSplit/>
          <w:jc w:val="center"/>
        </w:trPr>
        <w:tc>
          <w:tcPr>
            <w:tcW w:w="2127" w:type="dxa"/>
            <w:vMerge/>
            <w:tcBorders>
              <w:top w:val="single" w:sz="16" w:space="0" w:color="000000"/>
              <w:left w:val="nil"/>
              <w:right w:val="nil"/>
            </w:tcBorders>
            <w:shd w:val="clear" w:color="auto" w:fill="FFFFFF"/>
          </w:tcPr>
          <w:p w14:paraId="499E6034" w14:textId="77777777" w:rsidR="00FF13F9" w:rsidRPr="00FF13F9" w:rsidRDefault="00FF13F9"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E7E6E6" w:themeFill="background2"/>
          </w:tcPr>
          <w:p w14:paraId="5BDD8B53" w14:textId="77777777" w:rsidR="00FF13F9" w:rsidRPr="00FF13F9" w:rsidRDefault="00FF13F9"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Amplitude interquartil</w:t>
            </w:r>
          </w:p>
        </w:tc>
        <w:tc>
          <w:tcPr>
            <w:tcW w:w="1128" w:type="dxa"/>
            <w:tcBorders>
              <w:top w:val="nil"/>
              <w:left w:val="nil"/>
              <w:bottom w:val="nil"/>
              <w:right w:val="nil"/>
            </w:tcBorders>
            <w:shd w:val="clear" w:color="auto" w:fill="E7E6E6" w:themeFill="background2"/>
          </w:tcPr>
          <w:p w14:paraId="5D36CE9C" w14:textId="77777777" w:rsidR="00FF13F9" w:rsidRPr="00FF13F9" w:rsidRDefault="00FF13F9"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20,98</w:t>
            </w:r>
          </w:p>
        </w:tc>
        <w:tc>
          <w:tcPr>
            <w:tcW w:w="1606" w:type="dxa"/>
            <w:tcBorders>
              <w:top w:val="nil"/>
              <w:left w:val="nil"/>
              <w:bottom w:val="nil"/>
              <w:right w:val="nil"/>
            </w:tcBorders>
            <w:shd w:val="clear" w:color="auto" w:fill="E7E6E6" w:themeFill="background2"/>
            <w:vAlign w:val="center"/>
          </w:tcPr>
          <w:p w14:paraId="1AA12040" w14:textId="77777777" w:rsidR="00FF13F9" w:rsidRPr="00FF13F9" w:rsidRDefault="00FF13F9" w:rsidP="009C5227">
            <w:pPr>
              <w:autoSpaceDE w:val="0"/>
              <w:autoSpaceDN w:val="0"/>
              <w:adjustRightInd w:val="0"/>
              <w:spacing w:after="0" w:line="240" w:lineRule="auto"/>
              <w:rPr>
                <w:rFonts w:cs="Times New Roman"/>
                <w:sz w:val="22"/>
              </w:rPr>
            </w:pPr>
          </w:p>
        </w:tc>
      </w:tr>
      <w:tr w:rsidR="00FF13F9" w:rsidRPr="00FF13F9" w14:paraId="6E998941" w14:textId="77777777" w:rsidTr="00C413F3">
        <w:trPr>
          <w:cantSplit/>
          <w:jc w:val="center"/>
        </w:trPr>
        <w:tc>
          <w:tcPr>
            <w:tcW w:w="2127" w:type="dxa"/>
            <w:vMerge/>
            <w:tcBorders>
              <w:top w:val="single" w:sz="16" w:space="0" w:color="000000"/>
              <w:left w:val="nil"/>
              <w:right w:val="nil"/>
            </w:tcBorders>
            <w:shd w:val="clear" w:color="auto" w:fill="FFFFFF"/>
          </w:tcPr>
          <w:p w14:paraId="7DFB17C4" w14:textId="77777777" w:rsidR="00FF13F9" w:rsidRPr="00FF13F9" w:rsidRDefault="00FF13F9"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FFFFFF"/>
          </w:tcPr>
          <w:p w14:paraId="24CBB0BE" w14:textId="77777777" w:rsidR="00FF13F9" w:rsidRPr="00FF13F9" w:rsidRDefault="00FF13F9"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Assimetria</w:t>
            </w:r>
          </w:p>
        </w:tc>
        <w:tc>
          <w:tcPr>
            <w:tcW w:w="1128" w:type="dxa"/>
            <w:tcBorders>
              <w:top w:val="nil"/>
              <w:left w:val="nil"/>
              <w:bottom w:val="nil"/>
              <w:right w:val="nil"/>
            </w:tcBorders>
            <w:shd w:val="clear" w:color="auto" w:fill="FFFFFF"/>
          </w:tcPr>
          <w:p w14:paraId="35482A49" w14:textId="7F9768FD" w:rsidR="00FF13F9" w:rsidRPr="00FF13F9" w:rsidRDefault="00FF13F9" w:rsidP="009C5227">
            <w:pPr>
              <w:autoSpaceDE w:val="0"/>
              <w:autoSpaceDN w:val="0"/>
              <w:adjustRightInd w:val="0"/>
              <w:spacing w:after="0" w:line="240" w:lineRule="auto"/>
              <w:ind w:left="60" w:right="60"/>
              <w:jc w:val="right"/>
              <w:rPr>
                <w:rFonts w:cs="Times New Roman"/>
                <w:color w:val="000000"/>
                <w:sz w:val="22"/>
              </w:rPr>
            </w:pPr>
            <w:r>
              <w:rPr>
                <w:rFonts w:cs="Times New Roman"/>
                <w:color w:val="000000"/>
                <w:sz w:val="22"/>
              </w:rPr>
              <w:t>0</w:t>
            </w:r>
            <w:r w:rsidRPr="00FF13F9">
              <w:rPr>
                <w:rFonts w:cs="Times New Roman"/>
                <w:color w:val="000000"/>
                <w:sz w:val="22"/>
              </w:rPr>
              <w:t>,922</w:t>
            </w:r>
          </w:p>
        </w:tc>
        <w:tc>
          <w:tcPr>
            <w:tcW w:w="1606" w:type="dxa"/>
            <w:tcBorders>
              <w:top w:val="nil"/>
              <w:left w:val="nil"/>
              <w:bottom w:val="nil"/>
              <w:right w:val="nil"/>
            </w:tcBorders>
            <w:shd w:val="clear" w:color="auto" w:fill="FFFFFF"/>
          </w:tcPr>
          <w:p w14:paraId="2C8B1461" w14:textId="1AE8FDC8" w:rsidR="00FF13F9" w:rsidRPr="00FF13F9" w:rsidRDefault="00FF13F9" w:rsidP="009C5227">
            <w:pPr>
              <w:autoSpaceDE w:val="0"/>
              <w:autoSpaceDN w:val="0"/>
              <w:adjustRightInd w:val="0"/>
              <w:spacing w:after="0" w:line="240" w:lineRule="auto"/>
              <w:ind w:left="60" w:right="60"/>
              <w:jc w:val="right"/>
              <w:rPr>
                <w:rFonts w:cs="Times New Roman"/>
                <w:color w:val="000000"/>
                <w:sz w:val="22"/>
              </w:rPr>
            </w:pPr>
            <w:r>
              <w:rPr>
                <w:rFonts w:cs="Times New Roman"/>
                <w:color w:val="000000"/>
                <w:sz w:val="22"/>
              </w:rPr>
              <w:t>0</w:t>
            </w:r>
            <w:r w:rsidRPr="00FF13F9">
              <w:rPr>
                <w:rFonts w:cs="Times New Roman"/>
                <w:color w:val="000000"/>
                <w:sz w:val="22"/>
              </w:rPr>
              <w:t>,080</w:t>
            </w:r>
          </w:p>
        </w:tc>
      </w:tr>
      <w:tr w:rsidR="00C413F3" w:rsidRPr="00FF13F9" w14:paraId="2CEA4DC2" w14:textId="77777777" w:rsidTr="00C413F3">
        <w:trPr>
          <w:cantSplit/>
          <w:jc w:val="center"/>
        </w:trPr>
        <w:tc>
          <w:tcPr>
            <w:tcW w:w="2127" w:type="dxa"/>
            <w:vMerge/>
            <w:tcBorders>
              <w:top w:val="single" w:sz="16" w:space="0" w:color="000000"/>
              <w:left w:val="nil"/>
              <w:right w:val="nil"/>
            </w:tcBorders>
            <w:shd w:val="clear" w:color="auto" w:fill="FFFFFF"/>
          </w:tcPr>
          <w:p w14:paraId="13336F6A" w14:textId="77777777" w:rsidR="00FF13F9" w:rsidRPr="00FF13F9" w:rsidRDefault="00FF13F9" w:rsidP="009C5227">
            <w:pPr>
              <w:autoSpaceDE w:val="0"/>
              <w:autoSpaceDN w:val="0"/>
              <w:adjustRightInd w:val="0"/>
              <w:spacing w:after="0" w:line="240" w:lineRule="auto"/>
              <w:rPr>
                <w:rFonts w:cs="Times New Roman"/>
                <w:color w:val="000000"/>
                <w:sz w:val="22"/>
              </w:rPr>
            </w:pPr>
          </w:p>
        </w:tc>
        <w:tc>
          <w:tcPr>
            <w:tcW w:w="3827" w:type="dxa"/>
            <w:tcBorders>
              <w:top w:val="nil"/>
              <w:left w:val="nil"/>
              <w:bottom w:val="single" w:sz="4" w:space="0" w:color="auto"/>
              <w:right w:val="nil"/>
            </w:tcBorders>
            <w:shd w:val="clear" w:color="auto" w:fill="E7E6E6" w:themeFill="background2"/>
          </w:tcPr>
          <w:p w14:paraId="3745DF18" w14:textId="77777777" w:rsidR="00FF13F9" w:rsidRPr="00FF13F9" w:rsidRDefault="00FF13F9" w:rsidP="009C5227">
            <w:pPr>
              <w:autoSpaceDE w:val="0"/>
              <w:autoSpaceDN w:val="0"/>
              <w:adjustRightInd w:val="0"/>
              <w:spacing w:after="0" w:line="240" w:lineRule="auto"/>
              <w:ind w:left="60" w:right="60"/>
              <w:rPr>
                <w:rFonts w:cs="Times New Roman"/>
                <w:color w:val="000000"/>
                <w:sz w:val="22"/>
              </w:rPr>
            </w:pPr>
            <w:proofErr w:type="spellStart"/>
            <w:r w:rsidRPr="00FF13F9">
              <w:rPr>
                <w:rFonts w:cs="Times New Roman"/>
                <w:color w:val="000000"/>
                <w:sz w:val="22"/>
              </w:rPr>
              <w:t>Curtose</w:t>
            </w:r>
            <w:proofErr w:type="spellEnd"/>
          </w:p>
        </w:tc>
        <w:tc>
          <w:tcPr>
            <w:tcW w:w="1128" w:type="dxa"/>
            <w:tcBorders>
              <w:top w:val="nil"/>
              <w:left w:val="nil"/>
              <w:bottom w:val="single" w:sz="4" w:space="0" w:color="auto"/>
              <w:right w:val="nil"/>
            </w:tcBorders>
            <w:shd w:val="clear" w:color="auto" w:fill="E7E6E6" w:themeFill="background2"/>
          </w:tcPr>
          <w:p w14:paraId="0E8C6E4B" w14:textId="6EA3BF26" w:rsidR="00FF13F9" w:rsidRPr="00FF13F9" w:rsidRDefault="00FF13F9" w:rsidP="009C5227">
            <w:pPr>
              <w:autoSpaceDE w:val="0"/>
              <w:autoSpaceDN w:val="0"/>
              <w:adjustRightInd w:val="0"/>
              <w:spacing w:after="0" w:line="240" w:lineRule="auto"/>
              <w:ind w:left="60" w:right="60"/>
              <w:jc w:val="right"/>
              <w:rPr>
                <w:rFonts w:cs="Times New Roman"/>
                <w:color w:val="000000"/>
                <w:sz w:val="22"/>
              </w:rPr>
            </w:pPr>
            <w:r>
              <w:rPr>
                <w:rFonts w:cs="Times New Roman"/>
                <w:color w:val="000000"/>
                <w:sz w:val="22"/>
              </w:rPr>
              <w:t>0</w:t>
            </w:r>
            <w:r w:rsidRPr="00FF13F9">
              <w:rPr>
                <w:rFonts w:cs="Times New Roman"/>
                <w:color w:val="000000"/>
                <w:sz w:val="22"/>
              </w:rPr>
              <w:t>,668</w:t>
            </w:r>
          </w:p>
        </w:tc>
        <w:tc>
          <w:tcPr>
            <w:tcW w:w="1606" w:type="dxa"/>
            <w:tcBorders>
              <w:top w:val="nil"/>
              <w:left w:val="nil"/>
              <w:bottom w:val="single" w:sz="4" w:space="0" w:color="auto"/>
              <w:right w:val="nil"/>
            </w:tcBorders>
            <w:shd w:val="clear" w:color="auto" w:fill="E7E6E6" w:themeFill="background2"/>
          </w:tcPr>
          <w:p w14:paraId="3C6FED2B" w14:textId="775CA790" w:rsidR="00FF13F9" w:rsidRPr="00FF13F9" w:rsidRDefault="00FF13F9" w:rsidP="009C5227">
            <w:pPr>
              <w:autoSpaceDE w:val="0"/>
              <w:autoSpaceDN w:val="0"/>
              <w:adjustRightInd w:val="0"/>
              <w:spacing w:after="0" w:line="240" w:lineRule="auto"/>
              <w:ind w:left="60" w:right="60"/>
              <w:jc w:val="right"/>
              <w:rPr>
                <w:rFonts w:cs="Times New Roman"/>
                <w:color w:val="000000"/>
                <w:sz w:val="22"/>
              </w:rPr>
            </w:pPr>
            <w:r>
              <w:rPr>
                <w:rFonts w:cs="Times New Roman"/>
                <w:color w:val="000000"/>
                <w:sz w:val="22"/>
              </w:rPr>
              <w:t>0</w:t>
            </w:r>
            <w:r w:rsidRPr="00FF13F9">
              <w:rPr>
                <w:rFonts w:cs="Times New Roman"/>
                <w:color w:val="000000"/>
                <w:sz w:val="22"/>
              </w:rPr>
              <w:t>,161</w:t>
            </w:r>
          </w:p>
        </w:tc>
      </w:tr>
      <w:tr w:rsidR="00FF13F9" w:rsidRPr="00FF13F9" w14:paraId="214C6D99" w14:textId="77777777" w:rsidTr="009D7773">
        <w:trPr>
          <w:cantSplit/>
          <w:jc w:val="center"/>
        </w:trPr>
        <w:tc>
          <w:tcPr>
            <w:tcW w:w="2127" w:type="dxa"/>
            <w:vMerge w:val="restart"/>
            <w:tcBorders>
              <w:top w:val="nil"/>
              <w:left w:val="nil"/>
              <w:right w:val="nil"/>
            </w:tcBorders>
            <w:shd w:val="clear" w:color="auto" w:fill="FFFFFF"/>
          </w:tcPr>
          <w:p w14:paraId="33B5DBBA" w14:textId="7F475986" w:rsidR="00FF13F9" w:rsidRPr="00FF13F9" w:rsidRDefault="00FF13F9" w:rsidP="009C5227">
            <w:pPr>
              <w:autoSpaceDE w:val="0"/>
              <w:autoSpaceDN w:val="0"/>
              <w:adjustRightInd w:val="0"/>
              <w:spacing w:after="0" w:line="240" w:lineRule="auto"/>
              <w:ind w:left="60" w:right="60"/>
              <w:rPr>
                <w:rFonts w:cs="Times New Roman"/>
                <w:color w:val="000000"/>
                <w:sz w:val="22"/>
              </w:rPr>
            </w:pPr>
            <w:r>
              <w:rPr>
                <w:rFonts w:cs="Times New Roman"/>
                <w:color w:val="000000"/>
                <w:sz w:val="22"/>
              </w:rPr>
              <w:t>M</w:t>
            </w:r>
            <w:r w:rsidRPr="00FF13F9">
              <w:rPr>
                <w:rFonts w:cs="Times New Roman"/>
                <w:color w:val="000000"/>
                <w:sz w:val="22"/>
              </w:rPr>
              <w:t>unicípios médios</w:t>
            </w:r>
          </w:p>
        </w:tc>
        <w:tc>
          <w:tcPr>
            <w:tcW w:w="3827" w:type="dxa"/>
            <w:tcBorders>
              <w:top w:val="single" w:sz="4" w:space="0" w:color="auto"/>
              <w:left w:val="nil"/>
              <w:bottom w:val="nil"/>
              <w:right w:val="nil"/>
            </w:tcBorders>
            <w:shd w:val="clear" w:color="auto" w:fill="FFFFFF"/>
          </w:tcPr>
          <w:p w14:paraId="62BB36A6" w14:textId="6A269C19" w:rsidR="00FF13F9" w:rsidRPr="00FF13F9" w:rsidRDefault="009D7773" w:rsidP="009C5227">
            <w:pPr>
              <w:autoSpaceDE w:val="0"/>
              <w:autoSpaceDN w:val="0"/>
              <w:adjustRightInd w:val="0"/>
              <w:spacing w:after="0" w:line="240" w:lineRule="auto"/>
              <w:ind w:left="60" w:right="60"/>
              <w:rPr>
                <w:rFonts w:cs="Times New Roman"/>
                <w:color w:val="000000"/>
                <w:sz w:val="22"/>
              </w:rPr>
            </w:pPr>
            <w:r>
              <w:rPr>
                <w:rFonts w:cs="Times New Roman"/>
                <w:color w:val="000000"/>
                <w:sz w:val="22"/>
              </w:rPr>
              <w:t>N=</w:t>
            </w:r>
            <w:r w:rsidR="007C0296">
              <w:rPr>
                <w:rFonts w:cs="Times New Roman"/>
                <w:color w:val="000000"/>
                <w:sz w:val="22"/>
              </w:rPr>
              <w:t xml:space="preserve"> </w:t>
            </w:r>
            <w:r w:rsidR="008D7D4E">
              <w:rPr>
                <w:rFonts w:cs="Times New Roman"/>
                <w:color w:val="000000"/>
                <w:sz w:val="22"/>
              </w:rPr>
              <w:t>496</w:t>
            </w:r>
          </w:p>
        </w:tc>
        <w:tc>
          <w:tcPr>
            <w:tcW w:w="1128" w:type="dxa"/>
            <w:tcBorders>
              <w:top w:val="single" w:sz="4" w:space="0" w:color="auto"/>
              <w:left w:val="nil"/>
              <w:bottom w:val="nil"/>
              <w:right w:val="nil"/>
            </w:tcBorders>
            <w:shd w:val="clear" w:color="auto" w:fill="FFFFFF"/>
          </w:tcPr>
          <w:p w14:paraId="432C7477" w14:textId="44E143AF" w:rsidR="00FF13F9" w:rsidRPr="00FF13F9" w:rsidRDefault="00FF13F9" w:rsidP="009C5227">
            <w:pPr>
              <w:autoSpaceDE w:val="0"/>
              <w:autoSpaceDN w:val="0"/>
              <w:adjustRightInd w:val="0"/>
              <w:spacing w:after="0" w:line="240" w:lineRule="auto"/>
              <w:ind w:left="60" w:right="60"/>
              <w:jc w:val="right"/>
              <w:rPr>
                <w:rFonts w:cs="Times New Roman"/>
                <w:color w:val="000000"/>
                <w:sz w:val="22"/>
              </w:rPr>
            </w:pPr>
          </w:p>
        </w:tc>
        <w:tc>
          <w:tcPr>
            <w:tcW w:w="1606" w:type="dxa"/>
            <w:tcBorders>
              <w:top w:val="single" w:sz="4" w:space="0" w:color="auto"/>
              <w:left w:val="nil"/>
              <w:bottom w:val="nil"/>
              <w:right w:val="nil"/>
            </w:tcBorders>
            <w:shd w:val="clear" w:color="auto" w:fill="FFFFFF"/>
          </w:tcPr>
          <w:p w14:paraId="1B7CE43B" w14:textId="23566805" w:rsidR="00FF13F9" w:rsidRPr="00FF13F9" w:rsidRDefault="00FF13F9" w:rsidP="009C5227">
            <w:pPr>
              <w:autoSpaceDE w:val="0"/>
              <w:autoSpaceDN w:val="0"/>
              <w:adjustRightInd w:val="0"/>
              <w:spacing w:after="0" w:line="240" w:lineRule="auto"/>
              <w:ind w:left="60" w:right="60"/>
              <w:jc w:val="right"/>
              <w:rPr>
                <w:rFonts w:cs="Times New Roman"/>
                <w:color w:val="000000"/>
                <w:sz w:val="22"/>
              </w:rPr>
            </w:pPr>
          </w:p>
        </w:tc>
      </w:tr>
      <w:tr w:rsidR="009D7773" w:rsidRPr="00FF13F9" w14:paraId="57247ED2" w14:textId="77777777" w:rsidTr="009D7773">
        <w:trPr>
          <w:cantSplit/>
          <w:jc w:val="center"/>
        </w:trPr>
        <w:tc>
          <w:tcPr>
            <w:tcW w:w="2127" w:type="dxa"/>
            <w:vMerge/>
            <w:tcBorders>
              <w:top w:val="nil"/>
              <w:left w:val="nil"/>
              <w:right w:val="nil"/>
            </w:tcBorders>
            <w:shd w:val="clear" w:color="auto" w:fill="FFFFFF"/>
          </w:tcPr>
          <w:p w14:paraId="316A14A7" w14:textId="77777777" w:rsidR="009D7773" w:rsidRDefault="009D7773" w:rsidP="009C5227">
            <w:pPr>
              <w:autoSpaceDE w:val="0"/>
              <w:autoSpaceDN w:val="0"/>
              <w:adjustRightInd w:val="0"/>
              <w:spacing w:after="0" w:line="240" w:lineRule="auto"/>
              <w:ind w:left="60" w:right="60"/>
              <w:rPr>
                <w:rFonts w:cs="Times New Roman"/>
                <w:color w:val="000000"/>
                <w:sz w:val="22"/>
              </w:rPr>
            </w:pPr>
          </w:p>
        </w:tc>
        <w:tc>
          <w:tcPr>
            <w:tcW w:w="3827" w:type="dxa"/>
            <w:tcBorders>
              <w:top w:val="nil"/>
              <w:left w:val="nil"/>
              <w:bottom w:val="nil"/>
              <w:right w:val="nil"/>
            </w:tcBorders>
            <w:shd w:val="clear" w:color="auto" w:fill="FFFFFF"/>
          </w:tcPr>
          <w:p w14:paraId="4DA70BA1" w14:textId="3CA4E75E" w:rsidR="009D7773" w:rsidRPr="00FF13F9" w:rsidRDefault="009D7773"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Média</w:t>
            </w:r>
          </w:p>
        </w:tc>
        <w:tc>
          <w:tcPr>
            <w:tcW w:w="1128" w:type="dxa"/>
            <w:tcBorders>
              <w:top w:val="nil"/>
              <w:left w:val="nil"/>
              <w:bottom w:val="nil"/>
              <w:right w:val="nil"/>
            </w:tcBorders>
            <w:shd w:val="clear" w:color="auto" w:fill="FFFFFF"/>
          </w:tcPr>
          <w:p w14:paraId="1C760BD6" w14:textId="1D4CDA64"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46,6259</w:t>
            </w:r>
          </w:p>
        </w:tc>
        <w:tc>
          <w:tcPr>
            <w:tcW w:w="1606" w:type="dxa"/>
            <w:tcBorders>
              <w:top w:val="nil"/>
              <w:left w:val="nil"/>
              <w:bottom w:val="nil"/>
              <w:right w:val="nil"/>
            </w:tcBorders>
            <w:shd w:val="clear" w:color="auto" w:fill="FFFFFF"/>
          </w:tcPr>
          <w:p w14:paraId="77B0DD3E" w14:textId="2862EE9E" w:rsidR="009D7773" w:rsidRDefault="009D7773" w:rsidP="009C5227">
            <w:pPr>
              <w:autoSpaceDE w:val="0"/>
              <w:autoSpaceDN w:val="0"/>
              <w:adjustRightInd w:val="0"/>
              <w:spacing w:after="0" w:line="240" w:lineRule="auto"/>
              <w:ind w:left="60" w:right="60"/>
              <w:jc w:val="right"/>
              <w:rPr>
                <w:rFonts w:cs="Times New Roman"/>
                <w:color w:val="000000"/>
                <w:sz w:val="22"/>
              </w:rPr>
            </w:pPr>
            <w:r>
              <w:rPr>
                <w:rFonts w:cs="Times New Roman"/>
                <w:color w:val="000000"/>
                <w:sz w:val="22"/>
              </w:rPr>
              <w:t>0</w:t>
            </w:r>
            <w:r w:rsidRPr="00FF13F9">
              <w:rPr>
                <w:rFonts w:cs="Times New Roman"/>
                <w:color w:val="000000"/>
                <w:sz w:val="22"/>
              </w:rPr>
              <w:t>,73912</w:t>
            </w:r>
          </w:p>
        </w:tc>
      </w:tr>
      <w:tr w:rsidR="009D7773" w:rsidRPr="00FF13F9" w14:paraId="606C285F" w14:textId="77777777" w:rsidTr="00C413F3">
        <w:trPr>
          <w:cantSplit/>
          <w:jc w:val="center"/>
        </w:trPr>
        <w:tc>
          <w:tcPr>
            <w:tcW w:w="2127" w:type="dxa"/>
            <w:vMerge/>
            <w:tcBorders>
              <w:top w:val="nil"/>
              <w:left w:val="nil"/>
              <w:right w:val="nil"/>
            </w:tcBorders>
            <w:shd w:val="clear" w:color="auto" w:fill="FFFFFF"/>
          </w:tcPr>
          <w:p w14:paraId="0C1548F9" w14:textId="77777777" w:rsidR="009D7773" w:rsidRPr="00FF13F9" w:rsidRDefault="009D7773"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E7E6E6" w:themeFill="background2"/>
          </w:tcPr>
          <w:p w14:paraId="279D2963" w14:textId="77777777" w:rsidR="009D7773" w:rsidRPr="00FF13F9" w:rsidRDefault="009D7773"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Mediana</w:t>
            </w:r>
          </w:p>
        </w:tc>
        <w:tc>
          <w:tcPr>
            <w:tcW w:w="1128" w:type="dxa"/>
            <w:tcBorders>
              <w:top w:val="nil"/>
              <w:left w:val="nil"/>
              <w:bottom w:val="nil"/>
              <w:right w:val="nil"/>
            </w:tcBorders>
            <w:shd w:val="clear" w:color="auto" w:fill="E7E6E6" w:themeFill="background2"/>
          </w:tcPr>
          <w:p w14:paraId="534985E4" w14:textId="77777777"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43,2664</w:t>
            </w:r>
          </w:p>
        </w:tc>
        <w:tc>
          <w:tcPr>
            <w:tcW w:w="1606" w:type="dxa"/>
            <w:tcBorders>
              <w:top w:val="nil"/>
              <w:left w:val="nil"/>
              <w:bottom w:val="nil"/>
              <w:right w:val="nil"/>
            </w:tcBorders>
            <w:shd w:val="clear" w:color="auto" w:fill="E7E6E6" w:themeFill="background2"/>
            <w:vAlign w:val="center"/>
          </w:tcPr>
          <w:p w14:paraId="46A26E3E" w14:textId="77777777" w:rsidR="009D7773" w:rsidRPr="00FF13F9" w:rsidRDefault="009D7773" w:rsidP="009C5227">
            <w:pPr>
              <w:autoSpaceDE w:val="0"/>
              <w:autoSpaceDN w:val="0"/>
              <w:adjustRightInd w:val="0"/>
              <w:spacing w:after="0" w:line="240" w:lineRule="auto"/>
              <w:rPr>
                <w:rFonts w:cs="Times New Roman"/>
                <w:sz w:val="22"/>
              </w:rPr>
            </w:pPr>
          </w:p>
        </w:tc>
      </w:tr>
      <w:tr w:rsidR="009D7773" w:rsidRPr="00FF13F9" w14:paraId="6FB5889B" w14:textId="77777777" w:rsidTr="00C413F3">
        <w:trPr>
          <w:cantSplit/>
          <w:jc w:val="center"/>
        </w:trPr>
        <w:tc>
          <w:tcPr>
            <w:tcW w:w="2127" w:type="dxa"/>
            <w:vMerge/>
            <w:tcBorders>
              <w:top w:val="nil"/>
              <w:left w:val="nil"/>
              <w:right w:val="nil"/>
            </w:tcBorders>
            <w:shd w:val="clear" w:color="auto" w:fill="FFFFFF"/>
          </w:tcPr>
          <w:p w14:paraId="3055BB46" w14:textId="77777777" w:rsidR="009D7773" w:rsidRPr="00FF13F9" w:rsidRDefault="009D7773"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FFFFFF"/>
          </w:tcPr>
          <w:p w14:paraId="63FE4272" w14:textId="77777777" w:rsidR="009D7773" w:rsidRPr="00FF13F9" w:rsidRDefault="009D7773"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Variância</w:t>
            </w:r>
          </w:p>
        </w:tc>
        <w:tc>
          <w:tcPr>
            <w:tcW w:w="1128" w:type="dxa"/>
            <w:tcBorders>
              <w:top w:val="nil"/>
              <w:left w:val="nil"/>
              <w:bottom w:val="nil"/>
              <w:right w:val="nil"/>
            </w:tcBorders>
            <w:shd w:val="clear" w:color="auto" w:fill="FFFFFF"/>
          </w:tcPr>
          <w:p w14:paraId="2C47FD56" w14:textId="77777777"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270,965</w:t>
            </w:r>
          </w:p>
        </w:tc>
        <w:tc>
          <w:tcPr>
            <w:tcW w:w="1606" w:type="dxa"/>
            <w:tcBorders>
              <w:top w:val="nil"/>
              <w:left w:val="nil"/>
              <w:bottom w:val="nil"/>
              <w:right w:val="nil"/>
            </w:tcBorders>
            <w:shd w:val="clear" w:color="auto" w:fill="FFFFFF"/>
            <w:vAlign w:val="center"/>
          </w:tcPr>
          <w:p w14:paraId="60CE91A0" w14:textId="77777777" w:rsidR="009D7773" w:rsidRPr="00FF13F9" w:rsidRDefault="009D7773" w:rsidP="009C5227">
            <w:pPr>
              <w:autoSpaceDE w:val="0"/>
              <w:autoSpaceDN w:val="0"/>
              <w:adjustRightInd w:val="0"/>
              <w:spacing w:after="0" w:line="240" w:lineRule="auto"/>
              <w:rPr>
                <w:rFonts w:cs="Times New Roman"/>
                <w:sz w:val="22"/>
              </w:rPr>
            </w:pPr>
          </w:p>
        </w:tc>
      </w:tr>
      <w:tr w:rsidR="009D7773" w:rsidRPr="00FF13F9" w14:paraId="4ABA6621" w14:textId="77777777" w:rsidTr="00C413F3">
        <w:trPr>
          <w:cantSplit/>
          <w:jc w:val="center"/>
        </w:trPr>
        <w:tc>
          <w:tcPr>
            <w:tcW w:w="2127" w:type="dxa"/>
            <w:vMerge/>
            <w:tcBorders>
              <w:top w:val="nil"/>
              <w:left w:val="nil"/>
              <w:right w:val="nil"/>
            </w:tcBorders>
            <w:shd w:val="clear" w:color="auto" w:fill="FFFFFF"/>
          </w:tcPr>
          <w:p w14:paraId="22468837" w14:textId="77777777" w:rsidR="009D7773" w:rsidRPr="00FF13F9" w:rsidRDefault="009D7773"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E7E6E6" w:themeFill="background2"/>
          </w:tcPr>
          <w:p w14:paraId="06E45AA9" w14:textId="77777777" w:rsidR="009D7773" w:rsidRPr="00FF13F9" w:rsidRDefault="009D7773"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Erro Padrão</w:t>
            </w:r>
          </w:p>
        </w:tc>
        <w:tc>
          <w:tcPr>
            <w:tcW w:w="1128" w:type="dxa"/>
            <w:tcBorders>
              <w:top w:val="nil"/>
              <w:left w:val="nil"/>
              <w:bottom w:val="nil"/>
              <w:right w:val="nil"/>
            </w:tcBorders>
            <w:shd w:val="clear" w:color="auto" w:fill="E7E6E6" w:themeFill="background2"/>
          </w:tcPr>
          <w:p w14:paraId="0176AD1C" w14:textId="77777777"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16,46100</w:t>
            </w:r>
          </w:p>
        </w:tc>
        <w:tc>
          <w:tcPr>
            <w:tcW w:w="1606" w:type="dxa"/>
            <w:tcBorders>
              <w:top w:val="nil"/>
              <w:left w:val="nil"/>
              <w:bottom w:val="nil"/>
              <w:right w:val="nil"/>
            </w:tcBorders>
            <w:shd w:val="clear" w:color="auto" w:fill="E7E6E6" w:themeFill="background2"/>
            <w:vAlign w:val="center"/>
          </w:tcPr>
          <w:p w14:paraId="40DBC8FD" w14:textId="77777777" w:rsidR="009D7773" w:rsidRPr="00FF13F9" w:rsidRDefault="009D7773" w:rsidP="009C5227">
            <w:pPr>
              <w:autoSpaceDE w:val="0"/>
              <w:autoSpaceDN w:val="0"/>
              <w:adjustRightInd w:val="0"/>
              <w:spacing w:after="0" w:line="240" w:lineRule="auto"/>
              <w:rPr>
                <w:rFonts w:cs="Times New Roman"/>
                <w:sz w:val="22"/>
              </w:rPr>
            </w:pPr>
          </w:p>
        </w:tc>
      </w:tr>
      <w:tr w:rsidR="009D7773" w:rsidRPr="00FF13F9" w14:paraId="1E071CFE" w14:textId="77777777" w:rsidTr="00C413F3">
        <w:trPr>
          <w:cantSplit/>
          <w:jc w:val="center"/>
        </w:trPr>
        <w:tc>
          <w:tcPr>
            <w:tcW w:w="2127" w:type="dxa"/>
            <w:vMerge/>
            <w:tcBorders>
              <w:top w:val="nil"/>
              <w:left w:val="nil"/>
              <w:right w:val="nil"/>
            </w:tcBorders>
            <w:shd w:val="clear" w:color="auto" w:fill="FFFFFF"/>
          </w:tcPr>
          <w:p w14:paraId="6BECEB95" w14:textId="77777777" w:rsidR="009D7773" w:rsidRPr="00FF13F9" w:rsidRDefault="009D7773"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FFFFFF"/>
          </w:tcPr>
          <w:p w14:paraId="7B16AD09" w14:textId="77777777" w:rsidR="009D7773" w:rsidRPr="00FF13F9" w:rsidRDefault="009D7773"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Mínimo</w:t>
            </w:r>
          </w:p>
        </w:tc>
        <w:tc>
          <w:tcPr>
            <w:tcW w:w="1128" w:type="dxa"/>
            <w:tcBorders>
              <w:top w:val="nil"/>
              <w:left w:val="nil"/>
              <w:bottom w:val="nil"/>
              <w:right w:val="nil"/>
            </w:tcBorders>
            <w:shd w:val="clear" w:color="auto" w:fill="FFFFFF"/>
          </w:tcPr>
          <w:p w14:paraId="2FF9207E" w14:textId="77777777"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8,11</w:t>
            </w:r>
          </w:p>
        </w:tc>
        <w:tc>
          <w:tcPr>
            <w:tcW w:w="1606" w:type="dxa"/>
            <w:tcBorders>
              <w:top w:val="nil"/>
              <w:left w:val="nil"/>
              <w:bottom w:val="nil"/>
              <w:right w:val="nil"/>
            </w:tcBorders>
            <w:shd w:val="clear" w:color="auto" w:fill="FFFFFF"/>
            <w:vAlign w:val="center"/>
          </w:tcPr>
          <w:p w14:paraId="03603CBF" w14:textId="77777777" w:rsidR="009D7773" w:rsidRPr="00FF13F9" w:rsidRDefault="009D7773" w:rsidP="009C5227">
            <w:pPr>
              <w:autoSpaceDE w:val="0"/>
              <w:autoSpaceDN w:val="0"/>
              <w:adjustRightInd w:val="0"/>
              <w:spacing w:after="0" w:line="240" w:lineRule="auto"/>
              <w:rPr>
                <w:rFonts w:cs="Times New Roman"/>
                <w:sz w:val="22"/>
              </w:rPr>
            </w:pPr>
          </w:p>
        </w:tc>
      </w:tr>
      <w:tr w:rsidR="009D7773" w:rsidRPr="00FF13F9" w14:paraId="69D74B17" w14:textId="77777777" w:rsidTr="00C413F3">
        <w:trPr>
          <w:cantSplit/>
          <w:jc w:val="center"/>
        </w:trPr>
        <w:tc>
          <w:tcPr>
            <w:tcW w:w="2127" w:type="dxa"/>
            <w:vMerge/>
            <w:tcBorders>
              <w:top w:val="nil"/>
              <w:left w:val="nil"/>
              <w:right w:val="nil"/>
            </w:tcBorders>
            <w:shd w:val="clear" w:color="auto" w:fill="FFFFFF"/>
          </w:tcPr>
          <w:p w14:paraId="11EFF931" w14:textId="77777777" w:rsidR="009D7773" w:rsidRPr="00FF13F9" w:rsidRDefault="009D7773"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E7E6E6" w:themeFill="background2"/>
          </w:tcPr>
          <w:p w14:paraId="3E379A21" w14:textId="77777777" w:rsidR="009D7773" w:rsidRPr="00FF13F9" w:rsidRDefault="009D7773"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Máximo</w:t>
            </w:r>
          </w:p>
        </w:tc>
        <w:tc>
          <w:tcPr>
            <w:tcW w:w="1128" w:type="dxa"/>
            <w:tcBorders>
              <w:top w:val="nil"/>
              <w:left w:val="nil"/>
              <w:bottom w:val="nil"/>
              <w:right w:val="nil"/>
            </w:tcBorders>
            <w:shd w:val="clear" w:color="auto" w:fill="E7E6E6" w:themeFill="background2"/>
          </w:tcPr>
          <w:p w14:paraId="7620A8D8" w14:textId="77777777"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97,80</w:t>
            </w:r>
          </w:p>
        </w:tc>
        <w:tc>
          <w:tcPr>
            <w:tcW w:w="1606" w:type="dxa"/>
            <w:tcBorders>
              <w:top w:val="nil"/>
              <w:left w:val="nil"/>
              <w:bottom w:val="nil"/>
              <w:right w:val="nil"/>
            </w:tcBorders>
            <w:shd w:val="clear" w:color="auto" w:fill="E7E6E6" w:themeFill="background2"/>
            <w:vAlign w:val="center"/>
          </w:tcPr>
          <w:p w14:paraId="5DFA63E6" w14:textId="77777777" w:rsidR="009D7773" w:rsidRPr="00FF13F9" w:rsidRDefault="009D7773" w:rsidP="009C5227">
            <w:pPr>
              <w:autoSpaceDE w:val="0"/>
              <w:autoSpaceDN w:val="0"/>
              <w:adjustRightInd w:val="0"/>
              <w:spacing w:after="0" w:line="240" w:lineRule="auto"/>
              <w:rPr>
                <w:rFonts w:cs="Times New Roman"/>
                <w:sz w:val="22"/>
              </w:rPr>
            </w:pPr>
          </w:p>
        </w:tc>
      </w:tr>
      <w:tr w:rsidR="009D7773" w:rsidRPr="00FF13F9" w14:paraId="7ADB8F36" w14:textId="77777777" w:rsidTr="00C413F3">
        <w:trPr>
          <w:cantSplit/>
          <w:jc w:val="center"/>
        </w:trPr>
        <w:tc>
          <w:tcPr>
            <w:tcW w:w="2127" w:type="dxa"/>
            <w:vMerge/>
            <w:tcBorders>
              <w:top w:val="nil"/>
              <w:left w:val="nil"/>
              <w:right w:val="nil"/>
            </w:tcBorders>
            <w:shd w:val="clear" w:color="auto" w:fill="FFFFFF"/>
          </w:tcPr>
          <w:p w14:paraId="036897B6" w14:textId="77777777" w:rsidR="009D7773" w:rsidRPr="00FF13F9" w:rsidRDefault="009D7773"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FFFFFF"/>
          </w:tcPr>
          <w:p w14:paraId="5E90D93D" w14:textId="77777777" w:rsidR="009D7773" w:rsidRPr="00FF13F9" w:rsidRDefault="009D7773"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Amplitude</w:t>
            </w:r>
          </w:p>
        </w:tc>
        <w:tc>
          <w:tcPr>
            <w:tcW w:w="1128" w:type="dxa"/>
            <w:tcBorders>
              <w:top w:val="nil"/>
              <w:left w:val="nil"/>
              <w:bottom w:val="nil"/>
              <w:right w:val="nil"/>
            </w:tcBorders>
            <w:shd w:val="clear" w:color="auto" w:fill="FFFFFF"/>
          </w:tcPr>
          <w:p w14:paraId="75EAD4DF" w14:textId="77777777"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89,70</w:t>
            </w:r>
          </w:p>
        </w:tc>
        <w:tc>
          <w:tcPr>
            <w:tcW w:w="1606" w:type="dxa"/>
            <w:tcBorders>
              <w:top w:val="nil"/>
              <w:left w:val="nil"/>
              <w:bottom w:val="nil"/>
              <w:right w:val="nil"/>
            </w:tcBorders>
            <w:shd w:val="clear" w:color="auto" w:fill="FFFFFF"/>
            <w:vAlign w:val="center"/>
          </w:tcPr>
          <w:p w14:paraId="4CF55570" w14:textId="77777777" w:rsidR="009D7773" w:rsidRPr="00FF13F9" w:rsidRDefault="009D7773" w:rsidP="009C5227">
            <w:pPr>
              <w:autoSpaceDE w:val="0"/>
              <w:autoSpaceDN w:val="0"/>
              <w:adjustRightInd w:val="0"/>
              <w:spacing w:after="0" w:line="240" w:lineRule="auto"/>
              <w:rPr>
                <w:rFonts w:cs="Times New Roman"/>
                <w:sz w:val="22"/>
              </w:rPr>
            </w:pPr>
          </w:p>
        </w:tc>
      </w:tr>
      <w:tr w:rsidR="009D7773" w:rsidRPr="00FF13F9" w14:paraId="20D742DF" w14:textId="77777777" w:rsidTr="00C413F3">
        <w:trPr>
          <w:cantSplit/>
          <w:jc w:val="center"/>
        </w:trPr>
        <w:tc>
          <w:tcPr>
            <w:tcW w:w="2127" w:type="dxa"/>
            <w:vMerge/>
            <w:tcBorders>
              <w:top w:val="nil"/>
              <w:left w:val="nil"/>
              <w:right w:val="nil"/>
            </w:tcBorders>
            <w:shd w:val="clear" w:color="auto" w:fill="FFFFFF"/>
          </w:tcPr>
          <w:p w14:paraId="54120F8A" w14:textId="77777777" w:rsidR="009D7773" w:rsidRPr="00FF13F9" w:rsidRDefault="009D7773"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E7E6E6" w:themeFill="background2"/>
          </w:tcPr>
          <w:p w14:paraId="53EB03F6" w14:textId="77777777" w:rsidR="009D7773" w:rsidRPr="00FF13F9" w:rsidRDefault="009D7773"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Amplitude interquartil</w:t>
            </w:r>
          </w:p>
        </w:tc>
        <w:tc>
          <w:tcPr>
            <w:tcW w:w="1128" w:type="dxa"/>
            <w:tcBorders>
              <w:top w:val="nil"/>
              <w:left w:val="nil"/>
              <w:bottom w:val="nil"/>
              <w:right w:val="nil"/>
            </w:tcBorders>
            <w:shd w:val="clear" w:color="auto" w:fill="E7E6E6" w:themeFill="background2"/>
          </w:tcPr>
          <w:p w14:paraId="7A03E49B" w14:textId="77777777"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21,81</w:t>
            </w:r>
          </w:p>
        </w:tc>
        <w:tc>
          <w:tcPr>
            <w:tcW w:w="1606" w:type="dxa"/>
            <w:tcBorders>
              <w:top w:val="nil"/>
              <w:left w:val="nil"/>
              <w:bottom w:val="nil"/>
              <w:right w:val="nil"/>
            </w:tcBorders>
            <w:shd w:val="clear" w:color="auto" w:fill="E7E6E6" w:themeFill="background2"/>
            <w:vAlign w:val="center"/>
          </w:tcPr>
          <w:p w14:paraId="02661243" w14:textId="77777777" w:rsidR="009D7773" w:rsidRPr="00FF13F9" w:rsidRDefault="009D7773" w:rsidP="009C5227">
            <w:pPr>
              <w:autoSpaceDE w:val="0"/>
              <w:autoSpaceDN w:val="0"/>
              <w:adjustRightInd w:val="0"/>
              <w:spacing w:after="0" w:line="240" w:lineRule="auto"/>
              <w:rPr>
                <w:rFonts w:cs="Times New Roman"/>
                <w:sz w:val="22"/>
              </w:rPr>
            </w:pPr>
          </w:p>
        </w:tc>
      </w:tr>
      <w:tr w:rsidR="009D7773" w:rsidRPr="00FF13F9" w14:paraId="6528AFB2" w14:textId="77777777" w:rsidTr="00C413F3">
        <w:trPr>
          <w:cantSplit/>
          <w:jc w:val="center"/>
        </w:trPr>
        <w:tc>
          <w:tcPr>
            <w:tcW w:w="2127" w:type="dxa"/>
            <w:vMerge/>
            <w:tcBorders>
              <w:top w:val="nil"/>
              <w:left w:val="nil"/>
              <w:right w:val="nil"/>
            </w:tcBorders>
            <w:shd w:val="clear" w:color="auto" w:fill="FFFFFF"/>
          </w:tcPr>
          <w:p w14:paraId="7D2D3722" w14:textId="77777777" w:rsidR="009D7773" w:rsidRPr="00FF13F9" w:rsidRDefault="009D7773"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FFFFFF"/>
          </w:tcPr>
          <w:p w14:paraId="4AA90731" w14:textId="77777777" w:rsidR="009D7773" w:rsidRPr="00FF13F9" w:rsidRDefault="009D7773"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Assimetria</w:t>
            </w:r>
          </w:p>
        </w:tc>
        <w:tc>
          <w:tcPr>
            <w:tcW w:w="1128" w:type="dxa"/>
            <w:tcBorders>
              <w:top w:val="nil"/>
              <w:left w:val="nil"/>
              <w:bottom w:val="nil"/>
              <w:right w:val="nil"/>
            </w:tcBorders>
            <w:shd w:val="clear" w:color="auto" w:fill="FFFFFF"/>
          </w:tcPr>
          <w:p w14:paraId="5185B5BF" w14:textId="4DA77FAC"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Pr>
                <w:rFonts w:cs="Times New Roman"/>
                <w:color w:val="000000"/>
                <w:sz w:val="22"/>
              </w:rPr>
              <w:t>0</w:t>
            </w:r>
            <w:r w:rsidRPr="00FF13F9">
              <w:rPr>
                <w:rFonts w:cs="Times New Roman"/>
                <w:color w:val="000000"/>
                <w:sz w:val="22"/>
              </w:rPr>
              <w:t>,711</w:t>
            </w:r>
          </w:p>
        </w:tc>
        <w:tc>
          <w:tcPr>
            <w:tcW w:w="1606" w:type="dxa"/>
            <w:tcBorders>
              <w:top w:val="nil"/>
              <w:left w:val="nil"/>
              <w:bottom w:val="nil"/>
              <w:right w:val="nil"/>
            </w:tcBorders>
            <w:shd w:val="clear" w:color="auto" w:fill="FFFFFF"/>
          </w:tcPr>
          <w:p w14:paraId="119A3D27" w14:textId="16B9B23B"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Pr>
                <w:rFonts w:cs="Times New Roman"/>
                <w:color w:val="000000"/>
                <w:sz w:val="22"/>
              </w:rPr>
              <w:t>0</w:t>
            </w:r>
            <w:r w:rsidRPr="00FF13F9">
              <w:rPr>
                <w:rFonts w:cs="Times New Roman"/>
                <w:color w:val="000000"/>
                <w:sz w:val="22"/>
              </w:rPr>
              <w:t>,110</w:t>
            </w:r>
          </w:p>
        </w:tc>
      </w:tr>
      <w:tr w:rsidR="009D7773" w:rsidRPr="00FF13F9" w14:paraId="6B7D1DEE" w14:textId="77777777" w:rsidTr="00C413F3">
        <w:trPr>
          <w:cantSplit/>
          <w:jc w:val="center"/>
        </w:trPr>
        <w:tc>
          <w:tcPr>
            <w:tcW w:w="2127" w:type="dxa"/>
            <w:vMerge/>
            <w:tcBorders>
              <w:top w:val="nil"/>
              <w:left w:val="nil"/>
              <w:right w:val="nil"/>
            </w:tcBorders>
            <w:shd w:val="clear" w:color="auto" w:fill="FFFFFF"/>
          </w:tcPr>
          <w:p w14:paraId="64E93826" w14:textId="77777777" w:rsidR="009D7773" w:rsidRPr="00FF13F9" w:rsidRDefault="009D7773" w:rsidP="009C5227">
            <w:pPr>
              <w:autoSpaceDE w:val="0"/>
              <w:autoSpaceDN w:val="0"/>
              <w:adjustRightInd w:val="0"/>
              <w:spacing w:after="0" w:line="240" w:lineRule="auto"/>
              <w:rPr>
                <w:rFonts w:cs="Times New Roman"/>
                <w:color w:val="000000"/>
                <w:sz w:val="22"/>
              </w:rPr>
            </w:pPr>
          </w:p>
        </w:tc>
        <w:tc>
          <w:tcPr>
            <w:tcW w:w="3827" w:type="dxa"/>
            <w:tcBorders>
              <w:top w:val="nil"/>
              <w:left w:val="nil"/>
              <w:bottom w:val="single" w:sz="4" w:space="0" w:color="auto"/>
              <w:right w:val="nil"/>
            </w:tcBorders>
            <w:shd w:val="clear" w:color="auto" w:fill="E7E6E6" w:themeFill="background2"/>
          </w:tcPr>
          <w:p w14:paraId="621BE6A4" w14:textId="77777777" w:rsidR="009D7773" w:rsidRPr="00FF13F9" w:rsidRDefault="009D7773" w:rsidP="009C5227">
            <w:pPr>
              <w:autoSpaceDE w:val="0"/>
              <w:autoSpaceDN w:val="0"/>
              <w:adjustRightInd w:val="0"/>
              <w:spacing w:after="0" w:line="240" w:lineRule="auto"/>
              <w:ind w:left="60" w:right="60"/>
              <w:rPr>
                <w:rFonts w:cs="Times New Roman"/>
                <w:color w:val="000000"/>
                <w:sz w:val="22"/>
              </w:rPr>
            </w:pPr>
            <w:proofErr w:type="spellStart"/>
            <w:r w:rsidRPr="00FF13F9">
              <w:rPr>
                <w:rFonts w:cs="Times New Roman"/>
                <w:color w:val="000000"/>
                <w:sz w:val="22"/>
              </w:rPr>
              <w:t>Curtose</w:t>
            </w:r>
            <w:proofErr w:type="spellEnd"/>
          </w:p>
        </w:tc>
        <w:tc>
          <w:tcPr>
            <w:tcW w:w="1128" w:type="dxa"/>
            <w:tcBorders>
              <w:top w:val="nil"/>
              <w:left w:val="nil"/>
              <w:bottom w:val="single" w:sz="4" w:space="0" w:color="auto"/>
              <w:right w:val="nil"/>
            </w:tcBorders>
            <w:shd w:val="clear" w:color="auto" w:fill="E7E6E6" w:themeFill="background2"/>
          </w:tcPr>
          <w:p w14:paraId="636BFD70" w14:textId="2DD9C725"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Pr>
                <w:rFonts w:cs="Times New Roman"/>
                <w:color w:val="000000"/>
                <w:sz w:val="22"/>
              </w:rPr>
              <w:t>0</w:t>
            </w:r>
            <w:r w:rsidRPr="00FF13F9">
              <w:rPr>
                <w:rFonts w:cs="Times New Roman"/>
                <w:color w:val="000000"/>
                <w:sz w:val="22"/>
              </w:rPr>
              <w:t>,200</w:t>
            </w:r>
          </w:p>
        </w:tc>
        <w:tc>
          <w:tcPr>
            <w:tcW w:w="1606" w:type="dxa"/>
            <w:tcBorders>
              <w:top w:val="nil"/>
              <w:left w:val="nil"/>
              <w:bottom w:val="single" w:sz="4" w:space="0" w:color="auto"/>
              <w:right w:val="nil"/>
            </w:tcBorders>
            <w:shd w:val="clear" w:color="auto" w:fill="E7E6E6" w:themeFill="background2"/>
          </w:tcPr>
          <w:p w14:paraId="40E6A60D" w14:textId="6CF74877"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Pr>
                <w:rFonts w:cs="Times New Roman"/>
                <w:color w:val="000000"/>
                <w:sz w:val="22"/>
              </w:rPr>
              <w:t>0</w:t>
            </w:r>
            <w:r w:rsidRPr="00FF13F9">
              <w:rPr>
                <w:rFonts w:cs="Times New Roman"/>
                <w:color w:val="000000"/>
                <w:sz w:val="22"/>
              </w:rPr>
              <w:t>,219</w:t>
            </w:r>
          </w:p>
        </w:tc>
      </w:tr>
      <w:tr w:rsidR="009D7773" w:rsidRPr="00FF13F9" w14:paraId="1AD55F50" w14:textId="77777777" w:rsidTr="009D7773">
        <w:trPr>
          <w:cantSplit/>
          <w:jc w:val="center"/>
        </w:trPr>
        <w:tc>
          <w:tcPr>
            <w:tcW w:w="2127" w:type="dxa"/>
            <w:vMerge w:val="restart"/>
            <w:tcBorders>
              <w:top w:val="nil"/>
              <w:left w:val="nil"/>
              <w:bottom w:val="double" w:sz="8" w:space="0" w:color="000000"/>
              <w:right w:val="nil"/>
            </w:tcBorders>
            <w:shd w:val="clear" w:color="auto" w:fill="FFFFFF"/>
          </w:tcPr>
          <w:p w14:paraId="39F2322A" w14:textId="5FB72DF0" w:rsidR="009D7773" w:rsidRPr="00FF13F9" w:rsidRDefault="009D7773" w:rsidP="009C5227">
            <w:pPr>
              <w:autoSpaceDE w:val="0"/>
              <w:autoSpaceDN w:val="0"/>
              <w:adjustRightInd w:val="0"/>
              <w:spacing w:after="0" w:line="240" w:lineRule="auto"/>
              <w:ind w:left="60" w:right="60"/>
              <w:rPr>
                <w:rFonts w:cs="Times New Roman"/>
                <w:color w:val="000000"/>
                <w:sz w:val="22"/>
              </w:rPr>
            </w:pPr>
            <w:r>
              <w:rPr>
                <w:rFonts w:cs="Times New Roman"/>
                <w:color w:val="000000"/>
                <w:sz w:val="22"/>
              </w:rPr>
              <w:t>M</w:t>
            </w:r>
            <w:r w:rsidRPr="00FF13F9">
              <w:rPr>
                <w:rFonts w:cs="Times New Roman"/>
                <w:color w:val="000000"/>
                <w:sz w:val="22"/>
              </w:rPr>
              <w:t>unicípios grandes</w:t>
            </w:r>
          </w:p>
        </w:tc>
        <w:tc>
          <w:tcPr>
            <w:tcW w:w="3827" w:type="dxa"/>
            <w:tcBorders>
              <w:top w:val="single" w:sz="4" w:space="0" w:color="auto"/>
              <w:left w:val="nil"/>
              <w:bottom w:val="nil"/>
              <w:right w:val="nil"/>
            </w:tcBorders>
            <w:shd w:val="clear" w:color="auto" w:fill="FFFFFF"/>
          </w:tcPr>
          <w:p w14:paraId="1B7B5518" w14:textId="18F63797" w:rsidR="009D7773" w:rsidRPr="00FF13F9" w:rsidRDefault="009D7773" w:rsidP="009C5227">
            <w:pPr>
              <w:autoSpaceDE w:val="0"/>
              <w:autoSpaceDN w:val="0"/>
              <w:adjustRightInd w:val="0"/>
              <w:spacing w:after="0" w:line="240" w:lineRule="auto"/>
              <w:ind w:left="60" w:right="60"/>
              <w:rPr>
                <w:rFonts w:cs="Times New Roman"/>
                <w:color w:val="000000"/>
                <w:sz w:val="22"/>
              </w:rPr>
            </w:pPr>
            <w:r>
              <w:rPr>
                <w:rFonts w:cs="Times New Roman"/>
                <w:color w:val="000000"/>
                <w:sz w:val="22"/>
              </w:rPr>
              <w:t>N=</w:t>
            </w:r>
            <w:r w:rsidR="008D7D4E">
              <w:rPr>
                <w:rFonts w:cs="Times New Roman"/>
                <w:color w:val="000000"/>
                <w:sz w:val="22"/>
              </w:rPr>
              <w:t xml:space="preserve"> 120</w:t>
            </w:r>
          </w:p>
        </w:tc>
        <w:tc>
          <w:tcPr>
            <w:tcW w:w="1128" w:type="dxa"/>
            <w:tcBorders>
              <w:top w:val="single" w:sz="4" w:space="0" w:color="auto"/>
              <w:left w:val="nil"/>
              <w:bottom w:val="nil"/>
              <w:right w:val="nil"/>
            </w:tcBorders>
            <w:shd w:val="clear" w:color="auto" w:fill="FFFFFF"/>
          </w:tcPr>
          <w:p w14:paraId="657C3968" w14:textId="1142F472"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p>
        </w:tc>
        <w:tc>
          <w:tcPr>
            <w:tcW w:w="1606" w:type="dxa"/>
            <w:tcBorders>
              <w:top w:val="single" w:sz="4" w:space="0" w:color="auto"/>
              <w:left w:val="nil"/>
              <w:bottom w:val="nil"/>
              <w:right w:val="nil"/>
            </w:tcBorders>
            <w:shd w:val="clear" w:color="auto" w:fill="FFFFFF"/>
          </w:tcPr>
          <w:p w14:paraId="69B333C1" w14:textId="0716D055"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p>
        </w:tc>
      </w:tr>
      <w:tr w:rsidR="009D7773" w:rsidRPr="00FF13F9" w14:paraId="05BA4BED" w14:textId="77777777" w:rsidTr="009D7773">
        <w:trPr>
          <w:cantSplit/>
          <w:jc w:val="center"/>
        </w:trPr>
        <w:tc>
          <w:tcPr>
            <w:tcW w:w="2127" w:type="dxa"/>
            <w:vMerge/>
            <w:tcBorders>
              <w:top w:val="nil"/>
              <w:left w:val="nil"/>
              <w:bottom w:val="double" w:sz="8" w:space="0" w:color="000000"/>
              <w:right w:val="nil"/>
            </w:tcBorders>
            <w:shd w:val="clear" w:color="auto" w:fill="FFFFFF"/>
          </w:tcPr>
          <w:p w14:paraId="2F55B86F" w14:textId="77777777" w:rsidR="009D7773" w:rsidRDefault="009D7773" w:rsidP="009C5227">
            <w:pPr>
              <w:autoSpaceDE w:val="0"/>
              <w:autoSpaceDN w:val="0"/>
              <w:adjustRightInd w:val="0"/>
              <w:spacing w:after="0" w:line="240" w:lineRule="auto"/>
              <w:ind w:left="60" w:right="60"/>
              <w:rPr>
                <w:rFonts w:cs="Times New Roman"/>
                <w:color w:val="000000"/>
                <w:sz w:val="22"/>
              </w:rPr>
            </w:pPr>
          </w:p>
        </w:tc>
        <w:tc>
          <w:tcPr>
            <w:tcW w:w="3827" w:type="dxa"/>
            <w:tcBorders>
              <w:top w:val="nil"/>
              <w:left w:val="nil"/>
              <w:bottom w:val="nil"/>
              <w:right w:val="nil"/>
            </w:tcBorders>
            <w:shd w:val="clear" w:color="auto" w:fill="FFFFFF"/>
          </w:tcPr>
          <w:p w14:paraId="069146AE" w14:textId="513E709D" w:rsidR="009D7773" w:rsidRPr="00FF13F9" w:rsidRDefault="009D7773"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Média</w:t>
            </w:r>
          </w:p>
        </w:tc>
        <w:tc>
          <w:tcPr>
            <w:tcW w:w="1128" w:type="dxa"/>
            <w:tcBorders>
              <w:top w:val="nil"/>
              <w:left w:val="nil"/>
              <w:bottom w:val="nil"/>
              <w:right w:val="nil"/>
            </w:tcBorders>
            <w:shd w:val="clear" w:color="auto" w:fill="FFFFFF"/>
          </w:tcPr>
          <w:p w14:paraId="0E513836" w14:textId="63731E82"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48,0881</w:t>
            </w:r>
          </w:p>
        </w:tc>
        <w:tc>
          <w:tcPr>
            <w:tcW w:w="1606" w:type="dxa"/>
            <w:tcBorders>
              <w:top w:val="nil"/>
              <w:left w:val="nil"/>
              <w:bottom w:val="nil"/>
              <w:right w:val="nil"/>
            </w:tcBorders>
            <w:shd w:val="clear" w:color="auto" w:fill="FFFFFF"/>
          </w:tcPr>
          <w:p w14:paraId="5CE62F88" w14:textId="52665B82"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1,24229</w:t>
            </w:r>
          </w:p>
        </w:tc>
      </w:tr>
      <w:tr w:rsidR="009D7773" w:rsidRPr="00FF13F9" w14:paraId="650D6AF9" w14:textId="77777777" w:rsidTr="00C413F3">
        <w:trPr>
          <w:cantSplit/>
          <w:jc w:val="center"/>
        </w:trPr>
        <w:tc>
          <w:tcPr>
            <w:tcW w:w="2127" w:type="dxa"/>
            <w:vMerge/>
            <w:tcBorders>
              <w:top w:val="nil"/>
              <w:left w:val="nil"/>
              <w:bottom w:val="double" w:sz="8" w:space="0" w:color="000000"/>
              <w:right w:val="nil"/>
            </w:tcBorders>
            <w:shd w:val="clear" w:color="auto" w:fill="FFFFFF"/>
          </w:tcPr>
          <w:p w14:paraId="06B63EA2" w14:textId="77777777" w:rsidR="009D7773" w:rsidRPr="00FF13F9" w:rsidRDefault="009D7773"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E7E6E6" w:themeFill="background2"/>
          </w:tcPr>
          <w:p w14:paraId="188D73AB" w14:textId="77777777" w:rsidR="009D7773" w:rsidRPr="00FF13F9" w:rsidRDefault="009D7773"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Mediana</w:t>
            </w:r>
          </w:p>
        </w:tc>
        <w:tc>
          <w:tcPr>
            <w:tcW w:w="1128" w:type="dxa"/>
            <w:tcBorders>
              <w:top w:val="nil"/>
              <w:left w:val="nil"/>
              <w:bottom w:val="nil"/>
              <w:right w:val="nil"/>
            </w:tcBorders>
            <w:shd w:val="clear" w:color="auto" w:fill="E7E6E6" w:themeFill="background2"/>
          </w:tcPr>
          <w:p w14:paraId="059B1E0C" w14:textId="77777777"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43,7489</w:t>
            </w:r>
          </w:p>
        </w:tc>
        <w:tc>
          <w:tcPr>
            <w:tcW w:w="1606" w:type="dxa"/>
            <w:tcBorders>
              <w:top w:val="nil"/>
              <w:left w:val="nil"/>
              <w:bottom w:val="nil"/>
              <w:right w:val="nil"/>
            </w:tcBorders>
            <w:shd w:val="clear" w:color="auto" w:fill="E7E6E6" w:themeFill="background2"/>
            <w:vAlign w:val="center"/>
          </w:tcPr>
          <w:p w14:paraId="2ADC6B4E" w14:textId="77777777" w:rsidR="009D7773" w:rsidRPr="00FF13F9" w:rsidRDefault="009D7773" w:rsidP="009C5227">
            <w:pPr>
              <w:autoSpaceDE w:val="0"/>
              <w:autoSpaceDN w:val="0"/>
              <w:adjustRightInd w:val="0"/>
              <w:spacing w:after="0" w:line="240" w:lineRule="auto"/>
              <w:rPr>
                <w:rFonts w:cs="Times New Roman"/>
                <w:sz w:val="22"/>
              </w:rPr>
            </w:pPr>
          </w:p>
        </w:tc>
      </w:tr>
      <w:tr w:rsidR="009D7773" w:rsidRPr="00FF13F9" w14:paraId="772FA56B" w14:textId="77777777" w:rsidTr="00C413F3">
        <w:trPr>
          <w:cantSplit/>
          <w:jc w:val="center"/>
        </w:trPr>
        <w:tc>
          <w:tcPr>
            <w:tcW w:w="2127" w:type="dxa"/>
            <w:vMerge/>
            <w:tcBorders>
              <w:top w:val="nil"/>
              <w:left w:val="nil"/>
              <w:bottom w:val="double" w:sz="8" w:space="0" w:color="000000"/>
              <w:right w:val="nil"/>
            </w:tcBorders>
            <w:shd w:val="clear" w:color="auto" w:fill="FFFFFF"/>
          </w:tcPr>
          <w:p w14:paraId="4ECDB1EA" w14:textId="77777777" w:rsidR="009D7773" w:rsidRPr="00FF13F9" w:rsidRDefault="009D7773"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FFFFFF"/>
          </w:tcPr>
          <w:p w14:paraId="442F4795" w14:textId="77777777" w:rsidR="009D7773" w:rsidRPr="00FF13F9" w:rsidRDefault="009D7773"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Variância</w:t>
            </w:r>
          </w:p>
        </w:tc>
        <w:tc>
          <w:tcPr>
            <w:tcW w:w="1128" w:type="dxa"/>
            <w:tcBorders>
              <w:top w:val="nil"/>
              <w:left w:val="nil"/>
              <w:bottom w:val="nil"/>
              <w:right w:val="nil"/>
            </w:tcBorders>
            <w:shd w:val="clear" w:color="auto" w:fill="FFFFFF"/>
          </w:tcPr>
          <w:p w14:paraId="64D9F658" w14:textId="77777777"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185,194</w:t>
            </w:r>
          </w:p>
        </w:tc>
        <w:tc>
          <w:tcPr>
            <w:tcW w:w="1606" w:type="dxa"/>
            <w:tcBorders>
              <w:top w:val="nil"/>
              <w:left w:val="nil"/>
              <w:bottom w:val="nil"/>
              <w:right w:val="nil"/>
            </w:tcBorders>
            <w:shd w:val="clear" w:color="auto" w:fill="FFFFFF"/>
            <w:vAlign w:val="center"/>
          </w:tcPr>
          <w:p w14:paraId="18CC784B" w14:textId="77777777" w:rsidR="009D7773" w:rsidRPr="00FF13F9" w:rsidRDefault="009D7773" w:rsidP="009C5227">
            <w:pPr>
              <w:autoSpaceDE w:val="0"/>
              <w:autoSpaceDN w:val="0"/>
              <w:adjustRightInd w:val="0"/>
              <w:spacing w:after="0" w:line="240" w:lineRule="auto"/>
              <w:rPr>
                <w:rFonts w:cs="Times New Roman"/>
                <w:sz w:val="22"/>
              </w:rPr>
            </w:pPr>
          </w:p>
        </w:tc>
      </w:tr>
      <w:tr w:rsidR="009D7773" w:rsidRPr="00FF13F9" w14:paraId="46143789" w14:textId="77777777" w:rsidTr="00C413F3">
        <w:trPr>
          <w:cantSplit/>
          <w:jc w:val="center"/>
        </w:trPr>
        <w:tc>
          <w:tcPr>
            <w:tcW w:w="2127" w:type="dxa"/>
            <w:vMerge/>
            <w:tcBorders>
              <w:top w:val="nil"/>
              <w:left w:val="nil"/>
              <w:bottom w:val="double" w:sz="8" w:space="0" w:color="000000"/>
              <w:right w:val="nil"/>
            </w:tcBorders>
            <w:shd w:val="clear" w:color="auto" w:fill="FFFFFF"/>
          </w:tcPr>
          <w:p w14:paraId="79E9E158" w14:textId="77777777" w:rsidR="009D7773" w:rsidRPr="00FF13F9" w:rsidRDefault="009D7773"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E7E6E6" w:themeFill="background2"/>
          </w:tcPr>
          <w:p w14:paraId="1C76E754" w14:textId="77777777" w:rsidR="009D7773" w:rsidRPr="00FF13F9" w:rsidRDefault="009D7773"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Erro Padrão</w:t>
            </w:r>
          </w:p>
        </w:tc>
        <w:tc>
          <w:tcPr>
            <w:tcW w:w="1128" w:type="dxa"/>
            <w:tcBorders>
              <w:top w:val="nil"/>
              <w:left w:val="nil"/>
              <w:bottom w:val="nil"/>
              <w:right w:val="nil"/>
            </w:tcBorders>
            <w:shd w:val="clear" w:color="auto" w:fill="E7E6E6" w:themeFill="background2"/>
          </w:tcPr>
          <w:p w14:paraId="18954CD2" w14:textId="77777777"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13,60859</w:t>
            </w:r>
          </w:p>
        </w:tc>
        <w:tc>
          <w:tcPr>
            <w:tcW w:w="1606" w:type="dxa"/>
            <w:tcBorders>
              <w:top w:val="nil"/>
              <w:left w:val="nil"/>
              <w:bottom w:val="nil"/>
              <w:right w:val="nil"/>
            </w:tcBorders>
            <w:shd w:val="clear" w:color="auto" w:fill="E7E6E6" w:themeFill="background2"/>
            <w:vAlign w:val="center"/>
          </w:tcPr>
          <w:p w14:paraId="32B0DCD2" w14:textId="77777777" w:rsidR="009D7773" w:rsidRPr="00FF13F9" w:rsidRDefault="009D7773" w:rsidP="009C5227">
            <w:pPr>
              <w:autoSpaceDE w:val="0"/>
              <w:autoSpaceDN w:val="0"/>
              <w:adjustRightInd w:val="0"/>
              <w:spacing w:after="0" w:line="240" w:lineRule="auto"/>
              <w:rPr>
                <w:rFonts w:cs="Times New Roman"/>
                <w:sz w:val="22"/>
              </w:rPr>
            </w:pPr>
          </w:p>
        </w:tc>
      </w:tr>
      <w:tr w:rsidR="009D7773" w:rsidRPr="00FF13F9" w14:paraId="5400B5CA" w14:textId="77777777" w:rsidTr="00C413F3">
        <w:trPr>
          <w:cantSplit/>
          <w:jc w:val="center"/>
        </w:trPr>
        <w:tc>
          <w:tcPr>
            <w:tcW w:w="2127" w:type="dxa"/>
            <w:vMerge/>
            <w:tcBorders>
              <w:top w:val="nil"/>
              <w:left w:val="nil"/>
              <w:bottom w:val="double" w:sz="8" w:space="0" w:color="000000"/>
              <w:right w:val="nil"/>
            </w:tcBorders>
            <w:shd w:val="clear" w:color="auto" w:fill="FFFFFF"/>
          </w:tcPr>
          <w:p w14:paraId="10A3550B" w14:textId="77777777" w:rsidR="009D7773" w:rsidRPr="00FF13F9" w:rsidRDefault="009D7773"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FFFFFF"/>
          </w:tcPr>
          <w:p w14:paraId="65024B67" w14:textId="77777777" w:rsidR="009D7773" w:rsidRPr="00FF13F9" w:rsidRDefault="009D7773"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Mínimo</w:t>
            </w:r>
          </w:p>
        </w:tc>
        <w:tc>
          <w:tcPr>
            <w:tcW w:w="1128" w:type="dxa"/>
            <w:tcBorders>
              <w:top w:val="nil"/>
              <w:left w:val="nil"/>
              <w:bottom w:val="nil"/>
              <w:right w:val="nil"/>
            </w:tcBorders>
            <w:shd w:val="clear" w:color="auto" w:fill="FFFFFF"/>
          </w:tcPr>
          <w:p w14:paraId="2413A867" w14:textId="77777777"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7,00</w:t>
            </w:r>
          </w:p>
        </w:tc>
        <w:tc>
          <w:tcPr>
            <w:tcW w:w="1606" w:type="dxa"/>
            <w:tcBorders>
              <w:top w:val="nil"/>
              <w:left w:val="nil"/>
              <w:bottom w:val="nil"/>
              <w:right w:val="nil"/>
            </w:tcBorders>
            <w:shd w:val="clear" w:color="auto" w:fill="FFFFFF"/>
            <w:vAlign w:val="center"/>
          </w:tcPr>
          <w:p w14:paraId="2130462B" w14:textId="77777777" w:rsidR="009D7773" w:rsidRPr="00FF13F9" w:rsidRDefault="009D7773" w:rsidP="009C5227">
            <w:pPr>
              <w:autoSpaceDE w:val="0"/>
              <w:autoSpaceDN w:val="0"/>
              <w:adjustRightInd w:val="0"/>
              <w:spacing w:after="0" w:line="240" w:lineRule="auto"/>
              <w:rPr>
                <w:rFonts w:cs="Times New Roman"/>
                <w:sz w:val="22"/>
              </w:rPr>
            </w:pPr>
          </w:p>
        </w:tc>
      </w:tr>
      <w:tr w:rsidR="009D7773" w:rsidRPr="00FF13F9" w14:paraId="52DB80D5" w14:textId="77777777" w:rsidTr="00C413F3">
        <w:trPr>
          <w:cantSplit/>
          <w:jc w:val="center"/>
        </w:trPr>
        <w:tc>
          <w:tcPr>
            <w:tcW w:w="2127" w:type="dxa"/>
            <w:vMerge/>
            <w:tcBorders>
              <w:top w:val="nil"/>
              <w:left w:val="nil"/>
              <w:bottom w:val="double" w:sz="8" w:space="0" w:color="000000"/>
              <w:right w:val="nil"/>
            </w:tcBorders>
            <w:shd w:val="clear" w:color="auto" w:fill="FFFFFF"/>
          </w:tcPr>
          <w:p w14:paraId="3A4ADBE0" w14:textId="77777777" w:rsidR="009D7773" w:rsidRPr="00FF13F9" w:rsidRDefault="009D7773"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E7E6E6" w:themeFill="background2"/>
          </w:tcPr>
          <w:p w14:paraId="64E203E1" w14:textId="77777777" w:rsidR="009D7773" w:rsidRPr="00FF13F9" w:rsidRDefault="009D7773"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Máximo</w:t>
            </w:r>
          </w:p>
        </w:tc>
        <w:tc>
          <w:tcPr>
            <w:tcW w:w="1128" w:type="dxa"/>
            <w:tcBorders>
              <w:top w:val="nil"/>
              <w:left w:val="nil"/>
              <w:bottom w:val="nil"/>
              <w:right w:val="nil"/>
            </w:tcBorders>
            <w:shd w:val="clear" w:color="auto" w:fill="E7E6E6" w:themeFill="background2"/>
          </w:tcPr>
          <w:p w14:paraId="4DBBB0F8" w14:textId="77777777"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84,75</w:t>
            </w:r>
          </w:p>
        </w:tc>
        <w:tc>
          <w:tcPr>
            <w:tcW w:w="1606" w:type="dxa"/>
            <w:tcBorders>
              <w:top w:val="nil"/>
              <w:left w:val="nil"/>
              <w:bottom w:val="nil"/>
              <w:right w:val="nil"/>
            </w:tcBorders>
            <w:shd w:val="clear" w:color="auto" w:fill="E7E6E6" w:themeFill="background2"/>
            <w:vAlign w:val="center"/>
          </w:tcPr>
          <w:p w14:paraId="3480F8F4" w14:textId="77777777" w:rsidR="009D7773" w:rsidRPr="00FF13F9" w:rsidRDefault="009D7773" w:rsidP="009C5227">
            <w:pPr>
              <w:autoSpaceDE w:val="0"/>
              <w:autoSpaceDN w:val="0"/>
              <w:adjustRightInd w:val="0"/>
              <w:spacing w:after="0" w:line="240" w:lineRule="auto"/>
              <w:rPr>
                <w:rFonts w:cs="Times New Roman"/>
                <w:sz w:val="22"/>
              </w:rPr>
            </w:pPr>
          </w:p>
        </w:tc>
      </w:tr>
      <w:tr w:rsidR="009D7773" w:rsidRPr="00FF13F9" w14:paraId="78365501" w14:textId="77777777" w:rsidTr="00C413F3">
        <w:trPr>
          <w:cantSplit/>
          <w:jc w:val="center"/>
        </w:trPr>
        <w:tc>
          <w:tcPr>
            <w:tcW w:w="2127" w:type="dxa"/>
            <w:vMerge/>
            <w:tcBorders>
              <w:top w:val="nil"/>
              <w:left w:val="nil"/>
              <w:bottom w:val="double" w:sz="8" w:space="0" w:color="000000"/>
              <w:right w:val="nil"/>
            </w:tcBorders>
            <w:shd w:val="clear" w:color="auto" w:fill="FFFFFF"/>
          </w:tcPr>
          <w:p w14:paraId="49EA3D33" w14:textId="77777777" w:rsidR="009D7773" w:rsidRPr="00FF13F9" w:rsidRDefault="009D7773"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FFFFFF"/>
          </w:tcPr>
          <w:p w14:paraId="3A3AB4DB" w14:textId="77777777" w:rsidR="009D7773" w:rsidRPr="00FF13F9" w:rsidRDefault="009D7773"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Amplitude</w:t>
            </w:r>
          </w:p>
        </w:tc>
        <w:tc>
          <w:tcPr>
            <w:tcW w:w="1128" w:type="dxa"/>
            <w:tcBorders>
              <w:top w:val="nil"/>
              <w:left w:val="nil"/>
              <w:bottom w:val="nil"/>
              <w:right w:val="nil"/>
            </w:tcBorders>
            <w:shd w:val="clear" w:color="auto" w:fill="FFFFFF"/>
          </w:tcPr>
          <w:p w14:paraId="7938FB8A" w14:textId="77777777"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77,75</w:t>
            </w:r>
          </w:p>
        </w:tc>
        <w:tc>
          <w:tcPr>
            <w:tcW w:w="1606" w:type="dxa"/>
            <w:tcBorders>
              <w:top w:val="nil"/>
              <w:left w:val="nil"/>
              <w:bottom w:val="nil"/>
              <w:right w:val="nil"/>
            </w:tcBorders>
            <w:shd w:val="clear" w:color="auto" w:fill="FFFFFF"/>
            <w:vAlign w:val="center"/>
          </w:tcPr>
          <w:p w14:paraId="1A16D000" w14:textId="77777777" w:rsidR="009D7773" w:rsidRPr="00FF13F9" w:rsidRDefault="009D7773" w:rsidP="009C5227">
            <w:pPr>
              <w:autoSpaceDE w:val="0"/>
              <w:autoSpaceDN w:val="0"/>
              <w:adjustRightInd w:val="0"/>
              <w:spacing w:after="0" w:line="240" w:lineRule="auto"/>
              <w:rPr>
                <w:rFonts w:cs="Times New Roman"/>
                <w:sz w:val="22"/>
              </w:rPr>
            </w:pPr>
          </w:p>
        </w:tc>
      </w:tr>
      <w:tr w:rsidR="009D7773" w:rsidRPr="00FF13F9" w14:paraId="058B2D23" w14:textId="77777777" w:rsidTr="00C413F3">
        <w:trPr>
          <w:cantSplit/>
          <w:jc w:val="center"/>
        </w:trPr>
        <w:tc>
          <w:tcPr>
            <w:tcW w:w="2127" w:type="dxa"/>
            <w:vMerge/>
            <w:tcBorders>
              <w:top w:val="nil"/>
              <w:left w:val="nil"/>
              <w:bottom w:val="double" w:sz="8" w:space="0" w:color="000000"/>
              <w:right w:val="nil"/>
            </w:tcBorders>
            <w:shd w:val="clear" w:color="auto" w:fill="FFFFFF"/>
          </w:tcPr>
          <w:p w14:paraId="576812BB" w14:textId="77777777" w:rsidR="009D7773" w:rsidRPr="00FF13F9" w:rsidRDefault="009D7773"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E7E6E6" w:themeFill="background2"/>
          </w:tcPr>
          <w:p w14:paraId="4EA36414" w14:textId="77777777" w:rsidR="009D7773" w:rsidRPr="00FF13F9" w:rsidRDefault="009D7773"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Amplitude interquartil</w:t>
            </w:r>
          </w:p>
        </w:tc>
        <w:tc>
          <w:tcPr>
            <w:tcW w:w="1128" w:type="dxa"/>
            <w:tcBorders>
              <w:top w:val="nil"/>
              <w:left w:val="nil"/>
              <w:bottom w:val="nil"/>
              <w:right w:val="nil"/>
            </w:tcBorders>
            <w:shd w:val="clear" w:color="auto" w:fill="E7E6E6" w:themeFill="background2"/>
          </w:tcPr>
          <w:p w14:paraId="6D432C6E" w14:textId="77777777"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sidRPr="00FF13F9">
              <w:rPr>
                <w:rFonts w:cs="Times New Roman"/>
                <w:color w:val="000000"/>
                <w:sz w:val="22"/>
              </w:rPr>
              <w:t>18,27</w:t>
            </w:r>
          </w:p>
        </w:tc>
        <w:tc>
          <w:tcPr>
            <w:tcW w:w="1606" w:type="dxa"/>
            <w:tcBorders>
              <w:top w:val="nil"/>
              <w:left w:val="nil"/>
              <w:bottom w:val="nil"/>
              <w:right w:val="nil"/>
            </w:tcBorders>
            <w:shd w:val="clear" w:color="auto" w:fill="E7E6E6" w:themeFill="background2"/>
            <w:vAlign w:val="center"/>
          </w:tcPr>
          <w:p w14:paraId="450C57A5" w14:textId="77777777" w:rsidR="009D7773" w:rsidRPr="00FF13F9" w:rsidRDefault="009D7773" w:rsidP="009C5227">
            <w:pPr>
              <w:autoSpaceDE w:val="0"/>
              <w:autoSpaceDN w:val="0"/>
              <w:adjustRightInd w:val="0"/>
              <w:spacing w:after="0" w:line="240" w:lineRule="auto"/>
              <w:rPr>
                <w:rFonts w:cs="Times New Roman"/>
                <w:sz w:val="22"/>
              </w:rPr>
            </w:pPr>
          </w:p>
        </w:tc>
      </w:tr>
      <w:tr w:rsidR="009D7773" w:rsidRPr="00FF13F9" w14:paraId="10B76439" w14:textId="77777777" w:rsidTr="00C413F3">
        <w:trPr>
          <w:cantSplit/>
          <w:jc w:val="center"/>
        </w:trPr>
        <w:tc>
          <w:tcPr>
            <w:tcW w:w="2127" w:type="dxa"/>
            <w:vMerge/>
            <w:tcBorders>
              <w:top w:val="nil"/>
              <w:left w:val="nil"/>
              <w:bottom w:val="double" w:sz="8" w:space="0" w:color="000000"/>
              <w:right w:val="nil"/>
            </w:tcBorders>
            <w:shd w:val="clear" w:color="auto" w:fill="FFFFFF"/>
          </w:tcPr>
          <w:p w14:paraId="474F432C" w14:textId="77777777" w:rsidR="009D7773" w:rsidRPr="00FF13F9" w:rsidRDefault="009D7773" w:rsidP="009C5227">
            <w:pPr>
              <w:autoSpaceDE w:val="0"/>
              <w:autoSpaceDN w:val="0"/>
              <w:adjustRightInd w:val="0"/>
              <w:spacing w:after="0" w:line="240" w:lineRule="auto"/>
              <w:rPr>
                <w:rFonts w:cs="Times New Roman"/>
                <w:sz w:val="22"/>
              </w:rPr>
            </w:pPr>
          </w:p>
        </w:tc>
        <w:tc>
          <w:tcPr>
            <w:tcW w:w="3827" w:type="dxa"/>
            <w:tcBorders>
              <w:top w:val="nil"/>
              <w:left w:val="nil"/>
              <w:bottom w:val="nil"/>
              <w:right w:val="nil"/>
            </w:tcBorders>
            <w:shd w:val="clear" w:color="auto" w:fill="FFFFFF"/>
          </w:tcPr>
          <w:p w14:paraId="46D0D64F" w14:textId="77777777" w:rsidR="009D7773" w:rsidRPr="00FF13F9" w:rsidRDefault="009D7773" w:rsidP="009C5227">
            <w:pPr>
              <w:autoSpaceDE w:val="0"/>
              <w:autoSpaceDN w:val="0"/>
              <w:adjustRightInd w:val="0"/>
              <w:spacing w:after="0" w:line="240" w:lineRule="auto"/>
              <w:ind w:left="60" w:right="60"/>
              <w:rPr>
                <w:rFonts w:cs="Times New Roman"/>
                <w:color w:val="000000"/>
                <w:sz w:val="22"/>
              </w:rPr>
            </w:pPr>
            <w:r w:rsidRPr="00FF13F9">
              <w:rPr>
                <w:rFonts w:cs="Times New Roman"/>
                <w:color w:val="000000"/>
                <w:sz w:val="22"/>
              </w:rPr>
              <w:t>Assimetria</w:t>
            </w:r>
          </w:p>
        </w:tc>
        <w:tc>
          <w:tcPr>
            <w:tcW w:w="1128" w:type="dxa"/>
            <w:tcBorders>
              <w:top w:val="nil"/>
              <w:left w:val="nil"/>
              <w:bottom w:val="nil"/>
              <w:right w:val="nil"/>
            </w:tcBorders>
            <w:shd w:val="clear" w:color="auto" w:fill="FFFFFF"/>
          </w:tcPr>
          <w:p w14:paraId="54BA810B" w14:textId="65A3DE8F"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Pr>
                <w:rFonts w:cs="Times New Roman"/>
                <w:color w:val="000000"/>
                <w:sz w:val="22"/>
              </w:rPr>
              <w:t>0</w:t>
            </w:r>
            <w:r w:rsidRPr="00FF13F9">
              <w:rPr>
                <w:rFonts w:cs="Times New Roman"/>
                <w:color w:val="000000"/>
                <w:sz w:val="22"/>
              </w:rPr>
              <w:t>,651</w:t>
            </w:r>
          </w:p>
        </w:tc>
        <w:tc>
          <w:tcPr>
            <w:tcW w:w="1606" w:type="dxa"/>
            <w:tcBorders>
              <w:top w:val="nil"/>
              <w:left w:val="nil"/>
              <w:bottom w:val="nil"/>
              <w:right w:val="nil"/>
            </w:tcBorders>
            <w:shd w:val="clear" w:color="auto" w:fill="FFFFFF"/>
          </w:tcPr>
          <w:p w14:paraId="11F575DD" w14:textId="7D32F0F1"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Pr>
                <w:rFonts w:cs="Times New Roman"/>
                <w:color w:val="000000"/>
                <w:sz w:val="22"/>
              </w:rPr>
              <w:t>0</w:t>
            </w:r>
            <w:r w:rsidRPr="00FF13F9">
              <w:rPr>
                <w:rFonts w:cs="Times New Roman"/>
                <w:color w:val="000000"/>
                <w:sz w:val="22"/>
              </w:rPr>
              <w:t>,221</w:t>
            </w:r>
          </w:p>
        </w:tc>
      </w:tr>
      <w:tr w:rsidR="009D7773" w:rsidRPr="00FF13F9" w14:paraId="2077ACBC" w14:textId="77777777" w:rsidTr="00604D44">
        <w:trPr>
          <w:cantSplit/>
          <w:jc w:val="center"/>
        </w:trPr>
        <w:tc>
          <w:tcPr>
            <w:tcW w:w="2127" w:type="dxa"/>
            <w:vMerge/>
            <w:tcBorders>
              <w:top w:val="nil"/>
              <w:left w:val="nil"/>
              <w:bottom w:val="double" w:sz="6" w:space="0" w:color="auto"/>
              <w:right w:val="nil"/>
            </w:tcBorders>
            <w:shd w:val="clear" w:color="auto" w:fill="FFFFFF"/>
          </w:tcPr>
          <w:p w14:paraId="668C9660" w14:textId="77777777" w:rsidR="009D7773" w:rsidRPr="00FF13F9" w:rsidRDefault="009D7773" w:rsidP="009C5227">
            <w:pPr>
              <w:autoSpaceDE w:val="0"/>
              <w:autoSpaceDN w:val="0"/>
              <w:adjustRightInd w:val="0"/>
              <w:spacing w:after="0" w:line="240" w:lineRule="auto"/>
              <w:rPr>
                <w:rFonts w:cs="Times New Roman"/>
                <w:color w:val="000000"/>
                <w:sz w:val="22"/>
              </w:rPr>
            </w:pPr>
          </w:p>
        </w:tc>
        <w:tc>
          <w:tcPr>
            <w:tcW w:w="3827" w:type="dxa"/>
            <w:tcBorders>
              <w:top w:val="nil"/>
              <w:left w:val="nil"/>
              <w:bottom w:val="double" w:sz="6" w:space="0" w:color="auto"/>
              <w:right w:val="nil"/>
            </w:tcBorders>
            <w:shd w:val="clear" w:color="auto" w:fill="E7E6E6" w:themeFill="background2"/>
          </w:tcPr>
          <w:p w14:paraId="3A71DF81" w14:textId="77777777" w:rsidR="009D7773" w:rsidRPr="00FF13F9" w:rsidRDefault="009D7773" w:rsidP="009C5227">
            <w:pPr>
              <w:autoSpaceDE w:val="0"/>
              <w:autoSpaceDN w:val="0"/>
              <w:adjustRightInd w:val="0"/>
              <w:spacing w:after="0" w:line="240" w:lineRule="auto"/>
              <w:ind w:left="60" w:right="60"/>
              <w:rPr>
                <w:rFonts w:cs="Times New Roman"/>
                <w:color w:val="000000"/>
                <w:sz w:val="22"/>
              </w:rPr>
            </w:pPr>
            <w:proofErr w:type="spellStart"/>
            <w:r w:rsidRPr="00FF13F9">
              <w:rPr>
                <w:rFonts w:cs="Times New Roman"/>
                <w:color w:val="000000"/>
                <w:sz w:val="22"/>
              </w:rPr>
              <w:t>Curtose</w:t>
            </w:r>
            <w:proofErr w:type="spellEnd"/>
          </w:p>
        </w:tc>
        <w:tc>
          <w:tcPr>
            <w:tcW w:w="1128" w:type="dxa"/>
            <w:tcBorders>
              <w:top w:val="nil"/>
              <w:left w:val="nil"/>
              <w:bottom w:val="double" w:sz="6" w:space="0" w:color="auto"/>
              <w:right w:val="nil"/>
            </w:tcBorders>
            <w:shd w:val="clear" w:color="auto" w:fill="E7E6E6" w:themeFill="background2"/>
          </w:tcPr>
          <w:p w14:paraId="3D9830A7" w14:textId="5A9E125A"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Pr>
                <w:rFonts w:cs="Times New Roman"/>
                <w:color w:val="000000"/>
                <w:sz w:val="22"/>
              </w:rPr>
              <w:t>0</w:t>
            </w:r>
            <w:r w:rsidRPr="00FF13F9">
              <w:rPr>
                <w:rFonts w:cs="Times New Roman"/>
                <w:color w:val="000000"/>
                <w:sz w:val="22"/>
              </w:rPr>
              <w:t>,419</w:t>
            </w:r>
          </w:p>
        </w:tc>
        <w:tc>
          <w:tcPr>
            <w:tcW w:w="1606" w:type="dxa"/>
            <w:tcBorders>
              <w:top w:val="nil"/>
              <w:left w:val="nil"/>
              <w:bottom w:val="double" w:sz="6" w:space="0" w:color="auto"/>
              <w:right w:val="nil"/>
            </w:tcBorders>
            <w:shd w:val="clear" w:color="auto" w:fill="E7E6E6" w:themeFill="background2"/>
          </w:tcPr>
          <w:p w14:paraId="128F59E0" w14:textId="26523D1F" w:rsidR="009D7773" w:rsidRPr="00FF13F9" w:rsidRDefault="009D7773" w:rsidP="009C5227">
            <w:pPr>
              <w:autoSpaceDE w:val="0"/>
              <w:autoSpaceDN w:val="0"/>
              <w:adjustRightInd w:val="0"/>
              <w:spacing w:after="0" w:line="240" w:lineRule="auto"/>
              <w:ind w:left="60" w:right="60"/>
              <w:jc w:val="right"/>
              <w:rPr>
                <w:rFonts w:cs="Times New Roman"/>
                <w:color w:val="000000"/>
                <w:sz w:val="22"/>
              </w:rPr>
            </w:pPr>
            <w:r>
              <w:rPr>
                <w:rFonts w:cs="Times New Roman"/>
                <w:color w:val="000000"/>
                <w:sz w:val="22"/>
              </w:rPr>
              <w:t>0</w:t>
            </w:r>
            <w:r w:rsidRPr="00FF13F9">
              <w:rPr>
                <w:rFonts w:cs="Times New Roman"/>
                <w:color w:val="000000"/>
                <w:sz w:val="22"/>
              </w:rPr>
              <w:t>,438</w:t>
            </w:r>
          </w:p>
        </w:tc>
      </w:tr>
    </w:tbl>
    <w:p w14:paraId="16B36540" w14:textId="7627788A" w:rsidR="00FF13F9" w:rsidRDefault="00FF13F9" w:rsidP="00FF13F9">
      <w:pPr>
        <w:spacing w:before="240" w:line="360" w:lineRule="auto"/>
        <w:jc w:val="both"/>
        <w:rPr>
          <w:rFonts w:eastAsiaTheme="minorEastAsia" w:cs="Times New Roman"/>
          <w:szCs w:val="24"/>
        </w:rPr>
      </w:pPr>
      <w:r>
        <w:rPr>
          <w:rFonts w:cs="Times New Roman"/>
        </w:rPr>
        <w:t>Como se pode observar, os valores médios do ITM</w:t>
      </w:r>
      <w:r w:rsidR="007F2A6A">
        <w:rPr>
          <w:rFonts w:cs="Times New Roman"/>
        </w:rPr>
        <w:t xml:space="preserve"> para os municípios pequenos (40,1850) são inferiores aos valores médios em relação aos municípios médios (46,6259) e aos municípios grandes (48,0881). Este último, apesar de apresentar valores médios de ITM superiores, apresenta menor amplitude. </w:t>
      </w:r>
      <w:r w:rsidRPr="002C3799">
        <w:rPr>
          <w:rFonts w:cs="Times New Roman"/>
        </w:rPr>
        <w:t>Mais</w:t>
      </w:r>
      <w:r>
        <w:rPr>
          <w:rFonts w:cs="Times New Roman"/>
          <w:color w:val="000000"/>
          <w:sz w:val="22"/>
        </w:rPr>
        <w:t xml:space="preserve"> </w:t>
      </w:r>
      <w:r w:rsidRPr="002C3799">
        <w:rPr>
          <w:rFonts w:cs="Times New Roman"/>
        </w:rPr>
        <w:t xml:space="preserve">uma vez, como ambas as distribuições apresentam </w:t>
      </w:r>
      <w:r w:rsidRPr="003425E2">
        <w:rPr>
          <w:rFonts w:cs="Times New Roman"/>
        </w:rPr>
        <w:t>assimetria</w:t>
      </w:r>
      <w:r w:rsidRPr="003425E2">
        <w:rPr>
          <w:rFonts w:cs="Times New Roman"/>
          <w:sz w:val="22"/>
        </w:rPr>
        <w:t xml:space="preserve">  </w:t>
      </w:r>
      <m:oMath>
        <m:f>
          <m:fPr>
            <m:ctrlPr>
              <w:rPr>
                <w:rFonts w:ascii="Cambria Math" w:hAnsi="Cambria Math" w:cs="Times New Roman"/>
                <w:i/>
                <w:szCs w:val="24"/>
              </w:rPr>
            </m:ctrlPr>
          </m:fPr>
          <m:num>
            <m:r>
              <w:rPr>
                <w:rFonts w:ascii="Cambria Math" w:hAnsi="Cambria Math" w:cs="Times New Roman"/>
                <w:szCs w:val="24"/>
              </w:rPr>
              <m:t>0,922</m:t>
            </m:r>
          </m:num>
          <m:den>
            <m:r>
              <m:rPr>
                <m:sty m:val="p"/>
              </m:rPr>
              <w:rPr>
                <w:rFonts w:ascii="Cambria Math" w:hAnsi="Cambria Math" w:cs="Times New Roman"/>
                <w:sz w:val="22"/>
              </w:rPr>
              <m:t>0,080</m:t>
            </m:r>
          </m:den>
        </m:f>
        <m:r>
          <w:rPr>
            <w:rFonts w:ascii="Cambria Math" w:hAnsi="Cambria Math" w:cs="Times New Roman"/>
            <w:szCs w:val="24"/>
          </w:rPr>
          <m:t>=11,525&gt;1,96</m:t>
        </m:r>
      </m:oMath>
      <w:r w:rsidR="007F2A6A">
        <w:rPr>
          <w:rFonts w:eastAsiaTheme="minorEastAsia" w:cs="Times New Roman"/>
          <w:szCs w:val="24"/>
        </w:rPr>
        <w:t>,</w:t>
      </w:r>
      <w:r w:rsidRPr="003425E2">
        <w:rPr>
          <w:rFonts w:eastAsiaTheme="minorEastAsia" w:cs="Times New Roman"/>
          <w:szCs w:val="24"/>
        </w:rPr>
        <w:t xml:space="preserve"> </w:t>
      </w:r>
      <m:oMath>
        <m:f>
          <m:fPr>
            <m:ctrlPr>
              <w:rPr>
                <w:rFonts w:ascii="Cambria Math" w:hAnsi="Cambria Math" w:cs="Times New Roman"/>
                <w:i/>
                <w:szCs w:val="24"/>
              </w:rPr>
            </m:ctrlPr>
          </m:fPr>
          <m:num>
            <m:r>
              <m:rPr>
                <m:sty m:val="p"/>
              </m:rPr>
              <w:rPr>
                <w:rFonts w:ascii="Cambria Math" w:hAnsi="Cambria Math" w:cs="Times New Roman"/>
                <w:sz w:val="22"/>
              </w:rPr>
              <m:t>0,711</m:t>
            </m:r>
          </m:num>
          <m:den>
            <m:r>
              <m:rPr>
                <m:sty m:val="p"/>
              </m:rPr>
              <w:rPr>
                <w:rFonts w:ascii="Cambria Math" w:hAnsi="Cambria Math" w:cs="Times New Roman"/>
                <w:sz w:val="22"/>
              </w:rPr>
              <m:t>0,110</m:t>
            </m:r>
          </m:den>
        </m:f>
        <m:r>
          <w:rPr>
            <w:rFonts w:ascii="Cambria Math" w:hAnsi="Cambria Math" w:cs="Times New Roman"/>
            <w:szCs w:val="24"/>
          </w:rPr>
          <m:t>=6,464&gt;1,96</m:t>
        </m:r>
      </m:oMath>
      <w:r w:rsidRPr="003425E2">
        <w:rPr>
          <w:rFonts w:eastAsiaTheme="minorEastAsia" w:cs="Times New Roman"/>
          <w:szCs w:val="24"/>
        </w:rPr>
        <w:t xml:space="preserve"> </w:t>
      </w:r>
      <w:r w:rsidR="00C413F3">
        <w:rPr>
          <w:rFonts w:eastAsiaTheme="minorEastAsia" w:cs="Times New Roman"/>
          <w:szCs w:val="24"/>
        </w:rPr>
        <w:t xml:space="preserve">e </w:t>
      </w:r>
      <m:oMath>
        <m:f>
          <m:fPr>
            <m:ctrlPr>
              <w:rPr>
                <w:rFonts w:ascii="Cambria Math" w:hAnsi="Cambria Math" w:cs="Times New Roman"/>
                <w:i/>
                <w:szCs w:val="24"/>
              </w:rPr>
            </m:ctrlPr>
          </m:fPr>
          <m:num>
            <m:r>
              <m:rPr>
                <m:sty m:val="p"/>
              </m:rPr>
              <w:rPr>
                <w:rFonts w:ascii="Cambria Math" w:hAnsi="Cambria Math" w:cs="Times New Roman"/>
                <w:sz w:val="22"/>
              </w:rPr>
              <m:t>0,651</m:t>
            </m:r>
          </m:num>
          <m:den>
            <m:r>
              <m:rPr>
                <m:sty m:val="p"/>
              </m:rPr>
              <w:rPr>
                <w:rFonts w:ascii="Cambria Math" w:hAnsi="Cambria Math" w:cs="Times New Roman"/>
                <w:sz w:val="22"/>
              </w:rPr>
              <m:t>0,221</m:t>
            </m:r>
          </m:den>
        </m:f>
        <m:r>
          <w:rPr>
            <w:rFonts w:ascii="Cambria Math" w:hAnsi="Cambria Math" w:cs="Times New Roman"/>
            <w:szCs w:val="24"/>
          </w:rPr>
          <m:t>=2,946&gt;1,96</m:t>
        </m:r>
      </m:oMath>
      <w:r w:rsidR="00C413F3" w:rsidRPr="003425E2">
        <w:rPr>
          <w:rFonts w:eastAsiaTheme="minorEastAsia" w:cs="Times New Roman"/>
          <w:szCs w:val="24"/>
        </w:rPr>
        <w:t xml:space="preserve"> </w:t>
      </w:r>
      <w:r w:rsidRPr="003425E2">
        <w:rPr>
          <w:rFonts w:eastAsiaTheme="minorEastAsia" w:cs="Times New Roman"/>
          <w:szCs w:val="24"/>
        </w:rPr>
        <w:t xml:space="preserve">justificam-se as opções </w:t>
      </w:r>
      <w:r w:rsidRPr="003425E2">
        <w:rPr>
          <w:rFonts w:eastAsiaTheme="minorEastAsia" w:cs="Times New Roman"/>
          <w:szCs w:val="24"/>
        </w:rPr>
        <w:lastRenderedPageBreak/>
        <w:t xml:space="preserve">metodológicas de análise descritas nos pontos 4.3.2 e 4.3.3, depois da respetiva análise da normalidade </w:t>
      </w:r>
      <w:r w:rsidRPr="00990766">
        <w:rPr>
          <w:rFonts w:eastAsiaTheme="minorEastAsia" w:cs="Times New Roman"/>
          <w:szCs w:val="24"/>
        </w:rPr>
        <w:t>(</w:t>
      </w:r>
      <w:r w:rsidR="00F338BB">
        <w:rPr>
          <w:rFonts w:eastAsiaTheme="minorEastAsia" w:cs="Times New Roman"/>
          <w:szCs w:val="24"/>
        </w:rPr>
        <w:t>A</w:t>
      </w:r>
      <w:r w:rsidR="00990766" w:rsidRPr="00990766">
        <w:rPr>
          <w:rFonts w:eastAsiaTheme="minorEastAsia" w:cs="Times New Roman"/>
          <w:szCs w:val="24"/>
        </w:rPr>
        <w:t>pêndice</w:t>
      </w:r>
      <w:r w:rsidRPr="00990766">
        <w:rPr>
          <w:rFonts w:eastAsiaTheme="minorEastAsia" w:cs="Times New Roman"/>
          <w:szCs w:val="24"/>
        </w:rPr>
        <w:t xml:space="preserve"> </w:t>
      </w:r>
      <w:r w:rsidR="00046806">
        <w:rPr>
          <w:rFonts w:eastAsiaTheme="minorEastAsia" w:cs="Times New Roman"/>
          <w:szCs w:val="24"/>
        </w:rPr>
        <w:t>3</w:t>
      </w:r>
      <w:r w:rsidRPr="00990766">
        <w:rPr>
          <w:rFonts w:eastAsiaTheme="minorEastAsia" w:cs="Times New Roman"/>
          <w:szCs w:val="24"/>
        </w:rPr>
        <w:t>).</w:t>
      </w:r>
    </w:p>
    <w:p w14:paraId="3E95B513" w14:textId="2E13D711" w:rsidR="00FF13F9" w:rsidRPr="00FF13F9" w:rsidRDefault="00C413F3" w:rsidP="00C413F3">
      <w:pPr>
        <w:spacing w:before="240" w:line="360" w:lineRule="auto"/>
        <w:jc w:val="both"/>
        <w:rPr>
          <w:rFonts w:cs="Times New Roman"/>
        </w:rPr>
      </w:pPr>
      <w:r>
        <w:rPr>
          <w:rFonts w:eastAsiaTheme="minorEastAsia" w:cs="Times New Roman"/>
          <w:szCs w:val="24"/>
        </w:rPr>
        <w:t>Para melhores perceção das diferenças dos valores médio do ITM por grupos de população residente, apresenta-se o Gráfico 4.</w:t>
      </w:r>
      <w:r w:rsidR="00F949DE">
        <w:rPr>
          <w:rFonts w:eastAsiaTheme="minorEastAsia" w:cs="Times New Roman"/>
          <w:szCs w:val="24"/>
        </w:rPr>
        <w:t>4</w:t>
      </w:r>
      <w:r>
        <w:rPr>
          <w:rFonts w:eastAsiaTheme="minorEastAsia" w:cs="Times New Roman"/>
          <w:szCs w:val="24"/>
        </w:rPr>
        <w:t>.</w:t>
      </w:r>
    </w:p>
    <w:p w14:paraId="629347D4" w14:textId="4C12E7A6" w:rsidR="00FF3C2C" w:rsidRPr="004A1958" w:rsidRDefault="00FF3C2C" w:rsidP="009C5227">
      <w:pPr>
        <w:spacing w:after="0" w:line="360" w:lineRule="auto"/>
        <w:jc w:val="center"/>
        <w:rPr>
          <w:rFonts w:cs="Times New Roman"/>
          <w:lang w:eastAsia="pt-PT"/>
        </w:rPr>
      </w:pPr>
      <w:bookmarkStart w:id="101" w:name="_Toc66624276"/>
      <w:r w:rsidRPr="004A1958">
        <w:rPr>
          <w:rFonts w:cs="Times New Roman"/>
          <w:b/>
          <w:lang w:eastAsia="pt-PT"/>
        </w:rPr>
        <w:t xml:space="preserve">Gráfico </w:t>
      </w:r>
      <w:r w:rsidR="00360329">
        <w:rPr>
          <w:rFonts w:cs="Times New Roman"/>
          <w:b/>
          <w:lang w:eastAsia="pt-PT"/>
        </w:rPr>
        <w:fldChar w:fldCharType="begin"/>
      </w:r>
      <w:r w:rsidR="00360329">
        <w:rPr>
          <w:rFonts w:cs="Times New Roman"/>
          <w:b/>
          <w:lang w:eastAsia="pt-PT"/>
        </w:rPr>
        <w:instrText xml:space="preserve"> STYLEREF 1 \s </w:instrText>
      </w:r>
      <w:r w:rsidR="00360329">
        <w:rPr>
          <w:rFonts w:cs="Times New Roman"/>
          <w:b/>
          <w:lang w:eastAsia="pt-PT"/>
        </w:rPr>
        <w:fldChar w:fldCharType="separate"/>
      </w:r>
      <w:r w:rsidR="00380A6F">
        <w:rPr>
          <w:rFonts w:cs="Times New Roman"/>
          <w:b/>
          <w:noProof/>
          <w:lang w:eastAsia="pt-PT"/>
        </w:rPr>
        <w:t>4</w:t>
      </w:r>
      <w:r w:rsidR="00360329">
        <w:rPr>
          <w:rFonts w:cs="Times New Roman"/>
          <w:b/>
          <w:lang w:eastAsia="pt-PT"/>
        </w:rPr>
        <w:fldChar w:fldCharType="end"/>
      </w:r>
      <w:r w:rsidR="00360329">
        <w:rPr>
          <w:rFonts w:cs="Times New Roman"/>
          <w:b/>
          <w:lang w:eastAsia="pt-PT"/>
        </w:rPr>
        <w:t>.</w:t>
      </w:r>
      <w:r w:rsidR="00360329">
        <w:rPr>
          <w:rFonts w:cs="Times New Roman"/>
          <w:b/>
          <w:lang w:eastAsia="pt-PT"/>
        </w:rPr>
        <w:fldChar w:fldCharType="begin"/>
      </w:r>
      <w:r w:rsidR="00360329">
        <w:rPr>
          <w:rFonts w:cs="Times New Roman"/>
          <w:b/>
          <w:lang w:eastAsia="pt-PT"/>
        </w:rPr>
        <w:instrText xml:space="preserve"> SEQ Gráfico \* ARABIC \s 1 </w:instrText>
      </w:r>
      <w:r w:rsidR="00360329">
        <w:rPr>
          <w:rFonts w:cs="Times New Roman"/>
          <w:b/>
          <w:lang w:eastAsia="pt-PT"/>
        </w:rPr>
        <w:fldChar w:fldCharType="separate"/>
      </w:r>
      <w:r w:rsidR="00380A6F">
        <w:rPr>
          <w:rFonts w:cs="Times New Roman"/>
          <w:b/>
          <w:noProof/>
          <w:lang w:eastAsia="pt-PT"/>
        </w:rPr>
        <w:t>4</w:t>
      </w:r>
      <w:r w:rsidR="00360329">
        <w:rPr>
          <w:rFonts w:cs="Times New Roman"/>
          <w:b/>
          <w:lang w:eastAsia="pt-PT"/>
        </w:rPr>
        <w:fldChar w:fldCharType="end"/>
      </w:r>
      <w:r w:rsidRPr="004A1958">
        <w:rPr>
          <w:rFonts w:cs="Times New Roman"/>
          <w:lang w:eastAsia="pt-PT"/>
        </w:rPr>
        <w:t xml:space="preserve"> – Valores médios de ITM</w:t>
      </w:r>
      <w:r>
        <w:rPr>
          <w:rFonts w:cs="Times New Roman"/>
          <w:lang w:eastAsia="pt-PT"/>
        </w:rPr>
        <w:t>, por população residente, por ano (2013-2017)</w:t>
      </w:r>
      <w:bookmarkEnd w:id="101"/>
      <w:r>
        <w:rPr>
          <w:rFonts w:cs="Times New Roman"/>
          <w:lang w:eastAsia="pt-PT"/>
        </w:rPr>
        <w:t xml:space="preserve"> </w:t>
      </w:r>
    </w:p>
    <w:p w14:paraId="473789A0" w14:textId="77777777" w:rsidR="00FF3C2C" w:rsidRDefault="00FF3C2C" w:rsidP="00FF3C2C">
      <w:pPr>
        <w:spacing w:after="0" w:line="360" w:lineRule="auto"/>
        <w:jc w:val="center"/>
        <w:rPr>
          <w:rFonts w:cs="Times New Roman"/>
        </w:rPr>
      </w:pPr>
      <w:r>
        <w:rPr>
          <w:noProof/>
          <w:lang w:eastAsia="pt-PT"/>
        </w:rPr>
        <w:drawing>
          <wp:inline distT="0" distB="0" distL="0" distR="0" wp14:anchorId="749E9927" wp14:editId="00FF0775">
            <wp:extent cx="4960620" cy="2077200"/>
            <wp:effectExtent l="0" t="0" r="0" b="0"/>
            <wp:docPr id="15"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bl>
      <w:tblPr>
        <w:tblStyle w:val="TabelacomGrelha"/>
        <w:tblW w:w="715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20" w:firstRow="1" w:lastRow="0" w:firstColumn="0" w:lastColumn="0" w:noHBand="1" w:noVBand="1"/>
      </w:tblPr>
      <w:tblGrid>
        <w:gridCol w:w="2475"/>
        <w:gridCol w:w="2211"/>
        <w:gridCol w:w="2467"/>
      </w:tblGrid>
      <w:tr w:rsidR="00FF3C2C" w14:paraId="3B6D8BF2" w14:textId="77777777" w:rsidTr="00DC3DB8">
        <w:trPr>
          <w:jc w:val="center"/>
        </w:trPr>
        <w:tc>
          <w:tcPr>
            <w:tcW w:w="2475" w:type="dxa"/>
          </w:tcPr>
          <w:p w14:paraId="38A79166" w14:textId="77777777" w:rsidR="00FF3C2C" w:rsidRDefault="00FF3C2C" w:rsidP="00DC3DB8">
            <w:pPr>
              <w:pStyle w:val="PargrafodaLista"/>
              <w:numPr>
                <w:ilvl w:val="0"/>
                <w:numId w:val="20"/>
              </w:numPr>
              <w:ind w:left="326" w:right="-153" w:hanging="208"/>
            </w:pPr>
            <w:r>
              <w:rPr>
                <w:sz w:val="18"/>
                <w:szCs w:val="18"/>
              </w:rPr>
              <w:t>1</w:t>
            </w:r>
            <w:r w:rsidRPr="00BF2A52">
              <w:rPr>
                <w:sz w:val="18"/>
                <w:szCs w:val="18"/>
              </w:rPr>
              <w:t xml:space="preserve"> </w:t>
            </w:r>
            <w:r>
              <w:rPr>
                <w:sz w:val="18"/>
                <w:szCs w:val="18"/>
              </w:rPr>
              <w:t>–</w:t>
            </w:r>
            <w:r w:rsidRPr="00BF2A52">
              <w:rPr>
                <w:sz w:val="18"/>
                <w:szCs w:val="18"/>
              </w:rPr>
              <w:t xml:space="preserve"> </w:t>
            </w:r>
            <w:r>
              <w:rPr>
                <w:sz w:val="18"/>
                <w:szCs w:val="18"/>
              </w:rPr>
              <w:t>Municípios pequenos</w:t>
            </w:r>
          </w:p>
        </w:tc>
        <w:tc>
          <w:tcPr>
            <w:tcW w:w="2211" w:type="dxa"/>
          </w:tcPr>
          <w:p w14:paraId="0F81BA78" w14:textId="77777777" w:rsidR="00FF3C2C" w:rsidRDefault="00FF3C2C" w:rsidP="00DC3DB8">
            <w:pPr>
              <w:pStyle w:val="PargrafodaLista"/>
              <w:numPr>
                <w:ilvl w:val="0"/>
                <w:numId w:val="21"/>
              </w:numPr>
              <w:ind w:left="169" w:hanging="169"/>
            </w:pPr>
            <w:r>
              <w:rPr>
                <w:sz w:val="20"/>
                <w:szCs w:val="20"/>
              </w:rPr>
              <w:t>2</w:t>
            </w:r>
            <w:r w:rsidRPr="00B21522">
              <w:rPr>
                <w:sz w:val="20"/>
                <w:szCs w:val="20"/>
              </w:rPr>
              <w:t xml:space="preserve"> –</w:t>
            </w:r>
            <w:r w:rsidRPr="00B21522">
              <w:rPr>
                <w:sz w:val="28"/>
                <w:szCs w:val="24"/>
              </w:rPr>
              <w:t xml:space="preserve"> </w:t>
            </w:r>
            <w:r>
              <w:rPr>
                <w:sz w:val="18"/>
                <w:szCs w:val="18"/>
              </w:rPr>
              <w:t>Municípios Médios</w:t>
            </w:r>
          </w:p>
        </w:tc>
        <w:tc>
          <w:tcPr>
            <w:tcW w:w="2467" w:type="dxa"/>
            <w:vAlign w:val="center"/>
          </w:tcPr>
          <w:p w14:paraId="7EDB3AD9" w14:textId="77777777" w:rsidR="00FF3C2C" w:rsidRPr="00FE581A" w:rsidRDefault="00FF3C2C" w:rsidP="00DC3DB8">
            <w:pPr>
              <w:pStyle w:val="PargrafodaLista"/>
              <w:numPr>
                <w:ilvl w:val="0"/>
                <w:numId w:val="22"/>
              </w:numPr>
              <w:ind w:left="141" w:hanging="141"/>
              <w:rPr>
                <w:sz w:val="20"/>
                <w:szCs w:val="20"/>
              </w:rPr>
            </w:pPr>
            <w:r>
              <w:rPr>
                <w:sz w:val="20"/>
                <w:szCs w:val="20"/>
              </w:rPr>
              <w:t>3 –</w:t>
            </w:r>
            <w:r w:rsidRPr="00FE581A">
              <w:rPr>
                <w:sz w:val="18"/>
                <w:szCs w:val="18"/>
              </w:rPr>
              <w:t xml:space="preserve"> Municípios Grandes</w:t>
            </w:r>
          </w:p>
        </w:tc>
      </w:tr>
    </w:tbl>
    <w:p w14:paraId="347898EB" w14:textId="3A8D169F" w:rsidR="00FF13F9" w:rsidRDefault="00FF13F9" w:rsidP="00E01944">
      <w:pPr>
        <w:spacing w:before="240" w:line="360" w:lineRule="auto"/>
        <w:jc w:val="both"/>
        <w:rPr>
          <w:rFonts w:cs="Times New Roman"/>
        </w:rPr>
      </w:pPr>
      <w:r>
        <w:rPr>
          <w:rFonts w:cs="Times New Roman"/>
        </w:rPr>
        <w:t>Desta forma, observa-se pelo Gráfico 4.</w:t>
      </w:r>
      <w:r w:rsidR="00F949DE">
        <w:rPr>
          <w:rFonts w:cs="Times New Roman"/>
        </w:rPr>
        <w:t>4</w:t>
      </w:r>
      <w:r>
        <w:rPr>
          <w:rFonts w:cs="Times New Roman"/>
        </w:rPr>
        <w:t xml:space="preserve"> que os municípios médios e grandes, por norma, são os que ao longo dos anos em estudo, 2013 a 2017, apresentam níveis de transparência mais elevados. </w:t>
      </w:r>
      <w:r w:rsidR="00B4646C">
        <w:rPr>
          <w:rFonts w:cs="Times New Roman"/>
        </w:rPr>
        <w:t>Pode-se</w:t>
      </w:r>
      <w:r>
        <w:rPr>
          <w:rFonts w:cs="Times New Roman"/>
        </w:rPr>
        <w:t>, ainda, observar que os municípios grandes, apesar de em 2013 e 2014 apresentam maiores níveis de transparência, em 2015 a 2016 estes diminuíram os seus níveis de transparência e, só, em 2017 voltam a apresentar níveis superiores de transparência. Esta volatilidade dos níveis de transparência ao longo dos anos não nos permite concluir nenhuma evidência entre as dimensões dos municípios e os níveis de transparência dos mesmos.</w:t>
      </w:r>
    </w:p>
    <w:p w14:paraId="749E9DD6" w14:textId="74087E93" w:rsidR="003E006E" w:rsidRPr="003E006E" w:rsidRDefault="003E006E" w:rsidP="003E006E">
      <w:pPr>
        <w:pStyle w:val="PargrafodaLista"/>
        <w:numPr>
          <w:ilvl w:val="0"/>
          <w:numId w:val="37"/>
        </w:numPr>
        <w:spacing w:line="360" w:lineRule="auto"/>
        <w:jc w:val="both"/>
        <w:rPr>
          <w:rFonts w:cs="Times New Roman"/>
          <w:b/>
          <w:bCs/>
        </w:rPr>
      </w:pPr>
      <w:r>
        <w:rPr>
          <w:rFonts w:cs="Times New Roman"/>
          <w:b/>
          <w:bCs/>
        </w:rPr>
        <w:t>ITM por</w:t>
      </w:r>
      <w:r>
        <w:rPr>
          <w:rFonts w:cs="Times New Roman"/>
          <w:b/>
          <w:bCs/>
          <w:shd w:val="clear" w:color="auto" w:fill="FFFFFF" w:themeFill="background1"/>
        </w:rPr>
        <w:t xml:space="preserve"> taxa de população idosa (</w:t>
      </w:r>
      <w:proofErr w:type="spellStart"/>
      <w:r>
        <w:rPr>
          <w:rFonts w:cs="Times New Roman"/>
          <w:b/>
          <w:bCs/>
          <w:shd w:val="clear" w:color="auto" w:fill="FFFFFF" w:themeFill="background1"/>
        </w:rPr>
        <w:t>TxPI</w:t>
      </w:r>
      <w:proofErr w:type="spellEnd"/>
      <w:r>
        <w:rPr>
          <w:rFonts w:cs="Times New Roman"/>
          <w:b/>
          <w:bCs/>
          <w:shd w:val="clear" w:color="auto" w:fill="FFFFFF" w:themeFill="background1"/>
        </w:rPr>
        <w:t>)</w:t>
      </w:r>
    </w:p>
    <w:p w14:paraId="7974B460" w14:textId="5BA32ED6" w:rsidR="00AC3ADC" w:rsidRDefault="00AC3ADC" w:rsidP="00E01944">
      <w:pPr>
        <w:spacing w:before="240" w:line="360" w:lineRule="auto"/>
        <w:jc w:val="both"/>
        <w:rPr>
          <w:rFonts w:cs="Times New Roman"/>
        </w:rPr>
      </w:pPr>
      <w:r>
        <w:rPr>
          <w:rFonts w:cs="Times New Roman"/>
        </w:rPr>
        <w:t>Por forma a relacionar os níveis de transparência dos municípios, ITM, e as taxas de populações idosas apresentadas pelos mesmo, formaram-se dois grupos</w:t>
      </w:r>
      <w:r w:rsidR="009F52BE">
        <w:rPr>
          <w:rFonts w:cs="Times New Roman"/>
        </w:rPr>
        <w:t xml:space="preserve"> no qual considera-se municípios com menor taxa de idosos aqueles que apresentam percentagens de população idosa inferiores à média </w:t>
      </w:r>
      <w:r w:rsidR="00046806">
        <w:rPr>
          <w:rFonts w:cs="Times New Roman"/>
        </w:rPr>
        <w:t xml:space="preserve">da taxa de idosos </w:t>
      </w:r>
      <w:r w:rsidR="009F52BE">
        <w:rPr>
          <w:rFonts w:cs="Times New Roman"/>
        </w:rPr>
        <w:t xml:space="preserve">calculada, </w:t>
      </w:r>
      <w:proofErr w:type="spellStart"/>
      <w:r w:rsidR="009F52BE">
        <w:rPr>
          <w:rFonts w:cs="Times New Roman"/>
        </w:rPr>
        <w:t>MTxPI</w:t>
      </w:r>
      <w:proofErr w:type="spellEnd"/>
      <w:r w:rsidR="009F52BE">
        <w:rPr>
          <w:rFonts w:cs="Times New Roman"/>
        </w:rPr>
        <w:t>, para esta variável (</w:t>
      </w:r>
      <w:r w:rsidR="00F338BB">
        <w:rPr>
          <w:rFonts w:cs="Times New Roman"/>
        </w:rPr>
        <w:t>A</w:t>
      </w:r>
      <w:r w:rsidR="009F52BE">
        <w:rPr>
          <w:rFonts w:cs="Times New Roman"/>
        </w:rPr>
        <w:t>pêndice 1), sendo os municípios com maior taxa de idosos o inverso</w:t>
      </w:r>
      <w:r>
        <w:rPr>
          <w:rFonts w:cs="Times New Roman"/>
        </w:rPr>
        <w:t>:</w:t>
      </w:r>
    </w:p>
    <w:p w14:paraId="5C4F1D21" w14:textId="589F0D7F" w:rsidR="00AC3ADC" w:rsidRDefault="00AC3ADC" w:rsidP="00AC3ADC">
      <w:pPr>
        <w:pStyle w:val="PargrafodaLista"/>
        <w:numPr>
          <w:ilvl w:val="0"/>
          <w:numId w:val="35"/>
        </w:numPr>
        <w:spacing w:before="240" w:line="360" w:lineRule="auto"/>
        <w:jc w:val="both"/>
        <w:rPr>
          <w:rFonts w:cs="Times New Roman"/>
        </w:rPr>
      </w:pPr>
      <w:r>
        <w:rPr>
          <w:rFonts w:cs="Times New Roman"/>
        </w:rPr>
        <w:t xml:space="preserve">0 – Municípios com </w:t>
      </w:r>
      <w:r w:rsidR="009F52BE">
        <w:rPr>
          <w:rFonts w:cs="Times New Roman"/>
        </w:rPr>
        <w:t>menor taxa de idosos (</w:t>
      </w:r>
      <w:proofErr w:type="spellStart"/>
      <w:r w:rsidR="009F52BE">
        <w:rPr>
          <w:rFonts w:cs="Times New Roman"/>
        </w:rPr>
        <w:t>TxPI</w:t>
      </w:r>
      <w:proofErr w:type="spellEnd"/>
      <w:r w:rsidR="009F52BE">
        <w:rPr>
          <w:rFonts w:cs="Times New Roman"/>
        </w:rPr>
        <w:t xml:space="preserve"> &lt; </w:t>
      </w:r>
      <w:proofErr w:type="spellStart"/>
      <w:r w:rsidR="009F52BE">
        <w:rPr>
          <w:rFonts w:cs="Times New Roman"/>
        </w:rPr>
        <w:t>MTxPI</w:t>
      </w:r>
      <w:proofErr w:type="spellEnd"/>
      <w:r w:rsidR="009F52BE">
        <w:rPr>
          <w:rFonts w:cs="Times New Roman"/>
        </w:rPr>
        <w:t>)</w:t>
      </w:r>
    </w:p>
    <w:p w14:paraId="1D4E0569" w14:textId="05268C6F" w:rsidR="009F52BE" w:rsidRPr="009F52BE" w:rsidRDefault="00AC3ADC" w:rsidP="009F52BE">
      <w:pPr>
        <w:pStyle w:val="PargrafodaLista"/>
        <w:numPr>
          <w:ilvl w:val="0"/>
          <w:numId w:val="35"/>
        </w:numPr>
        <w:spacing w:before="240" w:line="360" w:lineRule="auto"/>
        <w:jc w:val="both"/>
        <w:rPr>
          <w:rFonts w:cs="Times New Roman"/>
        </w:rPr>
      </w:pPr>
      <w:r>
        <w:rPr>
          <w:rFonts w:cs="Times New Roman"/>
        </w:rPr>
        <w:lastRenderedPageBreak/>
        <w:t xml:space="preserve">1 – Municípios com </w:t>
      </w:r>
      <w:r w:rsidR="009F52BE">
        <w:rPr>
          <w:rFonts w:cs="Times New Roman"/>
        </w:rPr>
        <w:t>maior taxa de idosos</w:t>
      </w:r>
      <w:r w:rsidR="00BC38F6">
        <w:rPr>
          <w:rFonts w:cs="Times New Roman"/>
        </w:rPr>
        <w:t xml:space="preserve"> </w:t>
      </w:r>
      <w:r>
        <w:rPr>
          <w:rFonts w:cs="Times New Roman"/>
        </w:rPr>
        <w:t>(</w:t>
      </w:r>
      <w:proofErr w:type="spellStart"/>
      <w:r>
        <w:rPr>
          <w:rFonts w:cs="Times New Roman"/>
        </w:rPr>
        <w:t>TxPI</w:t>
      </w:r>
      <w:proofErr w:type="spellEnd"/>
      <w:r>
        <w:rPr>
          <w:rFonts w:cs="Times New Roman"/>
        </w:rPr>
        <w:t xml:space="preserve"> </w:t>
      </w:r>
      <w:r w:rsidR="00046806">
        <w:rPr>
          <w:rFonts w:cs="Times New Roman"/>
        </w:rPr>
        <w:t>≥</w:t>
      </w:r>
      <w:r>
        <w:rPr>
          <w:rFonts w:cs="Times New Roman"/>
        </w:rPr>
        <w:t xml:space="preserve"> </w:t>
      </w:r>
      <w:proofErr w:type="spellStart"/>
      <w:r w:rsidR="00C413F3">
        <w:rPr>
          <w:rFonts w:cs="Times New Roman"/>
        </w:rPr>
        <w:t>MTxPI</w:t>
      </w:r>
      <w:proofErr w:type="spellEnd"/>
      <w:r>
        <w:rPr>
          <w:rFonts w:cs="Times New Roman"/>
        </w:rPr>
        <w:t>).</w:t>
      </w:r>
    </w:p>
    <w:p w14:paraId="21041EC2" w14:textId="245E3D5B" w:rsidR="00C413F3" w:rsidRPr="00C413F3" w:rsidRDefault="00C413F3" w:rsidP="00C413F3">
      <w:pPr>
        <w:spacing w:line="360" w:lineRule="auto"/>
        <w:jc w:val="both"/>
        <w:rPr>
          <w:rFonts w:cs="Times New Roman"/>
          <w:lang w:eastAsia="pt-PT"/>
        </w:rPr>
      </w:pPr>
      <w:r w:rsidRPr="00C413F3">
        <w:rPr>
          <w:rFonts w:cs="Times New Roman"/>
          <w:lang w:eastAsia="pt-PT"/>
        </w:rPr>
        <w:t xml:space="preserve">Continuou-se a análise pela observação do histograma </w:t>
      </w:r>
      <w:r w:rsidRPr="00990766">
        <w:rPr>
          <w:rFonts w:cs="Times New Roman"/>
          <w:lang w:eastAsia="pt-PT"/>
        </w:rPr>
        <w:t>(</w:t>
      </w:r>
      <w:r w:rsidR="00F338BB">
        <w:rPr>
          <w:rFonts w:cs="Times New Roman"/>
          <w:lang w:eastAsia="pt-PT"/>
        </w:rPr>
        <w:t>A</w:t>
      </w:r>
      <w:r w:rsidRPr="00990766">
        <w:rPr>
          <w:rFonts w:cs="Times New Roman"/>
          <w:lang w:eastAsia="pt-PT"/>
        </w:rPr>
        <w:t>pêndice 2)</w:t>
      </w:r>
      <w:r w:rsidRPr="00C413F3">
        <w:rPr>
          <w:rFonts w:cs="Times New Roman"/>
          <w:lang w:eastAsia="pt-PT"/>
        </w:rPr>
        <w:t xml:space="preserve"> e com o cálculo das medidas estatísticas para cada um destes grupos conforme se apresenta na </w:t>
      </w:r>
      <w:r w:rsidR="00B4646C">
        <w:rPr>
          <w:rFonts w:cs="Times New Roman"/>
          <w:lang w:eastAsia="pt-PT"/>
        </w:rPr>
        <w:t>T</w:t>
      </w:r>
      <w:r w:rsidRPr="00C413F3">
        <w:rPr>
          <w:rFonts w:cs="Times New Roman"/>
          <w:lang w:eastAsia="pt-PT"/>
        </w:rPr>
        <w:t xml:space="preserve">abela </w:t>
      </w:r>
      <w:r w:rsidRPr="009F52BE">
        <w:rPr>
          <w:rFonts w:cs="Times New Roman"/>
          <w:lang w:eastAsia="pt-PT"/>
        </w:rPr>
        <w:t>4.</w:t>
      </w:r>
      <w:r w:rsidR="009F52BE" w:rsidRPr="009F52BE">
        <w:rPr>
          <w:rFonts w:cs="Times New Roman"/>
          <w:lang w:eastAsia="pt-PT"/>
        </w:rPr>
        <w:t>9</w:t>
      </w:r>
      <w:r w:rsidRPr="009F52BE">
        <w:rPr>
          <w:rFonts w:cs="Times New Roman"/>
          <w:lang w:eastAsia="pt-PT"/>
        </w:rPr>
        <w:t>:</w:t>
      </w:r>
    </w:p>
    <w:p w14:paraId="7BC493D9" w14:textId="1DD01CE9" w:rsidR="00CE346C" w:rsidRPr="00CE346C" w:rsidRDefault="00CE346C" w:rsidP="00CE346C">
      <w:pPr>
        <w:spacing w:after="0" w:line="360" w:lineRule="auto"/>
        <w:jc w:val="center"/>
        <w:rPr>
          <w:rFonts w:cs="Times New Roman"/>
          <w:lang w:eastAsia="pt-PT"/>
        </w:rPr>
      </w:pPr>
      <w:bookmarkStart w:id="102" w:name="_Toc58853169"/>
      <w:bookmarkStart w:id="103" w:name="_Toc66624258"/>
      <w:r w:rsidRPr="00CE346C">
        <w:rPr>
          <w:rFonts w:cs="Times New Roman"/>
          <w:b/>
          <w:bCs/>
          <w:lang w:eastAsia="pt-PT"/>
        </w:rPr>
        <w:t xml:space="preserve">Tabela </w:t>
      </w:r>
      <w:r w:rsidR="00843BFC">
        <w:rPr>
          <w:rFonts w:cs="Times New Roman"/>
          <w:b/>
          <w:bCs/>
          <w:lang w:eastAsia="pt-PT"/>
        </w:rPr>
        <w:fldChar w:fldCharType="begin"/>
      </w:r>
      <w:r w:rsidR="00843BFC">
        <w:rPr>
          <w:rFonts w:cs="Times New Roman"/>
          <w:b/>
          <w:bCs/>
          <w:lang w:eastAsia="pt-PT"/>
        </w:rPr>
        <w:instrText xml:space="preserve"> STYLEREF 1 \s </w:instrText>
      </w:r>
      <w:r w:rsidR="00843BFC">
        <w:rPr>
          <w:rFonts w:cs="Times New Roman"/>
          <w:b/>
          <w:bCs/>
          <w:lang w:eastAsia="pt-PT"/>
        </w:rPr>
        <w:fldChar w:fldCharType="separate"/>
      </w:r>
      <w:r w:rsidR="00380A6F">
        <w:rPr>
          <w:rFonts w:cs="Times New Roman"/>
          <w:b/>
          <w:bCs/>
          <w:noProof/>
          <w:lang w:eastAsia="pt-PT"/>
        </w:rPr>
        <w:t>4</w:t>
      </w:r>
      <w:r w:rsidR="00843BFC">
        <w:rPr>
          <w:rFonts w:cs="Times New Roman"/>
          <w:b/>
          <w:bCs/>
          <w:lang w:eastAsia="pt-PT"/>
        </w:rPr>
        <w:fldChar w:fldCharType="end"/>
      </w:r>
      <w:r w:rsidR="00843BFC">
        <w:rPr>
          <w:rFonts w:cs="Times New Roman"/>
          <w:b/>
          <w:bCs/>
          <w:lang w:eastAsia="pt-PT"/>
        </w:rPr>
        <w:t>.</w:t>
      </w:r>
      <w:r w:rsidR="00843BFC">
        <w:rPr>
          <w:rFonts w:cs="Times New Roman"/>
          <w:b/>
          <w:bCs/>
          <w:lang w:eastAsia="pt-PT"/>
        </w:rPr>
        <w:fldChar w:fldCharType="begin"/>
      </w:r>
      <w:r w:rsidR="00843BFC">
        <w:rPr>
          <w:rFonts w:cs="Times New Roman"/>
          <w:b/>
          <w:bCs/>
          <w:lang w:eastAsia="pt-PT"/>
        </w:rPr>
        <w:instrText xml:space="preserve"> SEQ Tabela \* ARABIC \s 1 </w:instrText>
      </w:r>
      <w:r w:rsidR="00843BFC">
        <w:rPr>
          <w:rFonts w:cs="Times New Roman"/>
          <w:b/>
          <w:bCs/>
          <w:lang w:eastAsia="pt-PT"/>
        </w:rPr>
        <w:fldChar w:fldCharType="separate"/>
      </w:r>
      <w:r w:rsidR="00380A6F">
        <w:rPr>
          <w:rFonts w:cs="Times New Roman"/>
          <w:b/>
          <w:bCs/>
          <w:noProof/>
          <w:lang w:eastAsia="pt-PT"/>
        </w:rPr>
        <w:t>9</w:t>
      </w:r>
      <w:r w:rsidR="00843BFC">
        <w:rPr>
          <w:rFonts w:cs="Times New Roman"/>
          <w:b/>
          <w:bCs/>
          <w:lang w:eastAsia="pt-PT"/>
        </w:rPr>
        <w:fldChar w:fldCharType="end"/>
      </w:r>
      <w:r w:rsidRPr="00CE346C">
        <w:rPr>
          <w:rFonts w:cs="Times New Roman"/>
          <w:b/>
          <w:bCs/>
          <w:lang w:eastAsia="pt-PT"/>
        </w:rPr>
        <w:t xml:space="preserve"> -</w:t>
      </w:r>
      <w:r w:rsidRPr="00CE346C">
        <w:rPr>
          <w:rFonts w:cs="Times New Roman"/>
          <w:lang w:eastAsia="pt-PT"/>
        </w:rPr>
        <w:t xml:space="preserve"> </w:t>
      </w:r>
      <w:r w:rsidRPr="00FF13F9">
        <w:rPr>
          <w:rFonts w:cs="Times New Roman"/>
          <w:lang w:eastAsia="pt-PT"/>
        </w:rPr>
        <w:t xml:space="preserve">Medidas estatísticas do ITM por </w:t>
      </w:r>
      <w:proofErr w:type="spellStart"/>
      <w:r>
        <w:rPr>
          <w:rFonts w:cs="Times New Roman"/>
          <w:lang w:eastAsia="pt-PT"/>
        </w:rPr>
        <w:t>TxPI</w:t>
      </w:r>
      <w:bookmarkEnd w:id="102"/>
      <w:bookmarkEnd w:id="103"/>
      <w:proofErr w:type="spellEnd"/>
    </w:p>
    <w:tbl>
      <w:tblPr>
        <w:tblW w:w="850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52"/>
        <w:gridCol w:w="3260"/>
        <w:gridCol w:w="1201"/>
        <w:gridCol w:w="1416"/>
        <w:gridCol w:w="77"/>
      </w:tblGrid>
      <w:tr w:rsidR="00C413F3" w:rsidRPr="00F6269F" w14:paraId="52698DC2" w14:textId="77777777" w:rsidTr="00CE346C">
        <w:trPr>
          <w:cantSplit/>
          <w:jc w:val="center"/>
        </w:trPr>
        <w:tc>
          <w:tcPr>
            <w:tcW w:w="2552" w:type="dxa"/>
            <w:tcBorders>
              <w:top w:val="double" w:sz="4" w:space="0" w:color="auto"/>
              <w:left w:val="nil"/>
              <w:bottom w:val="single" w:sz="4" w:space="0" w:color="auto"/>
              <w:right w:val="nil"/>
            </w:tcBorders>
            <w:shd w:val="clear" w:color="auto" w:fill="E7E6E6" w:themeFill="background2"/>
            <w:vAlign w:val="bottom"/>
          </w:tcPr>
          <w:p w14:paraId="737C5D68" w14:textId="77777777" w:rsidR="00C413F3" w:rsidRPr="00D85EEC" w:rsidRDefault="00C413F3" w:rsidP="009C5227">
            <w:pPr>
              <w:autoSpaceDE w:val="0"/>
              <w:autoSpaceDN w:val="0"/>
              <w:adjustRightInd w:val="0"/>
              <w:spacing w:before="100" w:beforeAutospacing="1" w:after="0" w:line="240" w:lineRule="auto"/>
              <w:rPr>
                <w:rFonts w:cs="Times New Roman"/>
                <w:b/>
                <w:bCs/>
                <w:color w:val="000000"/>
                <w:sz w:val="22"/>
              </w:rPr>
            </w:pPr>
            <w:r>
              <w:rPr>
                <w:rFonts w:cs="Times New Roman"/>
                <w:b/>
                <w:bCs/>
                <w:color w:val="000000"/>
                <w:sz w:val="22"/>
              </w:rPr>
              <w:t>População Idosa</w:t>
            </w:r>
          </w:p>
        </w:tc>
        <w:tc>
          <w:tcPr>
            <w:tcW w:w="3260" w:type="dxa"/>
            <w:tcBorders>
              <w:top w:val="double" w:sz="4" w:space="0" w:color="auto"/>
              <w:left w:val="nil"/>
              <w:bottom w:val="single" w:sz="4" w:space="0" w:color="auto"/>
              <w:right w:val="nil"/>
            </w:tcBorders>
            <w:shd w:val="clear" w:color="auto" w:fill="E7E6E6" w:themeFill="background2"/>
            <w:vAlign w:val="bottom"/>
          </w:tcPr>
          <w:p w14:paraId="05185818" w14:textId="77777777" w:rsidR="00C413F3" w:rsidRPr="00D85EEC" w:rsidRDefault="00C413F3" w:rsidP="009C5227">
            <w:pPr>
              <w:autoSpaceDE w:val="0"/>
              <w:autoSpaceDN w:val="0"/>
              <w:adjustRightInd w:val="0"/>
              <w:spacing w:before="100" w:beforeAutospacing="1" w:after="0" w:line="240" w:lineRule="auto"/>
              <w:ind w:left="60" w:right="60"/>
              <w:rPr>
                <w:rFonts w:cs="Times New Roman"/>
                <w:b/>
                <w:bCs/>
                <w:color w:val="000000"/>
                <w:sz w:val="22"/>
              </w:rPr>
            </w:pPr>
          </w:p>
        </w:tc>
        <w:tc>
          <w:tcPr>
            <w:tcW w:w="1201" w:type="dxa"/>
            <w:tcBorders>
              <w:top w:val="double" w:sz="4" w:space="0" w:color="auto"/>
              <w:left w:val="nil"/>
              <w:bottom w:val="single" w:sz="4" w:space="0" w:color="auto"/>
              <w:right w:val="nil"/>
            </w:tcBorders>
            <w:shd w:val="clear" w:color="auto" w:fill="E7E6E6" w:themeFill="background2"/>
            <w:vAlign w:val="bottom"/>
          </w:tcPr>
          <w:p w14:paraId="11F84732" w14:textId="77777777" w:rsidR="00C413F3" w:rsidRPr="00D85EEC" w:rsidRDefault="00C413F3" w:rsidP="009C5227">
            <w:pPr>
              <w:autoSpaceDE w:val="0"/>
              <w:autoSpaceDN w:val="0"/>
              <w:adjustRightInd w:val="0"/>
              <w:spacing w:before="100" w:beforeAutospacing="1" w:after="0" w:line="240" w:lineRule="auto"/>
              <w:ind w:left="60" w:right="60"/>
              <w:jc w:val="right"/>
              <w:rPr>
                <w:rFonts w:cs="Times New Roman"/>
                <w:b/>
                <w:bCs/>
                <w:color w:val="000000"/>
                <w:sz w:val="22"/>
              </w:rPr>
            </w:pPr>
            <w:r w:rsidRPr="00D85EEC">
              <w:rPr>
                <w:rFonts w:cs="Times New Roman"/>
                <w:b/>
                <w:bCs/>
                <w:color w:val="000000"/>
                <w:sz w:val="22"/>
              </w:rPr>
              <w:t>Estatística</w:t>
            </w:r>
          </w:p>
        </w:tc>
        <w:tc>
          <w:tcPr>
            <w:tcW w:w="1493" w:type="dxa"/>
            <w:gridSpan w:val="2"/>
            <w:tcBorders>
              <w:top w:val="double" w:sz="4" w:space="0" w:color="auto"/>
              <w:left w:val="nil"/>
              <w:bottom w:val="single" w:sz="4" w:space="0" w:color="auto"/>
              <w:right w:val="nil"/>
            </w:tcBorders>
            <w:shd w:val="clear" w:color="auto" w:fill="E7E6E6" w:themeFill="background2"/>
            <w:vAlign w:val="bottom"/>
          </w:tcPr>
          <w:p w14:paraId="7CCFFEA9" w14:textId="77777777" w:rsidR="00C413F3" w:rsidRPr="00D85EEC" w:rsidRDefault="00C413F3" w:rsidP="009C5227">
            <w:pPr>
              <w:autoSpaceDE w:val="0"/>
              <w:autoSpaceDN w:val="0"/>
              <w:adjustRightInd w:val="0"/>
              <w:spacing w:before="100" w:beforeAutospacing="1" w:after="0" w:line="240" w:lineRule="auto"/>
              <w:ind w:left="60" w:right="60"/>
              <w:jc w:val="right"/>
              <w:rPr>
                <w:rFonts w:cs="Times New Roman"/>
                <w:b/>
                <w:bCs/>
                <w:color w:val="000000"/>
                <w:sz w:val="22"/>
              </w:rPr>
            </w:pPr>
            <w:r w:rsidRPr="00D85EEC">
              <w:rPr>
                <w:rFonts w:cs="Times New Roman"/>
                <w:b/>
                <w:bCs/>
                <w:color w:val="000000"/>
                <w:sz w:val="22"/>
              </w:rPr>
              <w:t>Desvio Padrão</w:t>
            </w:r>
          </w:p>
        </w:tc>
      </w:tr>
      <w:tr w:rsidR="00C413F3" w:rsidRPr="00F6269F" w14:paraId="4C6D0FCD" w14:textId="77777777" w:rsidTr="00CE346C">
        <w:trPr>
          <w:gridAfter w:val="1"/>
          <w:wAfter w:w="77" w:type="dxa"/>
          <w:cantSplit/>
          <w:jc w:val="center"/>
        </w:trPr>
        <w:tc>
          <w:tcPr>
            <w:tcW w:w="2552" w:type="dxa"/>
            <w:vMerge w:val="restart"/>
            <w:tcBorders>
              <w:top w:val="single" w:sz="4" w:space="0" w:color="auto"/>
              <w:left w:val="nil"/>
              <w:right w:val="nil"/>
            </w:tcBorders>
            <w:shd w:val="clear" w:color="auto" w:fill="FFFFFF" w:themeFill="background1"/>
          </w:tcPr>
          <w:p w14:paraId="367028C3" w14:textId="77777777" w:rsidR="00C413F3" w:rsidRPr="00D37723"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r w:rsidRPr="00D37723">
              <w:rPr>
                <w:rFonts w:asciiTheme="majorBidi" w:hAnsiTheme="majorBidi" w:cstheme="majorBidi"/>
                <w:color w:val="000000"/>
                <w:sz w:val="22"/>
              </w:rPr>
              <w:t>Municípios</w:t>
            </w:r>
            <w:r w:rsidRPr="00C52653">
              <w:rPr>
                <w:rFonts w:asciiTheme="majorBidi" w:hAnsiTheme="majorBidi" w:cstheme="majorBidi"/>
                <w:color w:val="000000"/>
                <w:sz w:val="22"/>
              </w:rPr>
              <w:t xml:space="preserve"> c/ menor taxa de idosos</w:t>
            </w:r>
          </w:p>
        </w:tc>
        <w:tc>
          <w:tcPr>
            <w:tcW w:w="3260" w:type="dxa"/>
            <w:tcBorders>
              <w:top w:val="single" w:sz="4" w:space="0" w:color="auto"/>
              <w:left w:val="nil"/>
              <w:bottom w:val="nil"/>
              <w:right w:val="nil"/>
            </w:tcBorders>
            <w:shd w:val="clear" w:color="auto" w:fill="FFFFFF" w:themeFill="background1"/>
          </w:tcPr>
          <w:p w14:paraId="07D8A027"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A61A60">
              <w:rPr>
                <w:rFonts w:asciiTheme="majorBidi" w:hAnsiTheme="majorBidi" w:cstheme="majorBidi"/>
                <w:color w:val="000000"/>
                <w:sz w:val="22"/>
              </w:rPr>
              <w:t>N=</w:t>
            </w:r>
            <w:r>
              <w:rPr>
                <w:rFonts w:asciiTheme="majorBidi" w:hAnsiTheme="majorBidi" w:cstheme="majorBidi"/>
                <w:color w:val="000000"/>
                <w:sz w:val="22"/>
              </w:rPr>
              <w:t>814</w:t>
            </w:r>
          </w:p>
        </w:tc>
        <w:tc>
          <w:tcPr>
            <w:tcW w:w="1201" w:type="dxa"/>
            <w:tcBorders>
              <w:top w:val="single" w:sz="4" w:space="0" w:color="auto"/>
              <w:left w:val="nil"/>
              <w:bottom w:val="nil"/>
              <w:right w:val="nil"/>
            </w:tcBorders>
            <w:shd w:val="clear" w:color="auto" w:fill="FFFFFF" w:themeFill="background1"/>
          </w:tcPr>
          <w:p w14:paraId="1C84AD72"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c>
          <w:tcPr>
            <w:tcW w:w="1416" w:type="dxa"/>
            <w:tcBorders>
              <w:top w:val="single" w:sz="4" w:space="0" w:color="auto"/>
              <w:left w:val="nil"/>
              <w:bottom w:val="nil"/>
              <w:right w:val="nil"/>
            </w:tcBorders>
            <w:shd w:val="clear" w:color="auto" w:fill="FFFFFF" w:themeFill="background1"/>
          </w:tcPr>
          <w:p w14:paraId="28FEA783"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F6269F" w14:paraId="6AC26318" w14:textId="77777777" w:rsidTr="00CE346C">
        <w:trPr>
          <w:gridAfter w:val="1"/>
          <w:wAfter w:w="77" w:type="dxa"/>
          <w:cantSplit/>
          <w:jc w:val="center"/>
        </w:trPr>
        <w:tc>
          <w:tcPr>
            <w:tcW w:w="2552" w:type="dxa"/>
            <w:vMerge/>
            <w:tcBorders>
              <w:left w:val="nil"/>
              <w:right w:val="nil"/>
            </w:tcBorders>
            <w:shd w:val="clear" w:color="auto" w:fill="FFFFFF" w:themeFill="background1"/>
          </w:tcPr>
          <w:p w14:paraId="0F0402B1" w14:textId="77777777" w:rsidR="00C413F3" w:rsidRPr="00D37723"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260" w:type="dxa"/>
            <w:tcBorders>
              <w:top w:val="nil"/>
              <w:left w:val="nil"/>
              <w:bottom w:val="nil"/>
              <w:right w:val="nil"/>
            </w:tcBorders>
            <w:shd w:val="clear" w:color="auto" w:fill="E7E6E6" w:themeFill="background2"/>
          </w:tcPr>
          <w:p w14:paraId="27E80443"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52653">
              <w:rPr>
                <w:rFonts w:asciiTheme="majorBidi" w:hAnsiTheme="majorBidi" w:cstheme="majorBidi"/>
                <w:color w:val="000000"/>
                <w:sz w:val="22"/>
              </w:rPr>
              <w:t>Média</w:t>
            </w:r>
          </w:p>
        </w:tc>
        <w:tc>
          <w:tcPr>
            <w:tcW w:w="1201" w:type="dxa"/>
            <w:tcBorders>
              <w:top w:val="nil"/>
              <w:left w:val="nil"/>
              <w:bottom w:val="nil"/>
              <w:right w:val="nil"/>
            </w:tcBorders>
            <w:shd w:val="clear" w:color="auto" w:fill="E7E6E6" w:themeFill="background2"/>
          </w:tcPr>
          <w:p w14:paraId="0AF84E84"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44,2081</w:t>
            </w:r>
          </w:p>
        </w:tc>
        <w:tc>
          <w:tcPr>
            <w:tcW w:w="1416" w:type="dxa"/>
            <w:tcBorders>
              <w:top w:val="nil"/>
              <w:left w:val="nil"/>
              <w:bottom w:val="nil"/>
              <w:right w:val="nil"/>
            </w:tcBorders>
            <w:shd w:val="clear" w:color="auto" w:fill="E7E6E6" w:themeFill="background2"/>
          </w:tcPr>
          <w:p w14:paraId="72E8DF10"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0,57905</w:t>
            </w:r>
          </w:p>
        </w:tc>
      </w:tr>
      <w:tr w:rsidR="00C413F3" w:rsidRPr="00F6269F" w14:paraId="059F781A" w14:textId="77777777" w:rsidTr="00CE346C">
        <w:trPr>
          <w:gridAfter w:val="1"/>
          <w:wAfter w:w="77" w:type="dxa"/>
          <w:cantSplit/>
          <w:jc w:val="center"/>
        </w:trPr>
        <w:tc>
          <w:tcPr>
            <w:tcW w:w="2552" w:type="dxa"/>
            <w:vMerge/>
            <w:tcBorders>
              <w:left w:val="nil"/>
              <w:right w:val="nil"/>
            </w:tcBorders>
            <w:shd w:val="clear" w:color="auto" w:fill="FFFFFF" w:themeFill="background1"/>
          </w:tcPr>
          <w:p w14:paraId="3E607A58" w14:textId="77777777" w:rsidR="00C413F3" w:rsidRPr="00D37723"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260" w:type="dxa"/>
            <w:tcBorders>
              <w:top w:val="nil"/>
              <w:left w:val="nil"/>
              <w:bottom w:val="nil"/>
              <w:right w:val="nil"/>
            </w:tcBorders>
            <w:shd w:val="clear" w:color="auto" w:fill="FFFFFF" w:themeFill="background1"/>
          </w:tcPr>
          <w:p w14:paraId="164247A8"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52653">
              <w:rPr>
                <w:rFonts w:asciiTheme="majorBidi" w:hAnsiTheme="majorBidi" w:cstheme="majorBidi"/>
                <w:color w:val="000000"/>
                <w:sz w:val="22"/>
              </w:rPr>
              <w:t>Mediana</w:t>
            </w:r>
          </w:p>
        </w:tc>
        <w:tc>
          <w:tcPr>
            <w:tcW w:w="1201" w:type="dxa"/>
            <w:tcBorders>
              <w:top w:val="nil"/>
              <w:left w:val="nil"/>
              <w:bottom w:val="nil"/>
              <w:right w:val="nil"/>
            </w:tcBorders>
            <w:shd w:val="clear" w:color="auto" w:fill="FFFFFF" w:themeFill="background1"/>
          </w:tcPr>
          <w:p w14:paraId="07C3A8AA"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41,0000</w:t>
            </w:r>
          </w:p>
        </w:tc>
        <w:tc>
          <w:tcPr>
            <w:tcW w:w="1416" w:type="dxa"/>
            <w:tcBorders>
              <w:top w:val="nil"/>
              <w:left w:val="nil"/>
              <w:bottom w:val="nil"/>
              <w:right w:val="nil"/>
            </w:tcBorders>
            <w:shd w:val="clear" w:color="auto" w:fill="FFFFFF" w:themeFill="background1"/>
            <w:vAlign w:val="center"/>
          </w:tcPr>
          <w:p w14:paraId="782A30CF"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F6269F" w14:paraId="5437895D" w14:textId="77777777" w:rsidTr="00CE346C">
        <w:trPr>
          <w:gridAfter w:val="1"/>
          <w:wAfter w:w="77" w:type="dxa"/>
          <w:cantSplit/>
          <w:jc w:val="center"/>
        </w:trPr>
        <w:tc>
          <w:tcPr>
            <w:tcW w:w="2552" w:type="dxa"/>
            <w:vMerge/>
            <w:tcBorders>
              <w:left w:val="nil"/>
              <w:right w:val="nil"/>
            </w:tcBorders>
            <w:shd w:val="clear" w:color="auto" w:fill="FFFFFF" w:themeFill="background1"/>
          </w:tcPr>
          <w:p w14:paraId="51CF3D82" w14:textId="77777777" w:rsidR="00C413F3" w:rsidRPr="00D37723"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260" w:type="dxa"/>
            <w:tcBorders>
              <w:top w:val="nil"/>
              <w:left w:val="nil"/>
              <w:bottom w:val="nil"/>
              <w:right w:val="nil"/>
            </w:tcBorders>
            <w:shd w:val="clear" w:color="auto" w:fill="E7E6E6" w:themeFill="background2"/>
          </w:tcPr>
          <w:p w14:paraId="167789AF"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52653">
              <w:rPr>
                <w:rFonts w:asciiTheme="majorBidi" w:hAnsiTheme="majorBidi" w:cstheme="majorBidi"/>
                <w:color w:val="000000"/>
                <w:sz w:val="22"/>
              </w:rPr>
              <w:t>Variância</w:t>
            </w:r>
          </w:p>
        </w:tc>
        <w:tc>
          <w:tcPr>
            <w:tcW w:w="1201" w:type="dxa"/>
            <w:tcBorders>
              <w:top w:val="nil"/>
              <w:left w:val="nil"/>
              <w:bottom w:val="nil"/>
              <w:right w:val="nil"/>
            </w:tcBorders>
            <w:shd w:val="clear" w:color="auto" w:fill="E7E6E6" w:themeFill="background2"/>
          </w:tcPr>
          <w:p w14:paraId="02E9AFCE"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272,935</w:t>
            </w:r>
          </w:p>
        </w:tc>
        <w:tc>
          <w:tcPr>
            <w:tcW w:w="1416" w:type="dxa"/>
            <w:tcBorders>
              <w:top w:val="nil"/>
              <w:left w:val="nil"/>
              <w:bottom w:val="nil"/>
              <w:right w:val="nil"/>
            </w:tcBorders>
            <w:shd w:val="clear" w:color="auto" w:fill="E7E6E6" w:themeFill="background2"/>
            <w:vAlign w:val="center"/>
          </w:tcPr>
          <w:p w14:paraId="5A0A3246"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F6269F" w14:paraId="7799CE0F" w14:textId="77777777" w:rsidTr="00CE346C">
        <w:trPr>
          <w:gridAfter w:val="1"/>
          <w:wAfter w:w="77" w:type="dxa"/>
          <w:cantSplit/>
          <w:jc w:val="center"/>
        </w:trPr>
        <w:tc>
          <w:tcPr>
            <w:tcW w:w="2552" w:type="dxa"/>
            <w:vMerge/>
            <w:tcBorders>
              <w:left w:val="nil"/>
              <w:right w:val="nil"/>
            </w:tcBorders>
            <w:shd w:val="clear" w:color="auto" w:fill="FFFFFF" w:themeFill="background1"/>
          </w:tcPr>
          <w:p w14:paraId="719D8EC5" w14:textId="77777777" w:rsidR="00C413F3" w:rsidRPr="00D37723"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260" w:type="dxa"/>
            <w:tcBorders>
              <w:top w:val="nil"/>
              <w:left w:val="nil"/>
              <w:bottom w:val="nil"/>
              <w:right w:val="nil"/>
            </w:tcBorders>
            <w:shd w:val="clear" w:color="auto" w:fill="FFFFFF" w:themeFill="background1"/>
          </w:tcPr>
          <w:p w14:paraId="447B218A"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52653">
              <w:rPr>
                <w:rFonts w:asciiTheme="majorBidi" w:hAnsiTheme="majorBidi" w:cstheme="majorBidi"/>
                <w:color w:val="000000"/>
                <w:sz w:val="22"/>
              </w:rPr>
              <w:t>Erro Padrão</w:t>
            </w:r>
          </w:p>
        </w:tc>
        <w:tc>
          <w:tcPr>
            <w:tcW w:w="1201" w:type="dxa"/>
            <w:tcBorders>
              <w:top w:val="nil"/>
              <w:left w:val="nil"/>
              <w:bottom w:val="nil"/>
              <w:right w:val="nil"/>
            </w:tcBorders>
            <w:shd w:val="clear" w:color="auto" w:fill="FFFFFF" w:themeFill="background1"/>
          </w:tcPr>
          <w:p w14:paraId="42C27C48"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16,52073</w:t>
            </w:r>
          </w:p>
        </w:tc>
        <w:tc>
          <w:tcPr>
            <w:tcW w:w="1416" w:type="dxa"/>
            <w:tcBorders>
              <w:top w:val="nil"/>
              <w:left w:val="nil"/>
              <w:bottom w:val="nil"/>
              <w:right w:val="nil"/>
            </w:tcBorders>
            <w:shd w:val="clear" w:color="auto" w:fill="FFFFFF" w:themeFill="background1"/>
            <w:vAlign w:val="center"/>
          </w:tcPr>
          <w:p w14:paraId="3A26A522"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F6269F" w14:paraId="355391C1" w14:textId="77777777" w:rsidTr="00CE346C">
        <w:trPr>
          <w:gridAfter w:val="1"/>
          <w:wAfter w:w="77" w:type="dxa"/>
          <w:cantSplit/>
          <w:jc w:val="center"/>
        </w:trPr>
        <w:tc>
          <w:tcPr>
            <w:tcW w:w="2552" w:type="dxa"/>
            <w:vMerge/>
            <w:tcBorders>
              <w:left w:val="nil"/>
              <w:right w:val="nil"/>
            </w:tcBorders>
            <w:shd w:val="clear" w:color="auto" w:fill="FFFFFF" w:themeFill="background1"/>
          </w:tcPr>
          <w:p w14:paraId="628304F1" w14:textId="77777777" w:rsidR="00C413F3" w:rsidRPr="00D37723"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260" w:type="dxa"/>
            <w:tcBorders>
              <w:top w:val="nil"/>
              <w:left w:val="nil"/>
              <w:bottom w:val="nil"/>
              <w:right w:val="nil"/>
            </w:tcBorders>
            <w:shd w:val="clear" w:color="auto" w:fill="E7E6E6" w:themeFill="background2"/>
          </w:tcPr>
          <w:p w14:paraId="5761762E"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52653">
              <w:rPr>
                <w:rFonts w:asciiTheme="majorBidi" w:hAnsiTheme="majorBidi" w:cstheme="majorBidi"/>
                <w:color w:val="000000"/>
                <w:sz w:val="22"/>
              </w:rPr>
              <w:t>Mínimo</w:t>
            </w:r>
          </w:p>
        </w:tc>
        <w:tc>
          <w:tcPr>
            <w:tcW w:w="1201" w:type="dxa"/>
            <w:tcBorders>
              <w:top w:val="nil"/>
              <w:left w:val="nil"/>
              <w:bottom w:val="nil"/>
              <w:right w:val="nil"/>
            </w:tcBorders>
            <w:shd w:val="clear" w:color="auto" w:fill="E7E6E6" w:themeFill="background2"/>
          </w:tcPr>
          <w:p w14:paraId="50FF9A60"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2,34</w:t>
            </w:r>
          </w:p>
        </w:tc>
        <w:tc>
          <w:tcPr>
            <w:tcW w:w="1416" w:type="dxa"/>
            <w:tcBorders>
              <w:top w:val="nil"/>
              <w:left w:val="nil"/>
              <w:bottom w:val="nil"/>
              <w:right w:val="nil"/>
            </w:tcBorders>
            <w:shd w:val="clear" w:color="auto" w:fill="E7E6E6" w:themeFill="background2"/>
            <w:vAlign w:val="center"/>
          </w:tcPr>
          <w:p w14:paraId="78D242A4"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F6269F" w14:paraId="3AF0F134" w14:textId="77777777" w:rsidTr="00CE346C">
        <w:trPr>
          <w:gridAfter w:val="1"/>
          <w:wAfter w:w="77" w:type="dxa"/>
          <w:cantSplit/>
          <w:jc w:val="center"/>
        </w:trPr>
        <w:tc>
          <w:tcPr>
            <w:tcW w:w="2552" w:type="dxa"/>
            <w:vMerge/>
            <w:tcBorders>
              <w:left w:val="nil"/>
              <w:right w:val="nil"/>
            </w:tcBorders>
            <w:shd w:val="clear" w:color="auto" w:fill="FFFFFF" w:themeFill="background1"/>
          </w:tcPr>
          <w:p w14:paraId="620B5C79" w14:textId="77777777" w:rsidR="00C413F3" w:rsidRPr="00D37723"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260" w:type="dxa"/>
            <w:tcBorders>
              <w:top w:val="nil"/>
              <w:left w:val="nil"/>
              <w:bottom w:val="nil"/>
              <w:right w:val="nil"/>
            </w:tcBorders>
            <w:shd w:val="clear" w:color="auto" w:fill="FFFFFF" w:themeFill="background1"/>
          </w:tcPr>
          <w:p w14:paraId="68E7731C"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52653">
              <w:rPr>
                <w:rFonts w:asciiTheme="majorBidi" w:hAnsiTheme="majorBidi" w:cstheme="majorBidi"/>
                <w:color w:val="000000"/>
                <w:sz w:val="22"/>
              </w:rPr>
              <w:t>Máximo</w:t>
            </w:r>
          </w:p>
        </w:tc>
        <w:tc>
          <w:tcPr>
            <w:tcW w:w="1201" w:type="dxa"/>
            <w:tcBorders>
              <w:top w:val="nil"/>
              <w:left w:val="nil"/>
              <w:bottom w:val="nil"/>
              <w:right w:val="nil"/>
            </w:tcBorders>
            <w:shd w:val="clear" w:color="auto" w:fill="FFFFFF" w:themeFill="background1"/>
          </w:tcPr>
          <w:p w14:paraId="1237DB42"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97,80</w:t>
            </w:r>
          </w:p>
        </w:tc>
        <w:tc>
          <w:tcPr>
            <w:tcW w:w="1416" w:type="dxa"/>
            <w:tcBorders>
              <w:top w:val="nil"/>
              <w:left w:val="nil"/>
              <w:bottom w:val="nil"/>
              <w:right w:val="nil"/>
            </w:tcBorders>
            <w:shd w:val="clear" w:color="auto" w:fill="FFFFFF" w:themeFill="background1"/>
            <w:vAlign w:val="center"/>
          </w:tcPr>
          <w:p w14:paraId="03E31D8A"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F6269F" w14:paraId="4FDEB731" w14:textId="77777777" w:rsidTr="00CE346C">
        <w:trPr>
          <w:gridAfter w:val="1"/>
          <w:wAfter w:w="77" w:type="dxa"/>
          <w:cantSplit/>
          <w:jc w:val="center"/>
        </w:trPr>
        <w:tc>
          <w:tcPr>
            <w:tcW w:w="2552" w:type="dxa"/>
            <w:vMerge/>
            <w:tcBorders>
              <w:left w:val="nil"/>
              <w:right w:val="nil"/>
            </w:tcBorders>
            <w:shd w:val="clear" w:color="auto" w:fill="FFFFFF" w:themeFill="background1"/>
          </w:tcPr>
          <w:p w14:paraId="486228F6" w14:textId="77777777" w:rsidR="00C413F3" w:rsidRPr="00D37723"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260" w:type="dxa"/>
            <w:tcBorders>
              <w:top w:val="nil"/>
              <w:left w:val="nil"/>
              <w:bottom w:val="nil"/>
              <w:right w:val="nil"/>
            </w:tcBorders>
            <w:shd w:val="clear" w:color="auto" w:fill="E7E6E6" w:themeFill="background2"/>
          </w:tcPr>
          <w:p w14:paraId="78CA53BC"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52653">
              <w:rPr>
                <w:rFonts w:asciiTheme="majorBidi" w:hAnsiTheme="majorBidi" w:cstheme="majorBidi"/>
                <w:color w:val="000000"/>
                <w:sz w:val="22"/>
              </w:rPr>
              <w:t>Amplitude</w:t>
            </w:r>
          </w:p>
        </w:tc>
        <w:tc>
          <w:tcPr>
            <w:tcW w:w="1201" w:type="dxa"/>
            <w:tcBorders>
              <w:top w:val="nil"/>
              <w:left w:val="nil"/>
              <w:bottom w:val="nil"/>
              <w:right w:val="nil"/>
            </w:tcBorders>
            <w:shd w:val="clear" w:color="auto" w:fill="E7E6E6" w:themeFill="background2"/>
          </w:tcPr>
          <w:p w14:paraId="04FB427F"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95,47</w:t>
            </w:r>
          </w:p>
        </w:tc>
        <w:tc>
          <w:tcPr>
            <w:tcW w:w="1416" w:type="dxa"/>
            <w:tcBorders>
              <w:top w:val="nil"/>
              <w:left w:val="nil"/>
              <w:bottom w:val="nil"/>
              <w:right w:val="nil"/>
            </w:tcBorders>
            <w:shd w:val="clear" w:color="auto" w:fill="E7E6E6" w:themeFill="background2"/>
            <w:vAlign w:val="center"/>
          </w:tcPr>
          <w:p w14:paraId="3632A488"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F6269F" w14:paraId="026C315E" w14:textId="77777777" w:rsidTr="00CE346C">
        <w:trPr>
          <w:gridAfter w:val="1"/>
          <w:wAfter w:w="77" w:type="dxa"/>
          <w:cantSplit/>
          <w:jc w:val="center"/>
        </w:trPr>
        <w:tc>
          <w:tcPr>
            <w:tcW w:w="2552" w:type="dxa"/>
            <w:vMerge/>
            <w:tcBorders>
              <w:left w:val="nil"/>
              <w:right w:val="nil"/>
            </w:tcBorders>
            <w:shd w:val="clear" w:color="auto" w:fill="FFFFFF" w:themeFill="background1"/>
          </w:tcPr>
          <w:p w14:paraId="2E26BF13" w14:textId="77777777" w:rsidR="00C413F3" w:rsidRPr="00D37723"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260" w:type="dxa"/>
            <w:tcBorders>
              <w:top w:val="nil"/>
              <w:left w:val="nil"/>
              <w:bottom w:val="nil"/>
              <w:right w:val="nil"/>
            </w:tcBorders>
            <w:shd w:val="clear" w:color="auto" w:fill="FFFFFF" w:themeFill="background1"/>
          </w:tcPr>
          <w:p w14:paraId="1F7D0170"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52653">
              <w:rPr>
                <w:rFonts w:asciiTheme="majorBidi" w:hAnsiTheme="majorBidi" w:cstheme="majorBidi"/>
                <w:color w:val="000000"/>
                <w:sz w:val="22"/>
              </w:rPr>
              <w:t>Amplitude interquartil</w:t>
            </w:r>
          </w:p>
        </w:tc>
        <w:tc>
          <w:tcPr>
            <w:tcW w:w="1201" w:type="dxa"/>
            <w:tcBorders>
              <w:top w:val="nil"/>
              <w:left w:val="nil"/>
              <w:bottom w:val="nil"/>
              <w:right w:val="nil"/>
            </w:tcBorders>
            <w:shd w:val="clear" w:color="auto" w:fill="FFFFFF" w:themeFill="background1"/>
          </w:tcPr>
          <w:p w14:paraId="19ACEEBF"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21,05</w:t>
            </w:r>
          </w:p>
        </w:tc>
        <w:tc>
          <w:tcPr>
            <w:tcW w:w="1416" w:type="dxa"/>
            <w:tcBorders>
              <w:top w:val="nil"/>
              <w:left w:val="nil"/>
              <w:bottom w:val="nil"/>
              <w:right w:val="nil"/>
            </w:tcBorders>
            <w:shd w:val="clear" w:color="auto" w:fill="FFFFFF" w:themeFill="background1"/>
            <w:vAlign w:val="center"/>
          </w:tcPr>
          <w:p w14:paraId="1A4FCCB0"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F6269F" w14:paraId="3D6B98F3" w14:textId="77777777" w:rsidTr="00CE346C">
        <w:trPr>
          <w:gridAfter w:val="1"/>
          <w:wAfter w:w="77" w:type="dxa"/>
          <w:cantSplit/>
          <w:jc w:val="center"/>
        </w:trPr>
        <w:tc>
          <w:tcPr>
            <w:tcW w:w="2552" w:type="dxa"/>
            <w:vMerge/>
            <w:tcBorders>
              <w:left w:val="nil"/>
              <w:right w:val="nil"/>
            </w:tcBorders>
            <w:shd w:val="clear" w:color="auto" w:fill="FFFFFF" w:themeFill="background1"/>
          </w:tcPr>
          <w:p w14:paraId="0BAE83D2" w14:textId="77777777" w:rsidR="00C413F3" w:rsidRPr="00D37723"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260" w:type="dxa"/>
            <w:tcBorders>
              <w:top w:val="nil"/>
              <w:left w:val="nil"/>
              <w:bottom w:val="nil"/>
              <w:right w:val="nil"/>
            </w:tcBorders>
            <w:shd w:val="clear" w:color="auto" w:fill="E7E6E6" w:themeFill="background2"/>
          </w:tcPr>
          <w:p w14:paraId="4103CA43"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52653">
              <w:rPr>
                <w:rFonts w:asciiTheme="majorBidi" w:hAnsiTheme="majorBidi" w:cstheme="majorBidi"/>
                <w:color w:val="000000"/>
                <w:sz w:val="22"/>
              </w:rPr>
              <w:t>Assimetria</w:t>
            </w:r>
          </w:p>
        </w:tc>
        <w:tc>
          <w:tcPr>
            <w:tcW w:w="1201" w:type="dxa"/>
            <w:tcBorders>
              <w:top w:val="nil"/>
              <w:left w:val="nil"/>
              <w:bottom w:val="nil"/>
              <w:right w:val="nil"/>
            </w:tcBorders>
            <w:shd w:val="clear" w:color="auto" w:fill="E7E6E6" w:themeFill="background2"/>
          </w:tcPr>
          <w:p w14:paraId="497334F0"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0,677</w:t>
            </w:r>
          </w:p>
        </w:tc>
        <w:tc>
          <w:tcPr>
            <w:tcW w:w="1416" w:type="dxa"/>
            <w:tcBorders>
              <w:top w:val="nil"/>
              <w:left w:val="nil"/>
              <w:bottom w:val="nil"/>
              <w:right w:val="nil"/>
            </w:tcBorders>
            <w:shd w:val="clear" w:color="auto" w:fill="E7E6E6" w:themeFill="background2"/>
          </w:tcPr>
          <w:p w14:paraId="63C2A61D"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0,086</w:t>
            </w:r>
          </w:p>
        </w:tc>
      </w:tr>
      <w:tr w:rsidR="00C413F3" w:rsidRPr="00F6269F" w14:paraId="106E0732" w14:textId="77777777" w:rsidTr="00CE346C">
        <w:trPr>
          <w:gridAfter w:val="1"/>
          <w:wAfter w:w="77" w:type="dxa"/>
          <w:cantSplit/>
          <w:jc w:val="center"/>
        </w:trPr>
        <w:tc>
          <w:tcPr>
            <w:tcW w:w="2552" w:type="dxa"/>
            <w:vMerge/>
            <w:tcBorders>
              <w:left w:val="nil"/>
              <w:bottom w:val="single" w:sz="4" w:space="0" w:color="auto"/>
              <w:right w:val="nil"/>
            </w:tcBorders>
            <w:shd w:val="clear" w:color="auto" w:fill="FFFFFF" w:themeFill="background1"/>
          </w:tcPr>
          <w:p w14:paraId="63D78A20" w14:textId="77777777" w:rsidR="00C413F3" w:rsidRPr="00D37723"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260" w:type="dxa"/>
            <w:tcBorders>
              <w:top w:val="nil"/>
              <w:left w:val="nil"/>
              <w:bottom w:val="single" w:sz="4" w:space="0" w:color="auto"/>
              <w:right w:val="nil"/>
            </w:tcBorders>
            <w:shd w:val="clear" w:color="auto" w:fill="FFFFFF" w:themeFill="background1"/>
          </w:tcPr>
          <w:p w14:paraId="5EDAE463" w14:textId="77777777" w:rsidR="00C413F3" w:rsidRPr="00CB57E5"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proofErr w:type="spellStart"/>
            <w:r w:rsidRPr="00C52653">
              <w:rPr>
                <w:rFonts w:asciiTheme="majorBidi" w:hAnsiTheme="majorBidi" w:cstheme="majorBidi"/>
                <w:color w:val="000000"/>
                <w:sz w:val="22"/>
              </w:rPr>
              <w:t>Curtose</w:t>
            </w:r>
            <w:proofErr w:type="spellEnd"/>
          </w:p>
        </w:tc>
        <w:tc>
          <w:tcPr>
            <w:tcW w:w="1201" w:type="dxa"/>
            <w:tcBorders>
              <w:top w:val="nil"/>
              <w:left w:val="nil"/>
              <w:bottom w:val="single" w:sz="4" w:space="0" w:color="auto"/>
              <w:right w:val="nil"/>
            </w:tcBorders>
            <w:shd w:val="clear" w:color="auto" w:fill="FFFFFF" w:themeFill="background1"/>
          </w:tcPr>
          <w:p w14:paraId="0E787FFC"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0,310</w:t>
            </w:r>
          </w:p>
        </w:tc>
        <w:tc>
          <w:tcPr>
            <w:tcW w:w="1416" w:type="dxa"/>
            <w:tcBorders>
              <w:top w:val="nil"/>
              <w:left w:val="nil"/>
              <w:bottom w:val="single" w:sz="4" w:space="0" w:color="auto"/>
              <w:right w:val="nil"/>
            </w:tcBorders>
            <w:shd w:val="clear" w:color="auto" w:fill="FFFFFF" w:themeFill="background1"/>
          </w:tcPr>
          <w:p w14:paraId="3FD2AE1B" w14:textId="77777777" w:rsidR="00C413F3" w:rsidRPr="00CB57E5"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0,171</w:t>
            </w:r>
          </w:p>
        </w:tc>
      </w:tr>
      <w:tr w:rsidR="00C413F3" w:rsidRPr="00355D63" w14:paraId="2B601C3A" w14:textId="77777777" w:rsidTr="00CE346C">
        <w:trPr>
          <w:gridAfter w:val="1"/>
          <w:wAfter w:w="77" w:type="dxa"/>
          <w:cantSplit/>
          <w:jc w:val="center"/>
        </w:trPr>
        <w:tc>
          <w:tcPr>
            <w:tcW w:w="2552" w:type="dxa"/>
            <w:vMerge w:val="restart"/>
            <w:tcBorders>
              <w:left w:val="nil"/>
              <w:right w:val="nil"/>
            </w:tcBorders>
            <w:shd w:val="clear" w:color="auto" w:fill="FFFFFF" w:themeFill="background1"/>
          </w:tcPr>
          <w:p w14:paraId="6816C448" w14:textId="09751935" w:rsidR="00C413F3" w:rsidRPr="00D37723"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r w:rsidRPr="00CE346C">
              <w:rPr>
                <w:rFonts w:asciiTheme="majorBidi" w:hAnsiTheme="majorBidi" w:cstheme="majorBidi"/>
                <w:color w:val="000000"/>
                <w:sz w:val="22"/>
              </w:rPr>
              <w:t>Municípios c/ maior taxa de idosos</w:t>
            </w:r>
          </w:p>
        </w:tc>
        <w:tc>
          <w:tcPr>
            <w:tcW w:w="3260" w:type="dxa"/>
            <w:tcBorders>
              <w:top w:val="nil"/>
              <w:left w:val="nil"/>
              <w:bottom w:val="nil"/>
              <w:right w:val="nil"/>
            </w:tcBorders>
            <w:shd w:val="clear" w:color="auto" w:fill="FFFFFF" w:themeFill="background1"/>
          </w:tcPr>
          <w:p w14:paraId="4C74E40F" w14:textId="77777777" w:rsidR="00C413F3" w:rsidRPr="00D37723"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D37723">
              <w:rPr>
                <w:rFonts w:asciiTheme="majorBidi" w:hAnsiTheme="majorBidi" w:cstheme="majorBidi"/>
                <w:color w:val="000000"/>
                <w:sz w:val="22"/>
              </w:rPr>
              <w:t>N=726</w:t>
            </w:r>
          </w:p>
        </w:tc>
        <w:tc>
          <w:tcPr>
            <w:tcW w:w="1201" w:type="dxa"/>
            <w:tcBorders>
              <w:top w:val="nil"/>
              <w:left w:val="nil"/>
              <w:bottom w:val="nil"/>
              <w:right w:val="nil"/>
            </w:tcBorders>
            <w:shd w:val="clear" w:color="auto" w:fill="FFFFFF" w:themeFill="background1"/>
          </w:tcPr>
          <w:p w14:paraId="3B5DEE7D" w14:textId="77777777" w:rsidR="00C413F3" w:rsidRPr="00D37723"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c>
          <w:tcPr>
            <w:tcW w:w="1416" w:type="dxa"/>
            <w:tcBorders>
              <w:top w:val="nil"/>
              <w:left w:val="nil"/>
              <w:bottom w:val="nil"/>
              <w:right w:val="nil"/>
            </w:tcBorders>
            <w:shd w:val="clear" w:color="auto" w:fill="FFFFFF" w:themeFill="background1"/>
          </w:tcPr>
          <w:p w14:paraId="1D92FF7D" w14:textId="77777777" w:rsidR="00C413F3" w:rsidRPr="00D37723"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355D63" w14:paraId="64D9493E" w14:textId="77777777" w:rsidTr="00CE346C">
        <w:trPr>
          <w:gridAfter w:val="1"/>
          <w:wAfter w:w="77" w:type="dxa"/>
          <w:cantSplit/>
          <w:jc w:val="center"/>
        </w:trPr>
        <w:tc>
          <w:tcPr>
            <w:tcW w:w="2552" w:type="dxa"/>
            <w:vMerge/>
            <w:tcBorders>
              <w:left w:val="nil"/>
              <w:right w:val="nil"/>
            </w:tcBorders>
            <w:shd w:val="clear" w:color="auto" w:fill="FFFFFF" w:themeFill="background1"/>
            <w:vAlign w:val="bottom"/>
          </w:tcPr>
          <w:p w14:paraId="2127B14B"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260" w:type="dxa"/>
            <w:tcBorders>
              <w:top w:val="nil"/>
              <w:left w:val="nil"/>
              <w:bottom w:val="nil"/>
              <w:right w:val="nil"/>
            </w:tcBorders>
            <w:shd w:val="clear" w:color="auto" w:fill="E7E6E6" w:themeFill="background2"/>
          </w:tcPr>
          <w:p w14:paraId="0AC94405" w14:textId="77777777" w:rsidR="00C413F3" w:rsidRPr="00D37723"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52653">
              <w:rPr>
                <w:rFonts w:asciiTheme="majorBidi" w:hAnsiTheme="majorBidi" w:cstheme="majorBidi"/>
                <w:color w:val="000000"/>
                <w:sz w:val="22"/>
              </w:rPr>
              <w:t>Média</w:t>
            </w:r>
          </w:p>
        </w:tc>
        <w:tc>
          <w:tcPr>
            <w:tcW w:w="1201" w:type="dxa"/>
            <w:tcBorders>
              <w:top w:val="nil"/>
              <w:left w:val="nil"/>
              <w:bottom w:val="nil"/>
              <w:right w:val="nil"/>
            </w:tcBorders>
            <w:shd w:val="clear" w:color="auto" w:fill="E7E6E6" w:themeFill="background2"/>
          </w:tcPr>
          <w:p w14:paraId="66432903" w14:textId="77777777" w:rsidR="00C413F3" w:rsidRPr="00D37723"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41,3810</w:t>
            </w:r>
          </w:p>
        </w:tc>
        <w:tc>
          <w:tcPr>
            <w:tcW w:w="1416" w:type="dxa"/>
            <w:tcBorders>
              <w:top w:val="nil"/>
              <w:left w:val="nil"/>
              <w:bottom w:val="nil"/>
              <w:right w:val="nil"/>
            </w:tcBorders>
            <w:shd w:val="clear" w:color="auto" w:fill="E7E6E6" w:themeFill="background2"/>
          </w:tcPr>
          <w:p w14:paraId="398956F2" w14:textId="77777777" w:rsidR="00C413F3" w:rsidRPr="00D37723"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0,69287</w:t>
            </w:r>
          </w:p>
        </w:tc>
      </w:tr>
      <w:tr w:rsidR="00C413F3" w:rsidRPr="00355D63" w14:paraId="3A07E892" w14:textId="77777777" w:rsidTr="00CE346C">
        <w:trPr>
          <w:gridAfter w:val="1"/>
          <w:wAfter w:w="77" w:type="dxa"/>
          <w:cantSplit/>
          <w:jc w:val="center"/>
        </w:trPr>
        <w:tc>
          <w:tcPr>
            <w:tcW w:w="2552" w:type="dxa"/>
            <w:vMerge/>
            <w:tcBorders>
              <w:left w:val="nil"/>
              <w:right w:val="nil"/>
            </w:tcBorders>
            <w:shd w:val="clear" w:color="auto" w:fill="FFFFFF" w:themeFill="background1"/>
            <w:vAlign w:val="bottom"/>
          </w:tcPr>
          <w:p w14:paraId="7EDBCCBA"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260" w:type="dxa"/>
            <w:tcBorders>
              <w:top w:val="nil"/>
              <w:left w:val="nil"/>
              <w:bottom w:val="nil"/>
              <w:right w:val="nil"/>
            </w:tcBorders>
            <w:shd w:val="clear" w:color="auto" w:fill="FFFFFF" w:themeFill="background1"/>
          </w:tcPr>
          <w:p w14:paraId="5149E96A" w14:textId="77777777" w:rsidR="00C413F3" w:rsidRPr="00D37723"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52653">
              <w:rPr>
                <w:rFonts w:asciiTheme="majorBidi" w:hAnsiTheme="majorBidi" w:cstheme="majorBidi"/>
                <w:color w:val="000000"/>
                <w:sz w:val="22"/>
              </w:rPr>
              <w:t>Mediana</w:t>
            </w:r>
          </w:p>
        </w:tc>
        <w:tc>
          <w:tcPr>
            <w:tcW w:w="1201" w:type="dxa"/>
            <w:tcBorders>
              <w:top w:val="nil"/>
              <w:left w:val="nil"/>
              <w:bottom w:val="nil"/>
              <w:right w:val="nil"/>
            </w:tcBorders>
            <w:shd w:val="clear" w:color="auto" w:fill="FFFFFF" w:themeFill="background1"/>
          </w:tcPr>
          <w:p w14:paraId="1B8C6C70" w14:textId="77777777" w:rsidR="00C413F3" w:rsidRPr="00D37723"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37,3571</w:t>
            </w:r>
          </w:p>
        </w:tc>
        <w:tc>
          <w:tcPr>
            <w:tcW w:w="1416" w:type="dxa"/>
            <w:tcBorders>
              <w:top w:val="nil"/>
              <w:left w:val="nil"/>
              <w:bottom w:val="nil"/>
              <w:right w:val="nil"/>
            </w:tcBorders>
            <w:shd w:val="clear" w:color="auto" w:fill="FFFFFF" w:themeFill="background1"/>
            <w:vAlign w:val="center"/>
          </w:tcPr>
          <w:p w14:paraId="7528D1DC" w14:textId="77777777" w:rsidR="00C413F3" w:rsidRPr="00D37723"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355D63" w14:paraId="47AF70B2" w14:textId="77777777" w:rsidTr="00CE346C">
        <w:trPr>
          <w:gridAfter w:val="1"/>
          <w:wAfter w:w="77" w:type="dxa"/>
          <w:cantSplit/>
          <w:jc w:val="center"/>
        </w:trPr>
        <w:tc>
          <w:tcPr>
            <w:tcW w:w="2552" w:type="dxa"/>
            <w:vMerge/>
            <w:tcBorders>
              <w:left w:val="nil"/>
              <w:right w:val="nil"/>
            </w:tcBorders>
            <w:shd w:val="clear" w:color="auto" w:fill="FFFFFF" w:themeFill="background1"/>
            <w:vAlign w:val="bottom"/>
          </w:tcPr>
          <w:p w14:paraId="5C72086C"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260" w:type="dxa"/>
            <w:tcBorders>
              <w:top w:val="nil"/>
              <w:left w:val="nil"/>
              <w:bottom w:val="nil"/>
              <w:right w:val="nil"/>
            </w:tcBorders>
            <w:shd w:val="clear" w:color="auto" w:fill="E7E6E6" w:themeFill="background2"/>
          </w:tcPr>
          <w:p w14:paraId="1DB9F9D8" w14:textId="77777777" w:rsidR="00C413F3" w:rsidRPr="00D37723"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52653">
              <w:rPr>
                <w:rFonts w:asciiTheme="majorBidi" w:hAnsiTheme="majorBidi" w:cstheme="majorBidi"/>
                <w:color w:val="000000"/>
                <w:sz w:val="22"/>
              </w:rPr>
              <w:t>Variância</w:t>
            </w:r>
          </w:p>
        </w:tc>
        <w:tc>
          <w:tcPr>
            <w:tcW w:w="1201" w:type="dxa"/>
            <w:tcBorders>
              <w:top w:val="nil"/>
              <w:left w:val="nil"/>
              <w:bottom w:val="nil"/>
              <w:right w:val="nil"/>
            </w:tcBorders>
            <w:shd w:val="clear" w:color="auto" w:fill="E7E6E6" w:themeFill="background2"/>
          </w:tcPr>
          <w:p w14:paraId="02B28872" w14:textId="77777777" w:rsidR="00C413F3" w:rsidRPr="00D37723"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348,531</w:t>
            </w:r>
          </w:p>
        </w:tc>
        <w:tc>
          <w:tcPr>
            <w:tcW w:w="1416" w:type="dxa"/>
            <w:tcBorders>
              <w:top w:val="nil"/>
              <w:left w:val="nil"/>
              <w:bottom w:val="nil"/>
              <w:right w:val="nil"/>
            </w:tcBorders>
            <w:shd w:val="clear" w:color="auto" w:fill="E7E6E6" w:themeFill="background2"/>
            <w:vAlign w:val="center"/>
          </w:tcPr>
          <w:p w14:paraId="16294101" w14:textId="77777777" w:rsidR="00C413F3" w:rsidRPr="00D37723"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355D63" w14:paraId="3555B601" w14:textId="77777777" w:rsidTr="00CE346C">
        <w:trPr>
          <w:gridAfter w:val="1"/>
          <w:wAfter w:w="77" w:type="dxa"/>
          <w:cantSplit/>
          <w:jc w:val="center"/>
        </w:trPr>
        <w:tc>
          <w:tcPr>
            <w:tcW w:w="2552" w:type="dxa"/>
            <w:vMerge/>
            <w:tcBorders>
              <w:left w:val="nil"/>
              <w:right w:val="nil"/>
            </w:tcBorders>
            <w:shd w:val="clear" w:color="auto" w:fill="FFFFFF" w:themeFill="background1"/>
            <w:vAlign w:val="bottom"/>
          </w:tcPr>
          <w:p w14:paraId="30834963"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260" w:type="dxa"/>
            <w:tcBorders>
              <w:top w:val="nil"/>
              <w:left w:val="nil"/>
              <w:bottom w:val="nil"/>
              <w:right w:val="nil"/>
            </w:tcBorders>
            <w:shd w:val="clear" w:color="auto" w:fill="FFFFFF" w:themeFill="background1"/>
          </w:tcPr>
          <w:p w14:paraId="37A323F2" w14:textId="77777777" w:rsidR="00C413F3" w:rsidRPr="00D37723"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52653">
              <w:rPr>
                <w:rFonts w:asciiTheme="majorBidi" w:hAnsiTheme="majorBidi" w:cstheme="majorBidi"/>
                <w:color w:val="000000"/>
                <w:sz w:val="22"/>
              </w:rPr>
              <w:t>Erro Padrão</w:t>
            </w:r>
          </w:p>
        </w:tc>
        <w:tc>
          <w:tcPr>
            <w:tcW w:w="1201" w:type="dxa"/>
            <w:tcBorders>
              <w:top w:val="nil"/>
              <w:left w:val="nil"/>
              <w:bottom w:val="nil"/>
              <w:right w:val="nil"/>
            </w:tcBorders>
            <w:shd w:val="clear" w:color="auto" w:fill="FFFFFF" w:themeFill="background1"/>
          </w:tcPr>
          <w:p w14:paraId="08A6D19C" w14:textId="77777777" w:rsidR="00C413F3" w:rsidRPr="00D37723"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18,66898</w:t>
            </w:r>
          </w:p>
        </w:tc>
        <w:tc>
          <w:tcPr>
            <w:tcW w:w="1416" w:type="dxa"/>
            <w:tcBorders>
              <w:top w:val="nil"/>
              <w:left w:val="nil"/>
              <w:bottom w:val="nil"/>
              <w:right w:val="nil"/>
            </w:tcBorders>
            <w:shd w:val="clear" w:color="auto" w:fill="FFFFFF" w:themeFill="background1"/>
            <w:vAlign w:val="center"/>
          </w:tcPr>
          <w:p w14:paraId="02C40739" w14:textId="77777777" w:rsidR="00C413F3" w:rsidRPr="00D37723"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355D63" w14:paraId="78B8FFB7" w14:textId="77777777" w:rsidTr="00CE346C">
        <w:trPr>
          <w:gridAfter w:val="1"/>
          <w:wAfter w:w="77" w:type="dxa"/>
          <w:cantSplit/>
          <w:jc w:val="center"/>
        </w:trPr>
        <w:tc>
          <w:tcPr>
            <w:tcW w:w="2552" w:type="dxa"/>
            <w:vMerge/>
            <w:tcBorders>
              <w:left w:val="nil"/>
              <w:right w:val="nil"/>
            </w:tcBorders>
            <w:shd w:val="clear" w:color="auto" w:fill="FFFFFF" w:themeFill="background1"/>
            <w:vAlign w:val="bottom"/>
          </w:tcPr>
          <w:p w14:paraId="343402DB"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260" w:type="dxa"/>
            <w:tcBorders>
              <w:top w:val="nil"/>
              <w:left w:val="nil"/>
              <w:bottom w:val="nil"/>
              <w:right w:val="nil"/>
            </w:tcBorders>
            <w:shd w:val="clear" w:color="auto" w:fill="E7E6E6" w:themeFill="background2"/>
          </w:tcPr>
          <w:p w14:paraId="4A5E68C5" w14:textId="77777777" w:rsidR="00C413F3" w:rsidRPr="00D37723"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52653">
              <w:rPr>
                <w:rFonts w:asciiTheme="majorBidi" w:hAnsiTheme="majorBidi" w:cstheme="majorBidi"/>
                <w:color w:val="000000"/>
                <w:sz w:val="22"/>
              </w:rPr>
              <w:t>Mínimo</w:t>
            </w:r>
          </w:p>
        </w:tc>
        <w:tc>
          <w:tcPr>
            <w:tcW w:w="1201" w:type="dxa"/>
            <w:tcBorders>
              <w:top w:val="nil"/>
              <w:left w:val="nil"/>
              <w:bottom w:val="nil"/>
              <w:right w:val="nil"/>
            </w:tcBorders>
            <w:shd w:val="clear" w:color="auto" w:fill="E7E6E6" w:themeFill="background2"/>
          </w:tcPr>
          <w:p w14:paraId="22E625E9" w14:textId="77777777" w:rsidR="00C413F3" w:rsidRPr="00D37723"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0,82</w:t>
            </w:r>
          </w:p>
        </w:tc>
        <w:tc>
          <w:tcPr>
            <w:tcW w:w="1416" w:type="dxa"/>
            <w:tcBorders>
              <w:top w:val="nil"/>
              <w:left w:val="nil"/>
              <w:bottom w:val="nil"/>
              <w:right w:val="nil"/>
            </w:tcBorders>
            <w:shd w:val="clear" w:color="auto" w:fill="E7E6E6" w:themeFill="background2"/>
            <w:vAlign w:val="center"/>
          </w:tcPr>
          <w:p w14:paraId="72491509" w14:textId="77777777" w:rsidR="00C413F3" w:rsidRPr="00D37723"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355D63" w14:paraId="33F48FF0" w14:textId="77777777" w:rsidTr="00CE346C">
        <w:trPr>
          <w:gridAfter w:val="1"/>
          <w:wAfter w:w="77" w:type="dxa"/>
          <w:cantSplit/>
          <w:jc w:val="center"/>
        </w:trPr>
        <w:tc>
          <w:tcPr>
            <w:tcW w:w="2552" w:type="dxa"/>
            <w:vMerge/>
            <w:tcBorders>
              <w:left w:val="nil"/>
              <w:right w:val="nil"/>
            </w:tcBorders>
            <w:shd w:val="clear" w:color="auto" w:fill="FFFFFF" w:themeFill="background1"/>
            <w:vAlign w:val="bottom"/>
          </w:tcPr>
          <w:p w14:paraId="6C36FCA6"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260" w:type="dxa"/>
            <w:tcBorders>
              <w:top w:val="nil"/>
              <w:left w:val="nil"/>
              <w:bottom w:val="nil"/>
              <w:right w:val="nil"/>
            </w:tcBorders>
            <w:shd w:val="clear" w:color="auto" w:fill="FFFFFF" w:themeFill="background1"/>
          </w:tcPr>
          <w:p w14:paraId="14875F2C" w14:textId="77777777" w:rsidR="00C413F3" w:rsidRPr="00D37723"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52653">
              <w:rPr>
                <w:rFonts w:asciiTheme="majorBidi" w:hAnsiTheme="majorBidi" w:cstheme="majorBidi"/>
                <w:color w:val="000000"/>
                <w:sz w:val="22"/>
              </w:rPr>
              <w:t>Máximo</w:t>
            </w:r>
          </w:p>
        </w:tc>
        <w:tc>
          <w:tcPr>
            <w:tcW w:w="1201" w:type="dxa"/>
            <w:tcBorders>
              <w:top w:val="nil"/>
              <w:left w:val="nil"/>
              <w:bottom w:val="nil"/>
              <w:right w:val="nil"/>
            </w:tcBorders>
            <w:shd w:val="clear" w:color="auto" w:fill="FFFFFF" w:themeFill="background1"/>
          </w:tcPr>
          <w:p w14:paraId="285ADFFF" w14:textId="77777777" w:rsidR="00C413F3" w:rsidRPr="00D37723"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100,00</w:t>
            </w:r>
          </w:p>
        </w:tc>
        <w:tc>
          <w:tcPr>
            <w:tcW w:w="1416" w:type="dxa"/>
            <w:tcBorders>
              <w:top w:val="nil"/>
              <w:left w:val="nil"/>
              <w:bottom w:val="nil"/>
              <w:right w:val="nil"/>
            </w:tcBorders>
            <w:shd w:val="clear" w:color="auto" w:fill="FFFFFF" w:themeFill="background1"/>
            <w:vAlign w:val="center"/>
          </w:tcPr>
          <w:p w14:paraId="414FF847" w14:textId="77777777" w:rsidR="00C413F3" w:rsidRPr="00D37723"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355D63" w14:paraId="6C6D9717" w14:textId="77777777" w:rsidTr="00CE346C">
        <w:trPr>
          <w:gridAfter w:val="1"/>
          <w:wAfter w:w="77" w:type="dxa"/>
          <w:cantSplit/>
          <w:jc w:val="center"/>
        </w:trPr>
        <w:tc>
          <w:tcPr>
            <w:tcW w:w="2552" w:type="dxa"/>
            <w:vMerge/>
            <w:tcBorders>
              <w:left w:val="nil"/>
              <w:right w:val="nil"/>
            </w:tcBorders>
            <w:shd w:val="clear" w:color="auto" w:fill="FFFFFF" w:themeFill="background1"/>
            <w:vAlign w:val="bottom"/>
          </w:tcPr>
          <w:p w14:paraId="4842C35A"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260" w:type="dxa"/>
            <w:tcBorders>
              <w:top w:val="nil"/>
              <w:left w:val="nil"/>
              <w:bottom w:val="nil"/>
              <w:right w:val="nil"/>
            </w:tcBorders>
            <w:shd w:val="clear" w:color="auto" w:fill="E7E6E6" w:themeFill="background2"/>
          </w:tcPr>
          <w:p w14:paraId="444D3361" w14:textId="77777777" w:rsidR="00C413F3" w:rsidRPr="00D37723"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52653">
              <w:rPr>
                <w:rFonts w:asciiTheme="majorBidi" w:hAnsiTheme="majorBidi" w:cstheme="majorBidi"/>
                <w:color w:val="000000"/>
                <w:sz w:val="22"/>
              </w:rPr>
              <w:t>Amplitude</w:t>
            </w:r>
          </w:p>
        </w:tc>
        <w:tc>
          <w:tcPr>
            <w:tcW w:w="1201" w:type="dxa"/>
            <w:tcBorders>
              <w:top w:val="nil"/>
              <w:left w:val="nil"/>
              <w:bottom w:val="nil"/>
              <w:right w:val="nil"/>
            </w:tcBorders>
            <w:shd w:val="clear" w:color="auto" w:fill="E7E6E6" w:themeFill="background2"/>
          </w:tcPr>
          <w:p w14:paraId="60B8E85A" w14:textId="77777777" w:rsidR="00C413F3" w:rsidRPr="00D37723"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99,18</w:t>
            </w:r>
          </w:p>
        </w:tc>
        <w:tc>
          <w:tcPr>
            <w:tcW w:w="1416" w:type="dxa"/>
            <w:tcBorders>
              <w:top w:val="nil"/>
              <w:left w:val="nil"/>
              <w:bottom w:val="nil"/>
              <w:right w:val="nil"/>
            </w:tcBorders>
            <w:shd w:val="clear" w:color="auto" w:fill="E7E6E6" w:themeFill="background2"/>
            <w:vAlign w:val="center"/>
          </w:tcPr>
          <w:p w14:paraId="30B6B5EA" w14:textId="77777777" w:rsidR="00C413F3" w:rsidRPr="00D37723"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355D63" w14:paraId="5C3B5404" w14:textId="77777777" w:rsidTr="00CE346C">
        <w:trPr>
          <w:gridAfter w:val="1"/>
          <w:wAfter w:w="77" w:type="dxa"/>
          <w:cantSplit/>
          <w:jc w:val="center"/>
        </w:trPr>
        <w:tc>
          <w:tcPr>
            <w:tcW w:w="2552" w:type="dxa"/>
            <w:vMerge/>
            <w:tcBorders>
              <w:left w:val="nil"/>
              <w:right w:val="nil"/>
            </w:tcBorders>
            <w:shd w:val="clear" w:color="auto" w:fill="FFFFFF" w:themeFill="background1"/>
            <w:vAlign w:val="bottom"/>
          </w:tcPr>
          <w:p w14:paraId="434A3954"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260" w:type="dxa"/>
            <w:tcBorders>
              <w:top w:val="nil"/>
              <w:left w:val="nil"/>
              <w:bottom w:val="nil"/>
              <w:right w:val="nil"/>
            </w:tcBorders>
            <w:shd w:val="clear" w:color="auto" w:fill="FFFFFF" w:themeFill="background1"/>
          </w:tcPr>
          <w:p w14:paraId="11861B9E" w14:textId="77777777" w:rsidR="00C413F3" w:rsidRPr="00D37723"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52653">
              <w:rPr>
                <w:rFonts w:asciiTheme="majorBidi" w:hAnsiTheme="majorBidi" w:cstheme="majorBidi"/>
                <w:color w:val="000000"/>
                <w:sz w:val="22"/>
              </w:rPr>
              <w:t>Amplitude interquartil</w:t>
            </w:r>
          </w:p>
        </w:tc>
        <w:tc>
          <w:tcPr>
            <w:tcW w:w="1201" w:type="dxa"/>
            <w:tcBorders>
              <w:top w:val="nil"/>
              <w:left w:val="nil"/>
              <w:bottom w:val="nil"/>
              <w:right w:val="nil"/>
            </w:tcBorders>
            <w:shd w:val="clear" w:color="auto" w:fill="FFFFFF" w:themeFill="background1"/>
          </w:tcPr>
          <w:p w14:paraId="60DE368B" w14:textId="77777777" w:rsidR="00C413F3" w:rsidRPr="00D37723"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22,39</w:t>
            </w:r>
          </w:p>
        </w:tc>
        <w:tc>
          <w:tcPr>
            <w:tcW w:w="1416" w:type="dxa"/>
            <w:tcBorders>
              <w:top w:val="nil"/>
              <w:left w:val="nil"/>
              <w:bottom w:val="nil"/>
              <w:right w:val="nil"/>
            </w:tcBorders>
            <w:shd w:val="clear" w:color="auto" w:fill="FFFFFF" w:themeFill="background1"/>
            <w:vAlign w:val="center"/>
          </w:tcPr>
          <w:p w14:paraId="47DF4A89" w14:textId="77777777" w:rsidR="00C413F3" w:rsidRPr="00D37723"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413F3" w:rsidRPr="00355D63" w14:paraId="456358F0" w14:textId="77777777" w:rsidTr="00CE346C">
        <w:trPr>
          <w:gridAfter w:val="1"/>
          <w:wAfter w:w="77" w:type="dxa"/>
          <w:cantSplit/>
          <w:jc w:val="center"/>
        </w:trPr>
        <w:tc>
          <w:tcPr>
            <w:tcW w:w="2552" w:type="dxa"/>
            <w:vMerge/>
            <w:tcBorders>
              <w:left w:val="nil"/>
              <w:right w:val="nil"/>
            </w:tcBorders>
            <w:shd w:val="clear" w:color="auto" w:fill="FFFFFF" w:themeFill="background1"/>
            <w:vAlign w:val="bottom"/>
          </w:tcPr>
          <w:p w14:paraId="6B130D05"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260" w:type="dxa"/>
            <w:tcBorders>
              <w:top w:val="nil"/>
              <w:left w:val="nil"/>
              <w:bottom w:val="nil"/>
              <w:right w:val="nil"/>
            </w:tcBorders>
            <w:shd w:val="clear" w:color="auto" w:fill="E7E6E6" w:themeFill="background2"/>
          </w:tcPr>
          <w:p w14:paraId="54E7646A" w14:textId="77777777" w:rsidR="00C413F3" w:rsidRPr="00D37723"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52653">
              <w:rPr>
                <w:rFonts w:asciiTheme="majorBidi" w:hAnsiTheme="majorBidi" w:cstheme="majorBidi"/>
                <w:color w:val="000000"/>
                <w:sz w:val="22"/>
              </w:rPr>
              <w:t>Assimetria</w:t>
            </w:r>
          </w:p>
        </w:tc>
        <w:tc>
          <w:tcPr>
            <w:tcW w:w="1201" w:type="dxa"/>
            <w:tcBorders>
              <w:top w:val="nil"/>
              <w:left w:val="nil"/>
              <w:bottom w:val="nil"/>
              <w:right w:val="nil"/>
            </w:tcBorders>
            <w:shd w:val="clear" w:color="auto" w:fill="E7E6E6" w:themeFill="background2"/>
          </w:tcPr>
          <w:p w14:paraId="4C040A0D" w14:textId="77777777" w:rsidR="00C413F3" w:rsidRPr="00D37723"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0,858</w:t>
            </w:r>
          </w:p>
        </w:tc>
        <w:tc>
          <w:tcPr>
            <w:tcW w:w="1416" w:type="dxa"/>
            <w:tcBorders>
              <w:top w:val="nil"/>
              <w:left w:val="nil"/>
              <w:bottom w:val="nil"/>
              <w:right w:val="nil"/>
            </w:tcBorders>
            <w:shd w:val="clear" w:color="auto" w:fill="E7E6E6" w:themeFill="background2"/>
          </w:tcPr>
          <w:p w14:paraId="520282DE" w14:textId="77777777" w:rsidR="00C413F3" w:rsidRPr="00D37723"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0,091</w:t>
            </w:r>
          </w:p>
        </w:tc>
      </w:tr>
      <w:tr w:rsidR="00C413F3" w:rsidRPr="00355D63" w14:paraId="23AC3E2B" w14:textId="77777777" w:rsidTr="00CE346C">
        <w:trPr>
          <w:gridAfter w:val="1"/>
          <w:wAfter w:w="77" w:type="dxa"/>
          <w:cantSplit/>
          <w:jc w:val="center"/>
        </w:trPr>
        <w:tc>
          <w:tcPr>
            <w:tcW w:w="2552" w:type="dxa"/>
            <w:vMerge/>
            <w:tcBorders>
              <w:left w:val="nil"/>
              <w:bottom w:val="double" w:sz="4" w:space="0" w:color="auto"/>
              <w:right w:val="nil"/>
            </w:tcBorders>
            <w:shd w:val="clear" w:color="auto" w:fill="FFFFFF" w:themeFill="background1"/>
            <w:vAlign w:val="bottom"/>
          </w:tcPr>
          <w:p w14:paraId="0F57C44F" w14:textId="77777777" w:rsidR="00C413F3" w:rsidRPr="00CB57E5" w:rsidRDefault="00C413F3"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260" w:type="dxa"/>
            <w:tcBorders>
              <w:top w:val="nil"/>
              <w:left w:val="nil"/>
              <w:bottom w:val="double" w:sz="4" w:space="0" w:color="auto"/>
              <w:right w:val="nil"/>
            </w:tcBorders>
            <w:shd w:val="clear" w:color="auto" w:fill="FFFFFF" w:themeFill="background1"/>
          </w:tcPr>
          <w:p w14:paraId="3512CB5D" w14:textId="77777777" w:rsidR="00C413F3" w:rsidRPr="00D37723" w:rsidRDefault="00C413F3"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proofErr w:type="spellStart"/>
            <w:r w:rsidRPr="00C52653">
              <w:rPr>
                <w:rFonts w:asciiTheme="majorBidi" w:hAnsiTheme="majorBidi" w:cstheme="majorBidi"/>
                <w:color w:val="000000"/>
                <w:sz w:val="22"/>
              </w:rPr>
              <w:t>Curtose</w:t>
            </w:r>
            <w:proofErr w:type="spellEnd"/>
          </w:p>
        </w:tc>
        <w:tc>
          <w:tcPr>
            <w:tcW w:w="1201" w:type="dxa"/>
            <w:tcBorders>
              <w:top w:val="nil"/>
              <w:left w:val="nil"/>
              <w:bottom w:val="double" w:sz="4" w:space="0" w:color="auto"/>
              <w:right w:val="nil"/>
            </w:tcBorders>
            <w:shd w:val="clear" w:color="auto" w:fill="FFFFFF" w:themeFill="background1"/>
          </w:tcPr>
          <w:p w14:paraId="2D107F42" w14:textId="77777777" w:rsidR="00C413F3" w:rsidRPr="00D37723"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0,456</w:t>
            </w:r>
          </w:p>
        </w:tc>
        <w:tc>
          <w:tcPr>
            <w:tcW w:w="1416" w:type="dxa"/>
            <w:tcBorders>
              <w:top w:val="nil"/>
              <w:left w:val="nil"/>
              <w:bottom w:val="double" w:sz="4" w:space="0" w:color="auto"/>
              <w:right w:val="nil"/>
            </w:tcBorders>
            <w:shd w:val="clear" w:color="auto" w:fill="FFFFFF" w:themeFill="background1"/>
          </w:tcPr>
          <w:p w14:paraId="6CEEE3F6" w14:textId="77777777" w:rsidR="00C413F3" w:rsidRPr="00D37723" w:rsidRDefault="00C413F3"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C52653">
              <w:rPr>
                <w:rFonts w:asciiTheme="majorBidi" w:hAnsiTheme="majorBidi" w:cstheme="majorBidi"/>
                <w:color w:val="000000"/>
                <w:sz w:val="22"/>
              </w:rPr>
              <w:t>0,181</w:t>
            </w:r>
          </w:p>
        </w:tc>
      </w:tr>
    </w:tbl>
    <w:p w14:paraId="27F6FD6D" w14:textId="58327FB7" w:rsidR="003E006E" w:rsidRDefault="00CE346C" w:rsidP="00CE346C">
      <w:pPr>
        <w:spacing w:before="240" w:line="360" w:lineRule="auto"/>
        <w:jc w:val="both"/>
        <w:rPr>
          <w:rFonts w:eastAsiaTheme="minorEastAsia" w:cs="Times New Roman"/>
          <w:szCs w:val="24"/>
        </w:rPr>
      </w:pPr>
      <w:r>
        <w:rPr>
          <w:rFonts w:cs="Times New Roman"/>
        </w:rPr>
        <w:t xml:space="preserve">Como se pode </w:t>
      </w:r>
      <w:r w:rsidR="00D9490A">
        <w:rPr>
          <w:rFonts w:cs="Times New Roman"/>
        </w:rPr>
        <w:t>constatar</w:t>
      </w:r>
      <w:r>
        <w:rPr>
          <w:rFonts w:cs="Times New Roman"/>
        </w:rPr>
        <w:t xml:space="preserve">, </w:t>
      </w:r>
      <w:r w:rsidR="00376BD9">
        <w:rPr>
          <w:rFonts w:cs="Times New Roman"/>
        </w:rPr>
        <w:t>814</w:t>
      </w:r>
      <w:r w:rsidR="00D9490A">
        <w:rPr>
          <w:rFonts w:cs="Times New Roman"/>
        </w:rPr>
        <w:t xml:space="preserve"> observações estão incluídas no grupo de</w:t>
      </w:r>
      <w:r w:rsidR="00376BD9">
        <w:rPr>
          <w:rFonts w:cs="Times New Roman"/>
        </w:rPr>
        <w:t xml:space="preserve"> municípios </w:t>
      </w:r>
      <w:r w:rsidR="00D9490A">
        <w:rPr>
          <w:rFonts w:cs="Times New Roman"/>
        </w:rPr>
        <w:t xml:space="preserve">que </w:t>
      </w:r>
      <w:r w:rsidR="00376BD9">
        <w:rPr>
          <w:rFonts w:cs="Times New Roman"/>
        </w:rPr>
        <w:t>apresentam menores ta</w:t>
      </w:r>
      <w:r w:rsidR="00D9490A">
        <w:rPr>
          <w:rFonts w:cs="Times New Roman"/>
        </w:rPr>
        <w:t>x</w:t>
      </w:r>
      <w:r w:rsidR="00376BD9">
        <w:rPr>
          <w:rFonts w:cs="Times New Roman"/>
        </w:rPr>
        <w:t>as de população idosa e 726</w:t>
      </w:r>
      <w:r w:rsidR="00D9490A">
        <w:rPr>
          <w:rFonts w:cs="Times New Roman"/>
        </w:rPr>
        <w:t xml:space="preserve"> observações no grupo de</w:t>
      </w:r>
      <w:r w:rsidR="00376BD9">
        <w:rPr>
          <w:rFonts w:cs="Times New Roman"/>
        </w:rPr>
        <w:t xml:space="preserve"> municípios </w:t>
      </w:r>
      <w:r w:rsidR="00D9490A">
        <w:rPr>
          <w:rFonts w:cs="Times New Roman"/>
        </w:rPr>
        <w:t>com</w:t>
      </w:r>
      <w:r w:rsidR="00376BD9">
        <w:rPr>
          <w:rFonts w:cs="Times New Roman"/>
        </w:rPr>
        <w:t xml:space="preserve"> maiores taxas de população idosa. O</w:t>
      </w:r>
      <w:r>
        <w:rPr>
          <w:rFonts w:cs="Times New Roman"/>
        </w:rPr>
        <w:t xml:space="preserve">s valores médios do ITM, dos </w:t>
      </w:r>
      <w:r w:rsidRPr="007C6002">
        <w:rPr>
          <w:rFonts w:cs="Times New Roman"/>
        </w:rPr>
        <w:t xml:space="preserve">municípios </w:t>
      </w:r>
      <w:r>
        <w:rPr>
          <w:rFonts w:cs="Times New Roman"/>
        </w:rPr>
        <w:t xml:space="preserve">com menor taxa de população idosa </w:t>
      </w:r>
      <w:r w:rsidRPr="002C3799">
        <w:rPr>
          <w:rFonts w:cs="Times New Roman"/>
        </w:rPr>
        <w:t>(4</w:t>
      </w:r>
      <w:r>
        <w:rPr>
          <w:rFonts w:cs="Times New Roman"/>
        </w:rPr>
        <w:t>4</w:t>
      </w:r>
      <w:r w:rsidRPr="002C3799">
        <w:rPr>
          <w:rFonts w:cs="Times New Roman"/>
        </w:rPr>
        <w:t>,</w:t>
      </w:r>
      <w:r>
        <w:rPr>
          <w:rFonts w:cs="Times New Roman"/>
        </w:rPr>
        <w:t>2081</w:t>
      </w:r>
      <w:r w:rsidRPr="002C3799">
        <w:rPr>
          <w:rFonts w:cs="Times New Roman"/>
        </w:rPr>
        <w:t>)</w:t>
      </w:r>
      <w:r>
        <w:rPr>
          <w:rFonts w:cs="Times New Roman"/>
        </w:rPr>
        <w:t xml:space="preserve"> apresentam-se superiores a</w:t>
      </w:r>
      <w:r w:rsidRPr="006E6A5C">
        <w:rPr>
          <w:rFonts w:cs="Times New Roman"/>
        </w:rPr>
        <w:t>os</w:t>
      </w:r>
      <w:r>
        <w:rPr>
          <w:rFonts w:cs="Times New Roman"/>
        </w:rPr>
        <w:t xml:space="preserve"> municípios com maior taxa de população de idosa </w:t>
      </w:r>
      <w:r w:rsidRPr="002C3799">
        <w:rPr>
          <w:rFonts w:cs="Times New Roman"/>
        </w:rPr>
        <w:t>(</w:t>
      </w:r>
      <w:r>
        <w:rPr>
          <w:rFonts w:cs="Times New Roman"/>
        </w:rPr>
        <w:t>41,3810</w:t>
      </w:r>
      <w:r w:rsidRPr="002C3799">
        <w:rPr>
          <w:rFonts w:cs="Times New Roman"/>
        </w:rPr>
        <w:t>)</w:t>
      </w:r>
      <w:r>
        <w:rPr>
          <w:rFonts w:cs="Times New Roman"/>
        </w:rPr>
        <w:t>, para os 5 anos em análise.</w:t>
      </w:r>
      <w:r w:rsidR="009C5227">
        <w:rPr>
          <w:rFonts w:cs="Times New Roman"/>
        </w:rPr>
        <w:t xml:space="preserve"> </w:t>
      </w:r>
      <w:r>
        <w:rPr>
          <w:rFonts w:cs="Times New Roman"/>
        </w:rPr>
        <w:t>A</w:t>
      </w:r>
      <w:r w:rsidRPr="002C3799">
        <w:rPr>
          <w:rFonts w:cs="Times New Roman"/>
        </w:rPr>
        <w:t>mbas as distribuições apresentam assimetria</w:t>
      </w:r>
      <w:r>
        <w:rPr>
          <w:rFonts w:cs="Times New Roman"/>
          <w:color w:val="000000"/>
          <w:sz w:val="22"/>
        </w:rPr>
        <w:t xml:space="preserve">  </w:t>
      </w:r>
      <m:oMath>
        <m:f>
          <m:fPr>
            <m:ctrlPr>
              <w:rPr>
                <w:rFonts w:ascii="Cambria Math" w:hAnsi="Cambria Math" w:cs="Times New Roman"/>
                <w:i/>
                <w:szCs w:val="24"/>
              </w:rPr>
            </m:ctrlPr>
          </m:fPr>
          <m:num>
            <m:r>
              <m:rPr>
                <m:sty m:val="p"/>
              </m:rPr>
              <w:rPr>
                <w:rFonts w:ascii="Cambria Math" w:hAnsi="Cambria Math" w:cs="Times New Roman"/>
                <w:sz w:val="22"/>
              </w:rPr>
              <m:t>0,677</m:t>
            </m:r>
          </m:num>
          <m:den>
            <m:r>
              <m:rPr>
                <m:sty m:val="p"/>
              </m:rPr>
              <w:rPr>
                <w:rFonts w:ascii="Cambria Math" w:hAnsi="Cambria Math" w:cs="Times New Roman"/>
                <w:sz w:val="22"/>
              </w:rPr>
              <m:t>0,086</m:t>
            </m:r>
          </m:den>
        </m:f>
        <m:r>
          <w:rPr>
            <w:rFonts w:ascii="Cambria Math" w:hAnsi="Cambria Math" w:cs="Times New Roman"/>
            <w:szCs w:val="24"/>
          </w:rPr>
          <m:t>=7,872&gt;1,96</m:t>
        </m:r>
      </m:oMath>
      <w:r w:rsidRPr="00710121">
        <w:rPr>
          <w:rFonts w:eastAsiaTheme="minorEastAsia" w:cs="Times New Roman"/>
          <w:szCs w:val="24"/>
        </w:rPr>
        <w:t xml:space="preserve"> e </w:t>
      </w:r>
      <m:oMath>
        <m:f>
          <m:fPr>
            <m:ctrlPr>
              <w:rPr>
                <w:rFonts w:ascii="Cambria Math" w:hAnsi="Cambria Math" w:cs="Times New Roman"/>
                <w:i/>
                <w:szCs w:val="24"/>
              </w:rPr>
            </m:ctrlPr>
          </m:fPr>
          <m:num>
            <m:r>
              <m:rPr>
                <m:sty m:val="p"/>
              </m:rPr>
              <w:rPr>
                <w:rFonts w:ascii="Cambria Math" w:hAnsi="Cambria Math" w:cs="Times New Roman"/>
                <w:sz w:val="22"/>
              </w:rPr>
              <m:t>0,858</m:t>
            </m:r>
          </m:num>
          <m:den>
            <m:r>
              <m:rPr>
                <m:sty m:val="p"/>
              </m:rPr>
              <w:rPr>
                <w:rFonts w:ascii="Cambria Math" w:hAnsi="Cambria Math" w:cs="Times New Roman"/>
                <w:sz w:val="22"/>
              </w:rPr>
              <m:t>0,091</m:t>
            </m:r>
          </m:den>
        </m:f>
        <m:r>
          <w:rPr>
            <w:rFonts w:ascii="Cambria Math" w:hAnsi="Cambria Math" w:cs="Times New Roman"/>
            <w:szCs w:val="24"/>
          </w:rPr>
          <m:t>=9,429&gt;1,96,</m:t>
        </m:r>
      </m:oMath>
      <w:r w:rsidRPr="00710121">
        <w:rPr>
          <w:rFonts w:eastAsiaTheme="minorEastAsia" w:cs="Times New Roman"/>
          <w:szCs w:val="24"/>
        </w:rPr>
        <w:t xml:space="preserve"> o que nos levou, a depois de analisa</w:t>
      </w:r>
      <w:r>
        <w:rPr>
          <w:rFonts w:eastAsiaTheme="minorEastAsia" w:cs="Times New Roman"/>
          <w:szCs w:val="24"/>
        </w:rPr>
        <w:t>r</w:t>
      </w:r>
      <w:r w:rsidRPr="00710121">
        <w:rPr>
          <w:rFonts w:eastAsiaTheme="minorEastAsia" w:cs="Times New Roman"/>
          <w:szCs w:val="24"/>
        </w:rPr>
        <w:t xml:space="preserve"> a normalidade </w:t>
      </w:r>
      <w:r w:rsidRPr="00990766">
        <w:rPr>
          <w:rFonts w:eastAsiaTheme="minorEastAsia" w:cs="Times New Roman"/>
          <w:szCs w:val="24"/>
        </w:rPr>
        <w:t>(</w:t>
      </w:r>
      <w:r w:rsidR="00F338BB">
        <w:rPr>
          <w:rFonts w:eastAsiaTheme="minorEastAsia" w:cs="Times New Roman"/>
          <w:szCs w:val="24"/>
        </w:rPr>
        <w:t>A</w:t>
      </w:r>
      <w:r w:rsidR="00990766" w:rsidRPr="00990766">
        <w:rPr>
          <w:rFonts w:eastAsiaTheme="minorEastAsia" w:cs="Times New Roman"/>
          <w:szCs w:val="24"/>
        </w:rPr>
        <w:t>pêndice</w:t>
      </w:r>
      <w:r w:rsidRPr="00990766">
        <w:rPr>
          <w:rFonts w:eastAsiaTheme="minorEastAsia" w:cs="Times New Roman"/>
          <w:szCs w:val="24"/>
        </w:rPr>
        <w:t xml:space="preserve"> 1)</w:t>
      </w:r>
      <w:r w:rsidRPr="00710121">
        <w:rPr>
          <w:rFonts w:eastAsiaTheme="minorEastAsia" w:cs="Times New Roman"/>
          <w:szCs w:val="24"/>
        </w:rPr>
        <w:t xml:space="preserve"> das distribuições continuar a análise descrita nos pontos 4.3.2 e 4.3.3. </w:t>
      </w:r>
    </w:p>
    <w:p w14:paraId="49A1864C" w14:textId="77777777" w:rsidR="00803EBB" w:rsidRPr="00F011C8" w:rsidRDefault="00803EBB" w:rsidP="00803EBB">
      <w:pPr>
        <w:spacing w:before="240" w:line="360" w:lineRule="auto"/>
        <w:jc w:val="both"/>
        <w:rPr>
          <w:rFonts w:cs="Times New Roman"/>
        </w:rPr>
      </w:pPr>
      <w:r w:rsidRPr="00F011C8">
        <w:rPr>
          <w:rFonts w:cs="Times New Roman"/>
        </w:rPr>
        <w:t>Desta forma, apresenta-se o Gráfico 4.5 que relaciona os valores médios do ITM e os valores da taxa de população idosa para cada ano em estudo (2013 – 2017).</w:t>
      </w:r>
    </w:p>
    <w:p w14:paraId="40D20DE7" w14:textId="36BD589F" w:rsidR="00360329" w:rsidRPr="00360329" w:rsidRDefault="00360329" w:rsidP="00360329">
      <w:pPr>
        <w:spacing w:before="240" w:after="0" w:line="360" w:lineRule="auto"/>
        <w:jc w:val="center"/>
        <w:rPr>
          <w:rFonts w:cs="Times New Roman"/>
        </w:rPr>
      </w:pPr>
      <w:bookmarkStart w:id="104" w:name="_Toc66624277"/>
      <w:r w:rsidRPr="00360329">
        <w:rPr>
          <w:rFonts w:cs="Times New Roman"/>
          <w:b/>
          <w:bCs/>
        </w:rPr>
        <w:lastRenderedPageBreak/>
        <w:t xml:space="preserve">Gráfico </w:t>
      </w:r>
      <w:r w:rsidRPr="00360329">
        <w:rPr>
          <w:rFonts w:cs="Times New Roman"/>
          <w:b/>
          <w:bCs/>
        </w:rPr>
        <w:fldChar w:fldCharType="begin"/>
      </w:r>
      <w:r w:rsidRPr="00360329">
        <w:rPr>
          <w:rFonts w:cs="Times New Roman"/>
          <w:b/>
          <w:bCs/>
        </w:rPr>
        <w:instrText xml:space="preserve"> STYLEREF 1 \s </w:instrText>
      </w:r>
      <w:r w:rsidRPr="00360329">
        <w:rPr>
          <w:rFonts w:cs="Times New Roman"/>
          <w:b/>
          <w:bCs/>
        </w:rPr>
        <w:fldChar w:fldCharType="separate"/>
      </w:r>
      <w:r w:rsidR="00380A6F">
        <w:rPr>
          <w:rFonts w:cs="Times New Roman"/>
          <w:b/>
          <w:bCs/>
          <w:noProof/>
        </w:rPr>
        <w:t>4</w:t>
      </w:r>
      <w:r w:rsidRPr="00360329">
        <w:rPr>
          <w:rFonts w:cs="Times New Roman"/>
          <w:b/>
          <w:bCs/>
        </w:rPr>
        <w:fldChar w:fldCharType="end"/>
      </w:r>
      <w:r w:rsidRPr="00360329">
        <w:rPr>
          <w:rFonts w:cs="Times New Roman"/>
          <w:b/>
          <w:bCs/>
        </w:rPr>
        <w:t>.</w:t>
      </w:r>
      <w:r w:rsidRPr="00360329">
        <w:rPr>
          <w:rFonts w:cs="Times New Roman"/>
          <w:b/>
          <w:bCs/>
        </w:rPr>
        <w:fldChar w:fldCharType="begin"/>
      </w:r>
      <w:r w:rsidRPr="00360329">
        <w:rPr>
          <w:rFonts w:cs="Times New Roman"/>
          <w:b/>
          <w:bCs/>
        </w:rPr>
        <w:instrText xml:space="preserve"> SEQ Gráfico \* ARABIC \s 1 </w:instrText>
      </w:r>
      <w:r w:rsidRPr="00360329">
        <w:rPr>
          <w:rFonts w:cs="Times New Roman"/>
          <w:b/>
          <w:bCs/>
        </w:rPr>
        <w:fldChar w:fldCharType="separate"/>
      </w:r>
      <w:r w:rsidR="00380A6F">
        <w:rPr>
          <w:rFonts w:cs="Times New Roman"/>
          <w:b/>
          <w:bCs/>
          <w:noProof/>
        </w:rPr>
        <w:t>5</w:t>
      </w:r>
      <w:r w:rsidRPr="00360329">
        <w:rPr>
          <w:rFonts w:cs="Times New Roman"/>
          <w:b/>
          <w:bCs/>
        </w:rPr>
        <w:fldChar w:fldCharType="end"/>
      </w:r>
      <w:r w:rsidRPr="00360329">
        <w:rPr>
          <w:rFonts w:cs="Times New Roman"/>
          <w:b/>
          <w:bCs/>
        </w:rPr>
        <w:t xml:space="preserve"> –</w:t>
      </w:r>
      <w:r w:rsidRPr="00360329">
        <w:rPr>
          <w:rFonts w:cs="Times New Roman"/>
        </w:rPr>
        <w:t xml:space="preserve"> Valores médios de ITM, por taxa população idosa, por ano (2013-2017)</w:t>
      </w:r>
      <w:bookmarkEnd w:id="104"/>
    </w:p>
    <w:p w14:paraId="135EC79C" w14:textId="77777777" w:rsidR="00803EBB" w:rsidRPr="00F011C8" w:rsidRDefault="00803EBB" w:rsidP="00803EBB">
      <w:pPr>
        <w:spacing w:line="240" w:lineRule="auto"/>
        <w:jc w:val="center"/>
        <w:rPr>
          <w:rFonts w:cs="Times New Roman"/>
        </w:rPr>
      </w:pPr>
      <w:r w:rsidRPr="00F011C8">
        <w:rPr>
          <w:rFonts w:cs="Times New Roman"/>
          <w:noProof/>
        </w:rPr>
        <w:drawing>
          <wp:inline distT="0" distB="0" distL="0" distR="0" wp14:anchorId="7F74B5E8" wp14:editId="6BACF82D">
            <wp:extent cx="4572000" cy="2077200"/>
            <wp:effectExtent l="0" t="0" r="0" b="0"/>
            <wp:docPr id="16" name="Chart 16">
              <a:extLst xmlns:a="http://schemas.openxmlformats.org/drawingml/2006/main">
                <a:ext uri="{FF2B5EF4-FFF2-40B4-BE49-F238E27FC236}">
                  <a16:creationId xmlns:a16="http://schemas.microsoft.com/office/drawing/2014/main" id="{15A37C6F-0DB4-405E-A8F2-3AD13F17EBE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bl>
      <w:tblPr>
        <w:tblStyle w:val="TabelacomGrelh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20" w:firstRow="1" w:lastRow="0" w:firstColumn="0" w:lastColumn="0" w:noHBand="1" w:noVBand="1"/>
      </w:tblPr>
      <w:tblGrid>
        <w:gridCol w:w="1984"/>
        <w:gridCol w:w="1930"/>
      </w:tblGrid>
      <w:tr w:rsidR="00803EBB" w:rsidRPr="00F011C8" w14:paraId="1CB82119" w14:textId="77777777" w:rsidTr="00803EBB">
        <w:trPr>
          <w:jc w:val="center"/>
        </w:trPr>
        <w:tc>
          <w:tcPr>
            <w:tcW w:w="1984" w:type="dxa"/>
          </w:tcPr>
          <w:p w14:paraId="361C7421" w14:textId="77777777" w:rsidR="00803EBB" w:rsidRPr="00F011C8" w:rsidRDefault="00803EBB" w:rsidP="00803EBB">
            <w:pPr>
              <w:pStyle w:val="PargrafodaLista"/>
              <w:numPr>
                <w:ilvl w:val="0"/>
                <w:numId w:val="20"/>
              </w:numPr>
              <w:ind w:left="170" w:hanging="170"/>
              <w:rPr>
                <w:rFonts w:cs="Times New Roman"/>
              </w:rPr>
            </w:pPr>
            <w:r w:rsidRPr="00F011C8">
              <w:rPr>
                <w:rFonts w:cs="Times New Roman"/>
                <w:sz w:val="20"/>
                <w:szCs w:val="20"/>
              </w:rPr>
              <w:t>0</w:t>
            </w:r>
            <w:r w:rsidRPr="00F011C8">
              <w:rPr>
                <w:rFonts w:cs="Times New Roman"/>
                <w:sz w:val="18"/>
                <w:szCs w:val="18"/>
              </w:rPr>
              <w:t xml:space="preserve"> – </w:t>
            </w:r>
            <w:proofErr w:type="spellStart"/>
            <w:r w:rsidRPr="00F011C8">
              <w:rPr>
                <w:rFonts w:cs="Times New Roman"/>
                <w:sz w:val="18"/>
                <w:szCs w:val="18"/>
              </w:rPr>
              <w:t>TxPI</w:t>
            </w:r>
            <w:proofErr w:type="spellEnd"/>
            <w:r w:rsidRPr="00F011C8">
              <w:rPr>
                <w:rFonts w:cs="Times New Roman"/>
                <w:sz w:val="18"/>
                <w:szCs w:val="18"/>
              </w:rPr>
              <w:t xml:space="preserve"> &lt; </w:t>
            </w:r>
            <w:proofErr w:type="spellStart"/>
            <w:r w:rsidRPr="00F011C8">
              <w:rPr>
                <w:rFonts w:cs="Times New Roman"/>
                <w:sz w:val="18"/>
                <w:szCs w:val="18"/>
              </w:rPr>
              <w:t>MTxPI</w:t>
            </w:r>
            <w:proofErr w:type="spellEnd"/>
          </w:p>
        </w:tc>
        <w:tc>
          <w:tcPr>
            <w:tcW w:w="1930" w:type="dxa"/>
          </w:tcPr>
          <w:p w14:paraId="7C9FE243" w14:textId="77777777" w:rsidR="00803EBB" w:rsidRPr="00F011C8" w:rsidRDefault="00803EBB" w:rsidP="00803EBB">
            <w:pPr>
              <w:pStyle w:val="PargrafodaLista"/>
              <w:numPr>
                <w:ilvl w:val="0"/>
                <w:numId w:val="25"/>
              </w:numPr>
              <w:ind w:left="128" w:hanging="128"/>
              <w:rPr>
                <w:rFonts w:cs="Times New Roman"/>
              </w:rPr>
            </w:pPr>
            <w:r w:rsidRPr="00F011C8">
              <w:rPr>
                <w:rFonts w:cs="Times New Roman"/>
                <w:sz w:val="20"/>
                <w:szCs w:val="20"/>
              </w:rPr>
              <w:t>1 –</w:t>
            </w:r>
            <w:r w:rsidRPr="00F011C8">
              <w:rPr>
                <w:rFonts w:cs="Times New Roman"/>
                <w:sz w:val="28"/>
                <w:szCs w:val="24"/>
              </w:rPr>
              <w:t xml:space="preserve"> </w:t>
            </w:r>
            <w:proofErr w:type="spellStart"/>
            <w:r w:rsidRPr="00F011C8">
              <w:rPr>
                <w:rFonts w:cs="Times New Roman"/>
                <w:sz w:val="18"/>
                <w:szCs w:val="18"/>
              </w:rPr>
              <w:t>TxPI</w:t>
            </w:r>
            <w:proofErr w:type="spellEnd"/>
            <w:r w:rsidRPr="00F011C8">
              <w:rPr>
                <w:rFonts w:cs="Times New Roman"/>
                <w:sz w:val="18"/>
                <w:szCs w:val="18"/>
              </w:rPr>
              <w:t xml:space="preserve"> ≥ </w:t>
            </w:r>
            <w:proofErr w:type="spellStart"/>
            <w:r w:rsidRPr="00F011C8">
              <w:rPr>
                <w:rFonts w:cs="Times New Roman"/>
                <w:sz w:val="18"/>
                <w:szCs w:val="18"/>
              </w:rPr>
              <w:t>MTxPI</w:t>
            </w:r>
            <w:proofErr w:type="spellEnd"/>
          </w:p>
        </w:tc>
      </w:tr>
    </w:tbl>
    <w:p w14:paraId="2AFAE819" w14:textId="53D94279" w:rsidR="00803EBB" w:rsidRPr="009C5227" w:rsidRDefault="00803EBB" w:rsidP="00CE346C">
      <w:pPr>
        <w:spacing w:before="240" w:line="360" w:lineRule="auto"/>
        <w:jc w:val="both"/>
        <w:rPr>
          <w:rFonts w:cs="Times New Roman"/>
          <w:lang w:eastAsia="pt-PT"/>
        </w:rPr>
      </w:pPr>
      <w:r w:rsidRPr="00F011C8">
        <w:rPr>
          <w:rFonts w:cs="Times New Roman"/>
          <w:lang w:eastAsia="pt-PT"/>
        </w:rPr>
        <w:t>Através do Gráfico 4.5 observa-se que os municípios que apresentam menores taxas de população idosa (</w:t>
      </w:r>
      <w:proofErr w:type="spellStart"/>
      <w:r w:rsidRPr="00F011C8">
        <w:rPr>
          <w:rFonts w:cs="Times New Roman"/>
          <w:lang w:eastAsia="pt-PT"/>
        </w:rPr>
        <w:t>TxPI</w:t>
      </w:r>
      <w:proofErr w:type="spellEnd"/>
      <w:r w:rsidRPr="00F011C8">
        <w:rPr>
          <w:rFonts w:cs="Times New Roman"/>
          <w:lang w:eastAsia="pt-PT"/>
        </w:rPr>
        <w:t xml:space="preserve"> &lt; </w:t>
      </w:r>
      <w:proofErr w:type="spellStart"/>
      <w:r w:rsidRPr="00F011C8">
        <w:rPr>
          <w:rFonts w:cs="Times New Roman"/>
          <w:lang w:eastAsia="pt-PT"/>
        </w:rPr>
        <w:t>MTxPI</w:t>
      </w:r>
      <w:proofErr w:type="spellEnd"/>
      <w:r w:rsidRPr="00F011C8">
        <w:rPr>
          <w:rFonts w:cs="Times New Roman"/>
          <w:lang w:eastAsia="pt-PT"/>
        </w:rPr>
        <w:t xml:space="preserve">) apresentam ao longo dos anos valores médios de ITM mais elevados, ou seja, apresentam maiores níveis de transparência. </w:t>
      </w:r>
    </w:p>
    <w:p w14:paraId="3197D353" w14:textId="5C690865" w:rsidR="003E006E" w:rsidRPr="00F81F8A" w:rsidRDefault="003E006E" w:rsidP="003E006E">
      <w:pPr>
        <w:pStyle w:val="PargrafodaLista"/>
        <w:numPr>
          <w:ilvl w:val="0"/>
          <w:numId w:val="37"/>
        </w:numPr>
        <w:spacing w:line="360" w:lineRule="auto"/>
        <w:jc w:val="both"/>
        <w:rPr>
          <w:rFonts w:cs="Times New Roman"/>
          <w:b/>
          <w:bCs/>
        </w:rPr>
      </w:pPr>
      <w:r>
        <w:rPr>
          <w:rFonts w:cs="Times New Roman"/>
          <w:b/>
          <w:bCs/>
        </w:rPr>
        <w:t>ITM por</w:t>
      </w:r>
      <w:r>
        <w:rPr>
          <w:rFonts w:cs="Times New Roman"/>
          <w:b/>
          <w:bCs/>
          <w:shd w:val="clear" w:color="auto" w:fill="FFFFFF" w:themeFill="background1"/>
        </w:rPr>
        <w:t xml:space="preserve"> taxa de desemprego (</w:t>
      </w:r>
      <w:proofErr w:type="spellStart"/>
      <w:r>
        <w:rPr>
          <w:rFonts w:cs="Times New Roman"/>
          <w:b/>
          <w:bCs/>
          <w:shd w:val="clear" w:color="auto" w:fill="FFFFFF" w:themeFill="background1"/>
        </w:rPr>
        <w:t>TxD</w:t>
      </w:r>
      <w:proofErr w:type="spellEnd"/>
      <w:r>
        <w:rPr>
          <w:rFonts w:cs="Times New Roman"/>
          <w:b/>
          <w:bCs/>
          <w:shd w:val="clear" w:color="auto" w:fill="FFFFFF" w:themeFill="background1"/>
        </w:rPr>
        <w:t>)</w:t>
      </w:r>
    </w:p>
    <w:p w14:paraId="79ACC1C7" w14:textId="0D440BDF" w:rsidR="00E01944" w:rsidRDefault="00CE346C" w:rsidP="00E01944">
      <w:pPr>
        <w:spacing w:before="240" w:line="360" w:lineRule="auto"/>
        <w:jc w:val="both"/>
        <w:rPr>
          <w:rFonts w:cs="Times New Roman"/>
        </w:rPr>
      </w:pPr>
      <w:r>
        <w:rPr>
          <w:rFonts w:cs="Times New Roman"/>
        </w:rPr>
        <w:t>Para analisar a</w:t>
      </w:r>
      <w:r w:rsidR="00E01944">
        <w:rPr>
          <w:rFonts w:cs="Times New Roman"/>
        </w:rPr>
        <w:t xml:space="preserve"> relação entre a taxa de desemprego e os níveis de transparência</w:t>
      </w:r>
      <w:r>
        <w:rPr>
          <w:rFonts w:cs="Times New Roman"/>
        </w:rPr>
        <w:t xml:space="preserve">, </w:t>
      </w:r>
      <w:r w:rsidR="00E01944">
        <w:rPr>
          <w:rFonts w:cs="Times New Roman"/>
          <w:lang w:eastAsia="pt-PT"/>
        </w:rPr>
        <w:t>organiz</w:t>
      </w:r>
      <w:r>
        <w:rPr>
          <w:rFonts w:cs="Times New Roman"/>
          <w:lang w:eastAsia="pt-PT"/>
        </w:rPr>
        <w:t>ou</w:t>
      </w:r>
      <w:r w:rsidR="00E01944">
        <w:rPr>
          <w:rFonts w:cs="Times New Roman"/>
          <w:lang w:eastAsia="pt-PT"/>
        </w:rPr>
        <w:t>-se a informação em dois grupos:</w:t>
      </w:r>
    </w:p>
    <w:p w14:paraId="7392D8F0" w14:textId="59883803" w:rsidR="00E01944" w:rsidRPr="00C12E58" w:rsidRDefault="00E01944" w:rsidP="00E01944">
      <w:pPr>
        <w:pStyle w:val="PargrafodaLista"/>
        <w:numPr>
          <w:ilvl w:val="0"/>
          <w:numId w:val="27"/>
        </w:numPr>
        <w:spacing w:before="240" w:line="360" w:lineRule="auto"/>
        <w:jc w:val="both"/>
        <w:rPr>
          <w:rFonts w:cs="Times New Roman"/>
          <w:lang w:eastAsia="pt-PT"/>
        </w:rPr>
      </w:pPr>
      <w:r w:rsidRPr="00C12E58">
        <w:rPr>
          <w:rFonts w:cs="Times New Roman"/>
          <w:lang w:eastAsia="pt-PT"/>
        </w:rPr>
        <w:t xml:space="preserve">0 - Municípios </w:t>
      </w:r>
      <w:r w:rsidR="009F52BE">
        <w:rPr>
          <w:rFonts w:cs="Times New Roman"/>
          <w:lang w:eastAsia="pt-PT"/>
        </w:rPr>
        <w:t>com menor taxa de desemprego (</w:t>
      </w:r>
      <w:proofErr w:type="spellStart"/>
      <w:r w:rsidR="009F52BE">
        <w:rPr>
          <w:rFonts w:cs="Times New Roman"/>
          <w:lang w:eastAsia="pt-PT"/>
        </w:rPr>
        <w:t>TxD</w:t>
      </w:r>
      <w:proofErr w:type="spellEnd"/>
      <w:r w:rsidR="009F52BE">
        <w:rPr>
          <w:rFonts w:cs="Times New Roman"/>
          <w:lang w:eastAsia="pt-PT"/>
        </w:rPr>
        <w:t xml:space="preserve"> &gt; </w:t>
      </w:r>
      <w:proofErr w:type="spellStart"/>
      <w:r w:rsidR="009F52BE">
        <w:rPr>
          <w:rFonts w:cs="Times New Roman"/>
          <w:lang w:eastAsia="pt-PT"/>
        </w:rPr>
        <w:t>MTxD</w:t>
      </w:r>
      <w:proofErr w:type="spellEnd"/>
      <w:r w:rsidR="009F52BE">
        <w:rPr>
          <w:rFonts w:cs="Times New Roman"/>
          <w:lang w:eastAsia="pt-PT"/>
        </w:rPr>
        <w:t>)</w:t>
      </w:r>
    </w:p>
    <w:p w14:paraId="639973E2" w14:textId="333B5A9C" w:rsidR="00E01944" w:rsidRDefault="00E01944" w:rsidP="00E01944">
      <w:pPr>
        <w:pStyle w:val="PargrafodaLista"/>
        <w:numPr>
          <w:ilvl w:val="0"/>
          <w:numId w:val="27"/>
        </w:numPr>
        <w:spacing w:before="240" w:line="360" w:lineRule="auto"/>
        <w:jc w:val="both"/>
        <w:rPr>
          <w:rFonts w:cs="Times New Roman"/>
          <w:lang w:eastAsia="pt-PT"/>
        </w:rPr>
      </w:pPr>
      <w:r w:rsidRPr="00C12E58">
        <w:rPr>
          <w:rFonts w:cs="Times New Roman"/>
          <w:lang w:eastAsia="pt-PT"/>
        </w:rPr>
        <w:t xml:space="preserve">1 - Municípios com </w:t>
      </w:r>
      <w:r w:rsidR="009F52BE">
        <w:rPr>
          <w:rFonts w:cs="Times New Roman"/>
          <w:lang w:eastAsia="pt-PT"/>
        </w:rPr>
        <w:t xml:space="preserve">maior taxa de desemprego </w:t>
      </w:r>
      <w:r w:rsidR="00F15B7B">
        <w:rPr>
          <w:rFonts w:cs="Times New Roman"/>
          <w:lang w:eastAsia="pt-PT"/>
        </w:rPr>
        <w:t>(</w:t>
      </w:r>
      <w:proofErr w:type="spellStart"/>
      <w:r w:rsidR="00F15B7B">
        <w:rPr>
          <w:rFonts w:cs="Times New Roman"/>
          <w:lang w:eastAsia="pt-PT"/>
        </w:rPr>
        <w:t>TxD</w:t>
      </w:r>
      <w:proofErr w:type="spellEnd"/>
      <w:r w:rsidR="00F15B7B">
        <w:rPr>
          <w:rFonts w:cs="Times New Roman"/>
          <w:lang w:eastAsia="pt-PT"/>
        </w:rPr>
        <w:t xml:space="preserve"> </w:t>
      </w:r>
      <w:r w:rsidR="00046806">
        <w:rPr>
          <w:rFonts w:cs="Times New Roman"/>
          <w:lang w:eastAsia="pt-PT"/>
        </w:rPr>
        <w:t>≥</w:t>
      </w:r>
      <w:r w:rsidR="00F15B7B">
        <w:rPr>
          <w:rFonts w:cs="Times New Roman"/>
          <w:lang w:eastAsia="pt-PT"/>
        </w:rPr>
        <w:t xml:space="preserve"> </w:t>
      </w:r>
      <w:proofErr w:type="spellStart"/>
      <w:r w:rsidR="00CE346C">
        <w:rPr>
          <w:rFonts w:cs="Times New Roman"/>
          <w:lang w:eastAsia="pt-PT"/>
        </w:rPr>
        <w:t>MTxD</w:t>
      </w:r>
      <w:proofErr w:type="spellEnd"/>
      <w:r w:rsidR="00F15B7B">
        <w:rPr>
          <w:rFonts w:cs="Times New Roman"/>
          <w:lang w:eastAsia="pt-PT"/>
        </w:rPr>
        <w:t>)</w:t>
      </w:r>
      <w:r>
        <w:rPr>
          <w:rFonts w:cs="Times New Roman"/>
          <w:lang w:eastAsia="pt-PT"/>
        </w:rPr>
        <w:t>.</w:t>
      </w:r>
    </w:p>
    <w:p w14:paraId="74C85C98" w14:textId="65B9D965" w:rsidR="00CE346C" w:rsidRDefault="00046806" w:rsidP="00046806">
      <w:pPr>
        <w:spacing w:before="240" w:line="360" w:lineRule="auto"/>
        <w:jc w:val="both"/>
        <w:rPr>
          <w:rFonts w:cs="Times New Roman"/>
        </w:rPr>
      </w:pPr>
      <w:r>
        <w:rPr>
          <w:rFonts w:cs="Times New Roman"/>
          <w:lang w:eastAsia="pt-PT"/>
        </w:rPr>
        <w:t xml:space="preserve">Para esta divisão foi tido em conta a média da variável taxa de desemprego, </w:t>
      </w:r>
      <w:proofErr w:type="spellStart"/>
      <w:r>
        <w:rPr>
          <w:rFonts w:cs="Times New Roman"/>
          <w:lang w:eastAsia="pt-PT"/>
        </w:rPr>
        <w:t>MTxD</w:t>
      </w:r>
      <w:proofErr w:type="spellEnd"/>
      <w:r>
        <w:rPr>
          <w:rFonts w:cs="Times New Roman"/>
          <w:lang w:eastAsia="pt-PT"/>
        </w:rPr>
        <w:t>, (</w:t>
      </w:r>
      <w:r w:rsidR="00F338BB">
        <w:rPr>
          <w:rFonts w:cs="Times New Roman"/>
          <w:lang w:eastAsia="pt-PT"/>
        </w:rPr>
        <w:t>A</w:t>
      </w:r>
      <w:r>
        <w:rPr>
          <w:rFonts w:cs="Times New Roman"/>
          <w:lang w:eastAsia="pt-PT"/>
        </w:rPr>
        <w:t xml:space="preserve">pêndice 1). Desta forma, considera-se municípios com menor taxa de desemprego aqueles que apresentam taxas inferiores à média e municípios com maior taxa de desemprego o contrário. </w:t>
      </w:r>
      <w:r w:rsidR="00CE346C" w:rsidRPr="00CE346C">
        <w:rPr>
          <w:rFonts w:cs="Times New Roman"/>
        </w:rPr>
        <w:t xml:space="preserve">Na </w:t>
      </w:r>
      <w:r w:rsidR="00B4646C">
        <w:rPr>
          <w:rFonts w:cs="Times New Roman"/>
        </w:rPr>
        <w:t>T</w:t>
      </w:r>
      <w:r w:rsidR="00CE346C" w:rsidRPr="00CE346C">
        <w:rPr>
          <w:rFonts w:cs="Times New Roman"/>
        </w:rPr>
        <w:t xml:space="preserve">abela </w:t>
      </w:r>
      <w:r w:rsidR="00CE346C" w:rsidRPr="009F52BE">
        <w:rPr>
          <w:rFonts w:cs="Times New Roman"/>
        </w:rPr>
        <w:t>4.</w:t>
      </w:r>
      <w:r w:rsidR="009F52BE">
        <w:rPr>
          <w:rFonts w:cs="Times New Roman"/>
        </w:rPr>
        <w:t>10</w:t>
      </w:r>
      <w:r w:rsidR="00CE346C" w:rsidRPr="00CE346C">
        <w:rPr>
          <w:rFonts w:cs="Times New Roman"/>
        </w:rPr>
        <w:t xml:space="preserve"> são apresentadas as estatísticas descritivas para o índice de transparência municipal, ITM, por</w:t>
      </w:r>
      <w:r w:rsidR="00CE346C">
        <w:rPr>
          <w:rFonts w:cs="Times New Roman"/>
        </w:rPr>
        <w:t xml:space="preserve"> grupos de taxas de desemprego</w:t>
      </w:r>
      <w:r w:rsidR="00CE346C" w:rsidRPr="00CE346C">
        <w:rPr>
          <w:rFonts w:cs="Times New Roman"/>
        </w:rPr>
        <w:t xml:space="preserve">. </w:t>
      </w:r>
    </w:p>
    <w:p w14:paraId="25D5EC0F" w14:textId="41AB7B09" w:rsidR="002079A9" w:rsidRDefault="002079A9" w:rsidP="00046806">
      <w:pPr>
        <w:spacing w:before="240" w:line="360" w:lineRule="auto"/>
        <w:jc w:val="both"/>
        <w:rPr>
          <w:rFonts w:cs="Times New Roman"/>
        </w:rPr>
      </w:pPr>
    </w:p>
    <w:p w14:paraId="6A9BE75A" w14:textId="47D0746A" w:rsidR="002079A9" w:rsidRDefault="002079A9" w:rsidP="00046806">
      <w:pPr>
        <w:spacing w:before="240" w:line="360" w:lineRule="auto"/>
        <w:jc w:val="both"/>
        <w:rPr>
          <w:rFonts w:cs="Times New Roman"/>
        </w:rPr>
      </w:pPr>
    </w:p>
    <w:p w14:paraId="230EEF42" w14:textId="77777777" w:rsidR="002079A9" w:rsidRPr="00CE346C" w:rsidRDefault="002079A9" w:rsidP="00046806">
      <w:pPr>
        <w:spacing w:before="240" w:line="360" w:lineRule="auto"/>
        <w:jc w:val="both"/>
        <w:rPr>
          <w:rFonts w:cs="Times New Roman"/>
          <w:lang w:eastAsia="pt-PT"/>
        </w:rPr>
      </w:pPr>
    </w:p>
    <w:p w14:paraId="7A371E00" w14:textId="1F10AAA5" w:rsidR="00CE346C" w:rsidRPr="00CE346C" w:rsidRDefault="00CE346C" w:rsidP="00CE346C">
      <w:pPr>
        <w:spacing w:after="0" w:line="360" w:lineRule="auto"/>
        <w:jc w:val="center"/>
        <w:rPr>
          <w:rFonts w:cs="Times New Roman"/>
          <w:lang w:eastAsia="pt-PT"/>
        </w:rPr>
      </w:pPr>
      <w:bookmarkStart w:id="105" w:name="_Toc58853170"/>
      <w:bookmarkStart w:id="106" w:name="_Toc66624259"/>
      <w:r w:rsidRPr="00CE346C">
        <w:rPr>
          <w:b/>
          <w:bCs/>
        </w:rPr>
        <w:lastRenderedPageBreak/>
        <w:t xml:space="preserve">Tabela </w:t>
      </w:r>
      <w:r w:rsidR="00843BFC">
        <w:rPr>
          <w:b/>
          <w:bCs/>
        </w:rPr>
        <w:fldChar w:fldCharType="begin"/>
      </w:r>
      <w:r w:rsidR="00843BFC">
        <w:rPr>
          <w:b/>
          <w:bCs/>
        </w:rPr>
        <w:instrText xml:space="preserve"> STYLEREF 1 \s </w:instrText>
      </w:r>
      <w:r w:rsidR="00843BFC">
        <w:rPr>
          <w:b/>
          <w:bCs/>
        </w:rPr>
        <w:fldChar w:fldCharType="separate"/>
      </w:r>
      <w:r w:rsidR="00380A6F">
        <w:rPr>
          <w:b/>
          <w:bCs/>
          <w:noProof/>
        </w:rPr>
        <w:t>4</w:t>
      </w:r>
      <w:r w:rsidR="00843BFC">
        <w:rPr>
          <w:b/>
          <w:bCs/>
        </w:rPr>
        <w:fldChar w:fldCharType="end"/>
      </w:r>
      <w:r w:rsidR="00843BFC">
        <w:rPr>
          <w:b/>
          <w:bCs/>
        </w:rPr>
        <w:t>.</w:t>
      </w:r>
      <w:r w:rsidR="00843BFC">
        <w:rPr>
          <w:b/>
          <w:bCs/>
        </w:rPr>
        <w:fldChar w:fldCharType="begin"/>
      </w:r>
      <w:r w:rsidR="00843BFC">
        <w:rPr>
          <w:b/>
          <w:bCs/>
        </w:rPr>
        <w:instrText xml:space="preserve"> SEQ Tabela \* ARABIC \s 1 </w:instrText>
      </w:r>
      <w:r w:rsidR="00843BFC">
        <w:rPr>
          <w:b/>
          <w:bCs/>
        </w:rPr>
        <w:fldChar w:fldCharType="separate"/>
      </w:r>
      <w:r w:rsidR="00380A6F">
        <w:rPr>
          <w:b/>
          <w:bCs/>
          <w:noProof/>
        </w:rPr>
        <w:t>10</w:t>
      </w:r>
      <w:r w:rsidR="00843BFC">
        <w:rPr>
          <w:b/>
          <w:bCs/>
        </w:rPr>
        <w:fldChar w:fldCharType="end"/>
      </w:r>
      <w:r w:rsidRPr="00CE346C">
        <w:rPr>
          <w:b/>
          <w:bCs/>
        </w:rPr>
        <w:t xml:space="preserve"> -</w:t>
      </w:r>
      <w:r>
        <w:t xml:space="preserve"> </w:t>
      </w:r>
      <w:r w:rsidRPr="00FF13F9">
        <w:rPr>
          <w:rFonts w:cs="Times New Roman"/>
          <w:lang w:eastAsia="pt-PT"/>
        </w:rPr>
        <w:t xml:space="preserve">Medidas estatísticas do ITM por </w:t>
      </w:r>
      <w:proofErr w:type="spellStart"/>
      <w:r>
        <w:rPr>
          <w:rFonts w:cs="Times New Roman"/>
          <w:lang w:eastAsia="pt-PT"/>
        </w:rPr>
        <w:t>TxD</w:t>
      </w:r>
      <w:bookmarkEnd w:id="105"/>
      <w:bookmarkEnd w:id="106"/>
      <w:proofErr w:type="spellEnd"/>
    </w:p>
    <w:tbl>
      <w:tblPr>
        <w:tblW w:w="864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52"/>
        <w:gridCol w:w="2977"/>
        <w:gridCol w:w="1626"/>
        <w:gridCol w:w="1416"/>
        <w:gridCol w:w="77"/>
      </w:tblGrid>
      <w:tr w:rsidR="00CE346C" w:rsidRPr="00F6269F" w14:paraId="670A53F6" w14:textId="77777777" w:rsidTr="00CE346C">
        <w:trPr>
          <w:cantSplit/>
          <w:jc w:val="center"/>
        </w:trPr>
        <w:tc>
          <w:tcPr>
            <w:tcW w:w="2552" w:type="dxa"/>
            <w:tcBorders>
              <w:top w:val="double" w:sz="4" w:space="0" w:color="auto"/>
              <w:left w:val="nil"/>
              <w:bottom w:val="single" w:sz="4" w:space="0" w:color="auto"/>
              <w:right w:val="nil"/>
            </w:tcBorders>
            <w:shd w:val="clear" w:color="auto" w:fill="E7E6E6" w:themeFill="background2"/>
            <w:vAlign w:val="bottom"/>
          </w:tcPr>
          <w:p w14:paraId="0662A80F" w14:textId="77777777" w:rsidR="00CE346C" w:rsidRPr="00706A84" w:rsidRDefault="00CE346C" w:rsidP="009C5227">
            <w:pPr>
              <w:autoSpaceDE w:val="0"/>
              <w:autoSpaceDN w:val="0"/>
              <w:adjustRightInd w:val="0"/>
              <w:spacing w:before="100" w:beforeAutospacing="1" w:after="100" w:afterAutospacing="1" w:line="240" w:lineRule="auto"/>
              <w:rPr>
                <w:rFonts w:cs="Times New Roman"/>
                <w:b/>
                <w:bCs/>
                <w:color w:val="000000"/>
                <w:sz w:val="22"/>
              </w:rPr>
            </w:pPr>
            <w:r w:rsidRPr="00706A84">
              <w:rPr>
                <w:rFonts w:cs="Times New Roman"/>
                <w:b/>
                <w:bCs/>
                <w:color w:val="000000"/>
                <w:sz w:val="22"/>
              </w:rPr>
              <w:t>Taxa de desemprego</w:t>
            </w:r>
          </w:p>
        </w:tc>
        <w:tc>
          <w:tcPr>
            <w:tcW w:w="2977" w:type="dxa"/>
            <w:tcBorders>
              <w:top w:val="double" w:sz="4" w:space="0" w:color="auto"/>
              <w:left w:val="nil"/>
              <w:bottom w:val="single" w:sz="4" w:space="0" w:color="auto"/>
              <w:right w:val="nil"/>
            </w:tcBorders>
            <w:shd w:val="clear" w:color="auto" w:fill="E7E6E6" w:themeFill="background2"/>
            <w:vAlign w:val="bottom"/>
          </w:tcPr>
          <w:p w14:paraId="11D5FE86" w14:textId="77777777" w:rsidR="00CE346C" w:rsidRPr="00706A84" w:rsidRDefault="00CE346C" w:rsidP="009C5227">
            <w:pPr>
              <w:autoSpaceDE w:val="0"/>
              <w:autoSpaceDN w:val="0"/>
              <w:adjustRightInd w:val="0"/>
              <w:spacing w:before="100" w:beforeAutospacing="1" w:after="100" w:afterAutospacing="1" w:line="240" w:lineRule="auto"/>
              <w:ind w:left="60" w:right="60"/>
              <w:rPr>
                <w:rFonts w:cs="Times New Roman"/>
                <w:b/>
                <w:bCs/>
                <w:color w:val="000000"/>
                <w:sz w:val="22"/>
              </w:rPr>
            </w:pPr>
          </w:p>
        </w:tc>
        <w:tc>
          <w:tcPr>
            <w:tcW w:w="1626" w:type="dxa"/>
            <w:tcBorders>
              <w:top w:val="double" w:sz="4" w:space="0" w:color="auto"/>
              <w:left w:val="nil"/>
              <w:bottom w:val="single" w:sz="4" w:space="0" w:color="auto"/>
              <w:right w:val="nil"/>
            </w:tcBorders>
            <w:shd w:val="clear" w:color="auto" w:fill="E7E6E6" w:themeFill="background2"/>
            <w:vAlign w:val="bottom"/>
          </w:tcPr>
          <w:p w14:paraId="59922190" w14:textId="77777777" w:rsidR="00CE346C" w:rsidRPr="00706A84" w:rsidRDefault="00CE346C" w:rsidP="009C5227">
            <w:pPr>
              <w:autoSpaceDE w:val="0"/>
              <w:autoSpaceDN w:val="0"/>
              <w:adjustRightInd w:val="0"/>
              <w:spacing w:before="100" w:beforeAutospacing="1" w:after="100" w:afterAutospacing="1" w:line="240" w:lineRule="auto"/>
              <w:ind w:left="60" w:right="60"/>
              <w:jc w:val="right"/>
              <w:rPr>
                <w:rFonts w:cs="Times New Roman"/>
                <w:b/>
                <w:bCs/>
                <w:color w:val="000000"/>
                <w:sz w:val="22"/>
              </w:rPr>
            </w:pPr>
            <w:r w:rsidRPr="00706A84">
              <w:rPr>
                <w:rFonts w:cs="Times New Roman"/>
                <w:b/>
                <w:bCs/>
                <w:color w:val="000000"/>
                <w:sz w:val="22"/>
              </w:rPr>
              <w:t>Estatística</w:t>
            </w:r>
          </w:p>
        </w:tc>
        <w:tc>
          <w:tcPr>
            <w:tcW w:w="1493" w:type="dxa"/>
            <w:gridSpan w:val="2"/>
            <w:tcBorders>
              <w:top w:val="double" w:sz="4" w:space="0" w:color="auto"/>
              <w:left w:val="nil"/>
              <w:bottom w:val="single" w:sz="4" w:space="0" w:color="auto"/>
              <w:right w:val="nil"/>
            </w:tcBorders>
            <w:shd w:val="clear" w:color="auto" w:fill="E7E6E6" w:themeFill="background2"/>
            <w:vAlign w:val="bottom"/>
          </w:tcPr>
          <w:p w14:paraId="561E64B5" w14:textId="77777777" w:rsidR="00CE346C" w:rsidRPr="00706A84" w:rsidRDefault="00CE346C" w:rsidP="009C5227">
            <w:pPr>
              <w:autoSpaceDE w:val="0"/>
              <w:autoSpaceDN w:val="0"/>
              <w:adjustRightInd w:val="0"/>
              <w:spacing w:before="100" w:beforeAutospacing="1" w:after="100" w:afterAutospacing="1" w:line="240" w:lineRule="auto"/>
              <w:ind w:left="60" w:right="60"/>
              <w:jc w:val="right"/>
              <w:rPr>
                <w:rFonts w:cs="Times New Roman"/>
                <w:b/>
                <w:bCs/>
                <w:color w:val="000000"/>
                <w:sz w:val="22"/>
              </w:rPr>
            </w:pPr>
            <w:r w:rsidRPr="00706A84">
              <w:rPr>
                <w:rFonts w:cs="Times New Roman"/>
                <w:b/>
                <w:bCs/>
                <w:color w:val="000000"/>
                <w:sz w:val="22"/>
              </w:rPr>
              <w:t>Desvio Padrão</w:t>
            </w:r>
          </w:p>
        </w:tc>
      </w:tr>
      <w:tr w:rsidR="00CE346C" w:rsidRPr="00C405FD" w14:paraId="3225A1C6" w14:textId="77777777" w:rsidTr="00CE346C">
        <w:trPr>
          <w:gridAfter w:val="1"/>
          <w:wAfter w:w="77" w:type="dxa"/>
          <w:cantSplit/>
          <w:jc w:val="center"/>
        </w:trPr>
        <w:tc>
          <w:tcPr>
            <w:tcW w:w="2552" w:type="dxa"/>
            <w:vMerge w:val="restart"/>
            <w:tcBorders>
              <w:top w:val="single" w:sz="4" w:space="0" w:color="auto"/>
              <w:left w:val="nil"/>
              <w:right w:val="nil"/>
            </w:tcBorders>
            <w:shd w:val="clear" w:color="auto" w:fill="FFFFFF" w:themeFill="background1"/>
          </w:tcPr>
          <w:p w14:paraId="1243E6E7" w14:textId="388C737A" w:rsidR="00CE346C" w:rsidRPr="00C405FD" w:rsidRDefault="00CE346C"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r w:rsidRPr="00C405FD">
              <w:rPr>
                <w:rFonts w:asciiTheme="majorBidi" w:hAnsiTheme="majorBidi" w:cstheme="majorBidi"/>
                <w:color w:val="000000"/>
                <w:sz w:val="22"/>
              </w:rPr>
              <w:t>Municípios</w:t>
            </w:r>
            <w:r w:rsidRPr="00025CD3">
              <w:rPr>
                <w:rFonts w:asciiTheme="majorBidi" w:hAnsiTheme="majorBidi" w:cstheme="majorBidi"/>
                <w:color w:val="000000"/>
                <w:sz w:val="22"/>
              </w:rPr>
              <w:t xml:space="preserve"> c/ menor taxa de desemprego</w:t>
            </w:r>
          </w:p>
        </w:tc>
        <w:tc>
          <w:tcPr>
            <w:tcW w:w="2977" w:type="dxa"/>
            <w:tcBorders>
              <w:top w:val="single" w:sz="4" w:space="0" w:color="auto"/>
              <w:left w:val="nil"/>
              <w:bottom w:val="nil"/>
              <w:right w:val="nil"/>
            </w:tcBorders>
            <w:shd w:val="clear" w:color="auto" w:fill="FFFFFF" w:themeFill="background1"/>
          </w:tcPr>
          <w:p w14:paraId="51FDD9EC" w14:textId="77777777" w:rsidR="00CE346C" w:rsidRPr="00C405FD" w:rsidRDefault="00CE346C"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405FD">
              <w:rPr>
                <w:rFonts w:asciiTheme="majorBidi" w:hAnsiTheme="majorBidi" w:cstheme="majorBidi"/>
                <w:color w:val="000000"/>
                <w:sz w:val="22"/>
              </w:rPr>
              <w:t>N=1200</w:t>
            </w:r>
          </w:p>
        </w:tc>
        <w:tc>
          <w:tcPr>
            <w:tcW w:w="1626" w:type="dxa"/>
            <w:tcBorders>
              <w:top w:val="single" w:sz="4" w:space="0" w:color="auto"/>
              <w:left w:val="nil"/>
              <w:bottom w:val="nil"/>
              <w:right w:val="nil"/>
            </w:tcBorders>
            <w:shd w:val="clear" w:color="auto" w:fill="FFFFFF" w:themeFill="background1"/>
          </w:tcPr>
          <w:p w14:paraId="129E20CF"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c>
          <w:tcPr>
            <w:tcW w:w="1416" w:type="dxa"/>
            <w:tcBorders>
              <w:top w:val="single" w:sz="4" w:space="0" w:color="auto"/>
              <w:left w:val="nil"/>
              <w:bottom w:val="nil"/>
              <w:right w:val="nil"/>
            </w:tcBorders>
            <w:shd w:val="clear" w:color="auto" w:fill="FFFFFF" w:themeFill="background1"/>
          </w:tcPr>
          <w:p w14:paraId="575D5228"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E346C" w:rsidRPr="00C405FD" w14:paraId="25D0F3B4" w14:textId="77777777" w:rsidTr="00CE346C">
        <w:trPr>
          <w:gridAfter w:val="1"/>
          <w:wAfter w:w="77" w:type="dxa"/>
          <w:cantSplit/>
          <w:jc w:val="center"/>
        </w:trPr>
        <w:tc>
          <w:tcPr>
            <w:tcW w:w="2552" w:type="dxa"/>
            <w:vMerge/>
            <w:tcBorders>
              <w:left w:val="nil"/>
              <w:right w:val="nil"/>
            </w:tcBorders>
            <w:shd w:val="clear" w:color="auto" w:fill="FFFFFF" w:themeFill="background1"/>
          </w:tcPr>
          <w:p w14:paraId="68BBE937" w14:textId="77777777" w:rsidR="00CE346C" w:rsidRPr="00C405FD" w:rsidRDefault="00CE346C"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2977" w:type="dxa"/>
            <w:tcBorders>
              <w:top w:val="nil"/>
              <w:left w:val="nil"/>
              <w:bottom w:val="nil"/>
              <w:right w:val="nil"/>
            </w:tcBorders>
            <w:shd w:val="clear" w:color="auto" w:fill="E7E6E6" w:themeFill="background2"/>
          </w:tcPr>
          <w:p w14:paraId="0BEEDD58" w14:textId="77777777" w:rsidR="00CE346C" w:rsidRPr="00C405FD" w:rsidRDefault="00CE346C"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937AEA">
              <w:rPr>
                <w:rFonts w:asciiTheme="majorBidi" w:hAnsiTheme="majorBidi" w:cstheme="majorBidi"/>
                <w:color w:val="000000"/>
                <w:sz w:val="22"/>
              </w:rPr>
              <w:t>Média</w:t>
            </w:r>
          </w:p>
        </w:tc>
        <w:tc>
          <w:tcPr>
            <w:tcW w:w="1626" w:type="dxa"/>
            <w:tcBorders>
              <w:top w:val="nil"/>
              <w:left w:val="nil"/>
              <w:bottom w:val="nil"/>
              <w:right w:val="nil"/>
            </w:tcBorders>
            <w:shd w:val="clear" w:color="auto" w:fill="E7E6E6" w:themeFill="background2"/>
          </w:tcPr>
          <w:p w14:paraId="65AE1DD5"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41,7375</w:t>
            </w:r>
          </w:p>
        </w:tc>
        <w:tc>
          <w:tcPr>
            <w:tcW w:w="1416" w:type="dxa"/>
            <w:tcBorders>
              <w:top w:val="nil"/>
              <w:left w:val="nil"/>
              <w:bottom w:val="nil"/>
              <w:right w:val="nil"/>
            </w:tcBorders>
            <w:shd w:val="clear" w:color="auto" w:fill="E7E6E6" w:themeFill="background2"/>
          </w:tcPr>
          <w:p w14:paraId="63BB5C4D"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0,52254</w:t>
            </w:r>
          </w:p>
        </w:tc>
      </w:tr>
      <w:tr w:rsidR="00CE346C" w:rsidRPr="00C405FD" w14:paraId="3F0048C1" w14:textId="77777777" w:rsidTr="00CE346C">
        <w:trPr>
          <w:gridAfter w:val="1"/>
          <w:wAfter w:w="77" w:type="dxa"/>
          <w:cantSplit/>
          <w:jc w:val="center"/>
        </w:trPr>
        <w:tc>
          <w:tcPr>
            <w:tcW w:w="2552" w:type="dxa"/>
            <w:vMerge/>
            <w:tcBorders>
              <w:left w:val="nil"/>
              <w:right w:val="nil"/>
            </w:tcBorders>
            <w:shd w:val="clear" w:color="auto" w:fill="FFFFFF" w:themeFill="background1"/>
          </w:tcPr>
          <w:p w14:paraId="5C221249" w14:textId="77777777" w:rsidR="00CE346C" w:rsidRPr="00C405FD" w:rsidRDefault="00CE346C"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2977" w:type="dxa"/>
            <w:tcBorders>
              <w:top w:val="nil"/>
              <w:left w:val="nil"/>
              <w:bottom w:val="nil"/>
              <w:right w:val="nil"/>
            </w:tcBorders>
            <w:shd w:val="clear" w:color="auto" w:fill="FFFFFF" w:themeFill="background1"/>
          </w:tcPr>
          <w:p w14:paraId="222468D1" w14:textId="77777777" w:rsidR="00CE346C" w:rsidRPr="00C405FD" w:rsidRDefault="00CE346C"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937AEA">
              <w:rPr>
                <w:rFonts w:asciiTheme="majorBidi" w:hAnsiTheme="majorBidi" w:cstheme="majorBidi"/>
                <w:color w:val="000000"/>
                <w:sz w:val="22"/>
              </w:rPr>
              <w:t>Mediana</w:t>
            </w:r>
          </w:p>
        </w:tc>
        <w:tc>
          <w:tcPr>
            <w:tcW w:w="1626" w:type="dxa"/>
            <w:tcBorders>
              <w:top w:val="nil"/>
              <w:left w:val="nil"/>
              <w:bottom w:val="nil"/>
              <w:right w:val="nil"/>
            </w:tcBorders>
            <w:shd w:val="clear" w:color="auto" w:fill="FFFFFF" w:themeFill="background1"/>
          </w:tcPr>
          <w:p w14:paraId="69D5DBC9"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37,7707</w:t>
            </w:r>
          </w:p>
        </w:tc>
        <w:tc>
          <w:tcPr>
            <w:tcW w:w="1416" w:type="dxa"/>
            <w:tcBorders>
              <w:top w:val="nil"/>
              <w:left w:val="nil"/>
              <w:bottom w:val="nil"/>
              <w:right w:val="nil"/>
            </w:tcBorders>
            <w:shd w:val="clear" w:color="auto" w:fill="FFFFFF" w:themeFill="background1"/>
            <w:vAlign w:val="center"/>
          </w:tcPr>
          <w:p w14:paraId="4C5DA142"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E346C" w:rsidRPr="00C405FD" w14:paraId="011E812C" w14:textId="77777777" w:rsidTr="00CE346C">
        <w:trPr>
          <w:gridAfter w:val="1"/>
          <w:wAfter w:w="77" w:type="dxa"/>
          <w:cantSplit/>
          <w:jc w:val="center"/>
        </w:trPr>
        <w:tc>
          <w:tcPr>
            <w:tcW w:w="2552" w:type="dxa"/>
            <w:vMerge/>
            <w:tcBorders>
              <w:left w:val="nil"/>
              <w:right w:val="nil"/>
            </w:tcBorders>
            <w:shd w:val="clear" w:color="auto" w:fill="FFFFFF" w:themeFill="background1"/>
          </w:tcPr>
          <w:p w14:paraId="08F3DD8C" w14:textId="77777777" w:rsidR="00CE346C" w:rsidRPr="00C405FD" w:rsidRDefault="00CE346C"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2977" w:type="dxa"/>
            <w:tcBorders>
              <w:top w:val="nil"/>
              <w:left w:val="nil"/>
              <w:bottom w:val="nil"/>
              <w:right w:val="nil"/>
            </w:tcBorders>
            <w:shd w:val="clear" w:color="auto" w:fill="E7E6E6" w:themeFill="background2"/>
          </w:tcPr>
          <w:p w14:paraId="0E86F7A3" w14:textId="77777777" w:rsidR="00CE346C" w:rsidRPr="00C405FD" w:rsidRDefault="00CE346C"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937AEA">
              <w:rPr>
                <w:rFonts w:asciiTheme="majorBidi" w:hAnsiTheme="majorBidi" w:cstheme="majorBidi"/>
                <w:color w:val="000000"/>
                <w:sz w:val="22"/>
              </w:rPr>
              <w:t>Variância</w:t>
            </w:r>
          </w:p>
        </w:tc>
        <w:tc>
          <w:tcPr>
            <w:tcW w:w="1626" w:type="dxa"/>
            <w:tcBorders>
              <w:top w:val="nil"/>
              <w:left w:val="nil"/>
              <w:bottom w:val="nil"/>
              <w:right w:val="nil"/>
            </w:tcBorders>
            <w:shd w:val="clear" w:color="auto" w:fill="E7E6E6" w:themeFill="background2"/>
          </w:tcPr>
          <w:p w14:paraId="6AD6EF65"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327,662</w:t>
            </w:r>
          </w:p>
        </w:tc>
        <w:tc>
          <w:tcPr>
            <w:tcW w:w="1416" w:type="dxa"/>
            <w:tcBorders>
              <w:top w:val="nil"/>
              <w:left w:val="nil"/>
              <w:bottom w:val="nil"/>
              <w:right w:val="nil"/>
            </w:tcBorders>
            <w:shd w:val="clear" w:color="auto" w:fill="E7E6E6" w:themeFill="background2"/>
            <w:vAlign w:val="center"/>
          </w:tcPr>
          <w:p w14:paraId="52AAE4F6"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E346C" w:rsidRPr="00C405FD" w14:paraId="2196A9C3" w14:textId="77777777" w:rsidTr="00CE346C">
        <w:trPr>
          <w:gridAfter w:val="1"/>
          <w:wAfter w:w="77" w:type="dxa"/>
          <w:cantSplit/>
          <w:jc w:val="center"/>
        </w:trPr>
        <w:tc>
          <w:tcPr>
            <w:tcW w:w="2552" w:type="dxa"/>
            <w:vMerge/>
            <w:tcBorders>
              <w:left w:val="nil"/>
              <w:right w:val="nil"/>
            </w:tcBorders>
            <w:shd w:val="clear" w:color="auto" w:fill="FFFFFF" w:themeFill="background1"/>
          </w:tcPr>
          <w:p w14:paraId="0A4E1342" w14:textId="77777777" w:rsidR="00CE346C" w:rsidRPr="00C405FD" w:rsidRDefault="00CE346C"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2977" w:type="dxa"/>
            <w:tcBorders>
              <w:top w:val="nil"/>
              <w:left w:val="nil"/>
              <w:bottom w:val="nil"/>
              <w:right w:val="nil"/>
            </w:tcBorders>
            <w:shd w:val="clear" w:color="auto" w:fill="FFFFFF" w:themeFill="background1"/>
          </w:tcPr>
          <w:p w14:paraId="70458D23" w14:textId="77777777" w:rsidR="00CE346C" w:rsidRPr="00C405FD" w:rsidRDefault="00CE346C"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937AEA">
              <w:rPr>
                <w:rFonts w:asciiTheme="majorBidi" w:hAnsiTheme="majorBidi" w:cstheme="majorBidi"/>
                <w:color w:val="000000"/>
                <w:sz w:val="22"/>
              </w:rPr>
              <w:t>Erro Padrão</w:t>
            </w:r>
          </w:p>
        </w:tc>
        <w:tc>
          <w:tcPr>
            <w:tcW w:w="1626" w:type="dxa"/>
            <w:tcBorders>
              <w:top w:val="nil"/>
              <w:left w:val="nil"/>
              <w:bottom w:val="nil"/>
              <w:right w:val="nil"/>
            </w:tcBorders>
            <w:shd w:val="clear" w:color="auto" w:fill="FFFFFF" w:themeFill="background1"/>
          </w:tcPr>
          <w:p w14:paraId="37446BF8"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18,10145</w:t>
            </w:r>
          </w:p>
        </w:tc>
        <w:tc>
          <w:tcPr>
            <w:tcW w:w="1416" w:type="dxa"/>
            <w:tcBorders>
              <w:top w:val="nil"/>
              <w:left w:val="nil"/>
              <w:bottom w:val="nil"/>
              <w:right w:val="nil"/>
            </w:tcBorders>
            <w:shd w:val="clear" w:color="auto" w:fill="FFFFFF" w:themeFill="background1"/>
            <w:vAlign w:val="center"/>
          </w:tcPr>
          <w:p w14:paraId="56EEC8B5"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E346C" w:rsidRPr="00C405FD" w14:paraId="5555AB86" w14:textId="77777777" w:rsidTr="00CE346C">
        <w:trPr>
          <w:gridAfter w:val="1"/>
          <w:wAfter w:w="77" w:type="dxa"/>
          <w:cantSplit/>
          <w:jc w:val="center"/>
        </w:trPr>
        <w:tc>
          <w:tcPr>
            <w:tcW w:w="2552" w:type="dxa"/>
            <w:vMerge/>
            <w:tcBorders>
              <w:left w:val="nil"/>
              <w:right w:val="nil"/>
            </w:tcBorders>
            <w:shd w:val="clear" w:color="auto" w:fill="FFFFFF" w:themeFill="background1"/>
          </w:tcPr>
          <w:p w14:paraId="2BFB67CC" w14:textId="77777777" w:rsidR="00CE346C" w:rsidRPr="00C405FD" w:rsidRDefault="00CE346C"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2977" w:type="dxa"/>
            <w:tcBorders>
              <w:top w:val="nil"/>
              <w:left w:val="nil"/>
              <w:bottom w:val="nil"/>
              <w:right w:val="nil"/>
            </w:tcBorders>
            <w:shd w:val="clear" w:color="auto" w:fill="E7E6E6" w:themeFill="background2"/>
          </w:tcPr>
          <w:p w14:paraId="66C9BB4C" w14:textId="77777777" w:rsidR="00CE346C" w:rsidRPr="00C405FD" w:rsidRDefault="00CE346C"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937AEA">
              <w:rPr>
                <w:rFonts w:asciiTheme="majorBidi" w:hAnsiTheme="majorBidi" w:cstheme="majorBidi"/>
                <w:color w:val="000000"/>
                <w:sz w:val="22"/>
              </w:rPr>
              <w:t>Mínimo</w:t>
            </w:r>
          </w:p>
        </w:tc>
        <w:tc>
          <w:tcPr>
            <w:tcW w:w="1626" w:type="dxa"/>
            <w:tcBorders>
              <w:top w:val="nil"/>
              <w:left w:val="nil"/>
              <w:bottom w:val="nil"/>
              <w:right w:val="nil"/>
            </w:tcBorders>
            <w:shd w:val="clear" w:color="auto" w:fill="E7E6E6" w:themeFill="background2"/>
          </w:tcPr>
          <w:p w14:paraId="642349AB"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0,82</w:t>
            </w:r>
          </w:p>
        </w:tc>
        <w:tc>
          <w:tcPr>
            <w:tcW w:w="1416" w:type="dxa"/>
            <w:tcBorders>
              <w:top w:val="nil"/>
              <w:left w:val="nil"/>
              <w:bottom w:val="nil"/>
              <w:right w:val="nil"/>
            </w:tcBorders>
            <w:shd w:val="clear" w:color="auto" w:fill="E7E6E6" w:themeFill="background2"/>
            <w:vAlign w:val="center"/>
          </w:tcPr>
          <w:p w14:paraId="38CE1703"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E346C" w:rsidRPr="00C405FD" w14:paraId="69EBBFD9" w14:textId="77777777" w:rsidTr="00CE346C">
        <w:trPr>
          <w:gridAfter w:val="1"/>
          <w:wAfter w:w="77" w:type="dxa"/>
          <w:cantSplit/>
          <w:jc w:val="center"/>
        </w:trPr>
        <w:tc>
          <w:tcPr>
            <w:tcW w:w="2552" w:type="dxa"/>
            <w:vMerge/>
            <w:tcBorders>
              <w:left w:val="nil"/>
              <w:right w:val="nil"/>
            </w:tcBorders>
            <w:shd w:val="clear" w:color="auto" w:fill="FFFFFF" w:themeFill="background1"/>
          </w:tcPr>
          <w:p w14:paraId="52A220ED" w14:textId="77777777" w:rsidR="00CE346C" w:rsidRPr="00C405FD" w:rsidRDefault="00CE346C"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2977" w:type="dxa"/>
            <w:tcBorders>
              <w:top w:val="nil"/>
              <w:left w:val="nil"/>
              <w:bottom w:val="nil"/>
              <w:right w:val="nil"/>
            </w:tcBorders>
            <w:shd w:val="clear" w:color="auto" w:fill="FFFFFF" w:themeFill="background1"/>
          </w:tcPr>
          <w:p w14:paraId="30D5F77E" w14:textId="77777777" w:rsidR="00CE346C" w:rsidRPr="00C405FD" w:rsidRDefault="00CE346C"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937AEA">
              <w:rPr>
                <w:rFonts w:asciiTheme="majorBidi" w:hAnsiTheme="majorBidi" w:cstheme="majorBidi"/>
                <w:color w:val="000000"/>
                <w:sz w:val="22"/>
              </w:rPr>
              <w:t>Máximo</w:t>
            </w:r>
          </w:p>
        </w:tc>
        <w:tc>
          <w:tcPr>
            <w:tcW w:w="1626" w:type="dxa"/>
            <w:tcBorders>
              <w:top w:val="nil"/>
              <w:left w:val="nil"/>
              <w:bottom w:val="nil"/>
              <w:right w:val="nil"/>
            </w:tcBorders>
            <w:shd w:val="clear" w:color="auto" w:fill="FFFFFF" w:themeFill="background1"/>
          </w:tcPr>
          <w:p w14:paraId="1B847CFC"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100,00</w:t>
            </w:r>
          </w:p>
        </w:tc>
        <w:tc>
          <w:tcPr>
            <w:tcW w:w="1416" w:type="dxa"/>
            <w:tcBorders>
              <w:top w:val="nil"/>
              <w:left w:val="nil"/>
              <w:bottom w:val="nil"/>
              <w:right w:val="nil"/>
            </w:tcBorders>
            <w:shd w:val="clear" w:color="auto" w:fill="FFFFFF" w:themeFill="background1"/>
            <w:vAlign w:val="center"/>
          </w:tcPr>
          <w:p w14:paraId="44BB8BB7"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E346C" w:rsidRPr="00C405FD" w14:paraId="5C1FA59E" w14:textId="77777777" w:rsidTr="00CE346C">
        <w:trPr>
          <w:gridAfter w:val="1"/>
          <w:wAfter w:w="77" w:type="dxa"/>
          <w:cantSplit/>
          <w:jc w:val="center"/>
        </w:trPr>
        <w:tc>
          <w:tcPr>
            <w:tcW w:w="2552" w:type="dxa"/>
            <w:vMerge/>
            <w:tcBorders>
              <w:left w:val="nil"/>
              <w:right w:val="nil"/>
            </w:tcBorders>
            <w:shd w:val="clear" w:color="auto" w:fill="FFFFFF" w:themeFill="background1"/>
          </w:tcPr>
          <w:p w14:paraId="142BD5E8" w14:textId="77777777" w:rsidR="00CE346C" w:rsidRPr="00C405FD" w:rsidRDefault="00CE346C"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2977" w:type="dxa"/>
            <w:tcBorders>
              <w:top w:val="nil"/>
              <w:left w:val="nil"/>
              <w:bottom w:val="nil"/>
              <w:right w:val="nil"/>
            </w:tcBorders>
            <w:shd w:val="clear" w:color="auto" w:fill="E7E6E6" w:themeFill="background2"/>
          </w:tcPr>
          <w:p w14:paraId="70B9D23C" w14:textId="77777777" w:rsidR="00CE346C" w:rsidRPr="00C405FD" w:rsidRDefault="00CE346C"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937AEA">
              <w:rPr>
                <w:rFonts w:asciiTheme="majorBidi" w:hAnsiTheme="majorBidi" w:cstheme="majorBidi"/>
                <w:color w:val="000000"/>
                <w:sz w:val="22"/>
              </w:rPr>
              <w:t>Amplitude</w:t>
            </w:r>
          </w:p>
        </w:tc>
        <w:tc>
          <w:tcPr>
            <w:tcW w:w="1626" w:type="dxa"/>
            <w:tcBorders>
              <w:top w:val="nil"/>
              <w:left w:val="nil"/>
              <w:bottom w:val="nil"/>
              <w:right w:val="nil"/>
            </w:tcBorders>
            <w:shd w:val="clear" w:color="auto" w:fill="E7E6E6" w:themeFill="background2"/>
          </w:tcPr>
          <w:p w14:paraId="23C34767"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99,18</w:t>
            </w:r>
          </w:p>
        </w:tc>
        <w:tc>
          <w:tcPr>
            <w:tcW w:w="1416" w:type="dxa"/>
            <w:tcBorders>
              <w:top w:val="nil"/>
              <w:left w:val="nil"/>
              <w:bottom w:val="nil"/>
              <w:right w:val="nil"/>
            </w:tcBorders>
            <w:shd w:val="clear" w:color="auto" w:fill="E7E6E6" w:themeFill="background2"/>
            <w:vAlign w:val="center"/>
          </w:tcPr>
          <w:p w14:paraId="1596FAC9"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E346C" w:rsidRPr="00C405FD" w14:paraId="2EC46E2D" w14:textId="77777777" w:rsidTr="00CE346C">
        <w:trPr>
          <w:gridAfter w:val="1"/>
          <w:wAfter w:w="77" w:type="dxa"/>
          <w:cantSplit/>
          <w:jc w:val="center"/>
        </w:trPr>
        <w:tc>
          <w:tcPr>
            <w:tcW w:w="2552" w:type="dxa"/>
            <w:vMerge/>
            <w:tcBorders>
              <w:left w:val="nil"/>
              <w:right w:val="nil"/>
            </w:tcBorders>
            <w:shd w:val="clear" w:color="auto" w:fill="FFFFFF" w:themeFill="background1"/>
          </w:tcPr>
          <w:p w14:paraId="45218BDE" w14:textId="77777777" w:rsidR="00CE346C" w:rsidRPr="00C405FD" w:rsidRDefault="00CE346C"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2977" w:type="dxa"/>
            <w:tcBorders>
              <w:top w:val="nil"/>
              <w:left w:val="nil"/>
              <w:bottom w:val="nil"/>
              <w:right w:val="nil"/>
            </w:tcBorders>
            <w:shd w:val="clear" w:color="auto" w:fill="FFFFFF" w:themeFill="background1"/>
          </w:tcPr>
          <w:p w14:paraId="32FFABF3" w14:textId="77777777" w:rsidR="00CE346C" w:rsidRPr="00C405FD" w:rsidRDefault="00CE346C"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937AEA">
              <w:rPr>
                <w:rFonts w:asciiTheme="majorBidi" w:hAnsiTheme="majorBidi" w:cstheme="majorBidi"/>
                <w:color w:val="000000"/>
                <w:sz w:val="22"/>
              </w:rPr>
              <w:t>Amplitude interquartil</w:t>
            </w:r>
          </w:p>
        </w:tc>
        <w:tc>
          <w:tcPr>
            <w:tcW w:w="1626" w:type="dxa"/>
            <w:tcBorders>
              <w:top w:val="nil"/>
              <w:left w:val="nil"/>
              <w:bottom w:val="nil"/>
              <w:right w:val="nil"/>
            </w:tcBorders>
            <w:shd w:val="clear" w:color="auto" w:fill="FFFFFF" w:themeFill="background1"/>
          </w:tcPr>
          <w:p w14:paraId="15745D20"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21,81</w:t>
            </w:r>
          </w:p>
        </w:tc>
        <w:tc>
          <w:tcPr>
            <w:tcW w:w="1416" w:type="dxa"/>
            <w:tcBorders>
              <w:top w:val="nil"/>
              <w:left w:val="nil"/>
              <w:bottom w:val="nil"/>
              <w:right w:val="nil"/>
            </w:tcBorders>
            <w:shd w:val="clear" w:color="auto" w:fill="FFFFFF" w:themeFill="background1"/>
            <w:vAlign w:val="center"/>
          </w:tcPr>
          <w:p w14:paraId="2C2551EB"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E346C" w:rsidRPr="00C405FD" w14:paraId="6F2C8704" w14:textId="77777777" w:rsidTr="00CE346C">
        <w:trPr>
          <w:gridAfter w:val="1"/>
          <w:wAfter w:w="77" w:type="dxa"/>
          <w:cantSplit/>
          <w:jc w:val="center"/>
        </w:trPr>
        <w:tc>
          <w:tcPr>
            <w:tcW w:w="2552" w:type="dxa"/>
            <w:vMerge/>
            <w:tcBorders>
              <w:left w:val="nil"/>
              <w:right w:val="nil"/>
            </w:tcBorders>
            <w:shd w:val="clear" w:color="auto" w:fill="FFFFFF" w:themeFill="background1"/>
          </w:tcPr>
          <w:p w14:paraId="40C38AF7" w14:textId="77777777" w:rsidR="00CE346C" w:rsidRPr="00C405FD" w:rsidRDefault="00CE346C"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2977" w:type="dxa"/>
            <w:tcBorders>
              <w:top w:val="nil"/>
              <w:left w:val="nil"/>
              <w:bottom w:val="nil"/>
              <w:right w:val="nil"/>
            </w:tcBorders>
            <w:shd w:val="clear" w:color="auto" w:fill="E7E6E6" w:themeFill="background2"/>
          </w:tcPr>
          <w:p w14:paraId="28B6FEAC" w14:textId="77777777" w:rsidR="00CE346C" w:rsidRPr="00C405FD" w:rsidRDefault="00CE346C"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937AEA">
              <w:rPr>
                <w:rFonts w:asciiTheme="majorBidi" w:hAnsiTheme="majorBidi" w:cstheme="majorBidi"/>
                <w:color w:val="000000"/>
                <w:sz w:val="22"/>
              </w:rPr>
              <w:t>Assimetria</w:t>
            </w:r>
          </w:p>
        </w:tc>
        <w:tc>
          <w:tcPr>
            <w:tcW w:w="1626" w:type="dxa"/>
            <w:tcBorders>
              <w:top w:val="nil"/>
              <w:left w:val="nil"/>
              <w:bottom w:val="nil"/>
              <w:right w:val="nil"/>
            </w:tcBorders>
            <w:shd w:val="clear" w:color="auto" w:fill="E7E6E6" w:themeFill="background2"/>
          </w:tcPr>
          <w:p w14:paraId="0F54D744"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0,849</w:t>
            </w:r>
          </w:p>
        </w:tc>
        <w:tc>
          <w:tcPr>
            <w:tcW w:w="1416" w:type="dxa"/>
            <w:tcBorders>
              <w:top w:val="nil"/>
              <w:left w:val="nil"/>
              <w:bottom w:val="nil"/>
              <w:right w:val="nil"/>
            </w:tcBorders>
            <w:shd w:val="clear" w:color="auto" w:fill="E7E6E6" w:themeFill="background2"/>
          </w:tcPr>
          <w:p w14:paraId="44D309D2"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0,071</w:t>
            </w:r>
          </w:p>
        </w:tc>
      </w:tr>
      <w:tr w:rsidR="00CE346C" w:rsidRPr="00C405FD" w14:paraId="577839DF" w14:textId="77777777" w:rsidTr="00CE346C">
        <w:trPr>
          <w:gridAfter w:val="1"/>
          <w:wAfter w:w="77" w:type="dxa"/>
          <w:cantSplit/>
          <w:jc w:val="center"/>
        </w:trPr>
        <w:tc>
          <w:tcPr>
            <w:tcW w:w="2552" w:type="dxa"/>
            <w:vMerge/>
            <w:tcBorders>
              <w:left w:val="nil"/>
              <w:bottom w:val="single" w:sz="4" w:space="0" w:color="auto"/>
              <w:right w:val="nil"/>
            </w:tcBorders>
            <w:shd w:val="clear" w:color="auto" w:fill="FFFFFF" w:themeFill="background1"/>
          </w:tcPr>
          <w:p w14:paraId="1A449A78" w14:textId="77777777" w:rsidR="00CE346C" w:rsidRPr="00C405FD" w:rsidRDefault="00CE346C"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2977" w:type="dxa"/>
            <w:tcBorders>
              <w:top w:val="nil"/>
              <w:left w:val="nil"/>
              <w:bottom w:val="single" w:sz="4" w:space="0" w:color="auto"/>
              <w:right w:val="nil"/>
            </w:tcBorders>
            <w:shd w:val="clear" w:color="auto" w:fill="FFFFFF" w:themeFill="background1"/>
          </w:tcPr>
          <w:p w14:paraId="54E6A45E" w14:textId="77777777" w:rsidR="00CE346C" w:rsidRPr="00C405FD" w:rsidRDefault="00CE346C"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proofErr w:type="spellStart"/>
            <w:r w:rsidRPr="00937AEA">
              <w:rPr>
                <w:rFonts w:asciiTheme="majorBidi" w:hAnsiTheme="majorBidi" w:cstheme="majorBidi"/>
                <w:color w:val="000000"/>
                <w:sz w:val="22"/>
              </w:rPr>
              <w:t>Curtose</w:t>
            </w:r>
            <w:proofErr w:type="spellEnd"/>
          </w:p>
        </w:tc>
        <w:tc>
          <w:tcPr>
            <w:tcW w:w="1626" w:type="dxa"/>
            <w:tcBorders>
              <w:top w:val="nil"/>
              <w:left w:val="nil"/>
              <w:bottom w:val="single" w:sz="4" w:space="0" w:color="auto"/>
              <w:right w:val="nil"/>
            </w:tcBorders>
            <w:shd w:val="clear" w:color="auto" w:fill="FFFFFF" w:themeFill="background1"/>
          </w:tcPr>
          <w:p w14:paraId="2F3C7B86"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0,506</w:t>
            </w:r>
          </w:p>
        </w:tc>
        <w:tc>
          <w:tcPr>
            <w:tcW w:w="1416" w:type="dxa"/>
            <w:tcBorders>
              <w:top w:val="nil"/>
              <w:left w:val="nil"/>
              <w:bottom w:val="single" w:sz="4" w:space="0" w:color="auto"/>
              <w:right w:val="nil"/>
            </w:tcBorders>
            <w:shd w:val="clear" w:color="auto" w:fill="FFFFFF" w:themeFill="background1"/>
          </w:tcPr>
          <w:p w14:paraId="3E5B8132"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0,141</w:t>
            </w:r>
          </w:p>
        </w:tc>
      </w:tr>
      <w:tr w:rsidR="00CE346C" w:rsidRPr="00C405FD" w14:paraId="4836BFD9" w14:textId="77777777" w:rsidTr="00CE346C">
        <w:trPr>
          <w:gridAfter w:val="1"/>
          <w:wAfter w:w="77" w:type="dxa"/>
          <w:cantSplit/>
          <w:jc w:val="center"/>
        </w:trPr>
        <w:tc>
          <w:tcPr>
            <w:tcW w:w="2552" w:type="dxa"/>
            <w:vMerge w:val="restart"/>
            <w:tcBorders>
              <w:left w:val="nil"/>
              <w:right w:val="nil"/>
            </w:tcBorders>
            <w:shd w:val="clear" w:color="auto" w:fill="FFFFFF" w:themeFill="background1"/>
          </w:tcPr>
          <w:p w14:paraId="3A5110A1" w14:textId="005CF5AB" w:rsidR="00CE346C" w:rsidRPr="00C405FD" w:rsidRDefault="00CE346C"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r w:rsidRPr="00C405FD">
              <w:rPr>
                <w:rFonts w:asciiTheme="majorBidi" w:hAnsiTheme="majorBidi" w:cstheme="majorBidi"/>
                <w:color w:val="000000"/>
                <w:sz w:val="22"/>
              </w:rPr>
              <w:t>Municípios</w:t>
            </w:r>
            <w:r w:rsidRPr="00C52653">
              <w:rPr>
                <w:rFonts w:asciiTheme="majorBidi" w:hAnsiTheme="majorBidi" w:cstheme="majorBidi"/>
                <w:color w:val="000000"/>
                <w:sz w:val="22"/>
              </w:rPr>
              <w:t xml:space="preserve"> c</w:t>
            </w:r>
            <w:r w:rsidRPr="00025CD3">
              <w:rPr>
                <w:rFonts w:asciiTheme="majorBidi" w:hAnsiTheme="majorBidi" w:cstheme="majorBidi"/>
                <w:color w:val="000000"/>
                <w:sz w:val="22"/>
              </w:rPr>
              <w:t>/ m</w:t>
            </w:r>
            <w:r>
              <w:rPr>
                <w:rFonts w:asciiTheme="majorBidi" w:hAnsiTheme="majorBidi" w:cstheme="majorBidi"/>
                <w:color w:val="000000"/>
                <w:sz w:val="22"/>
              </w:rPr>
              <w:t>aior</w:t>
            </w:r>
            <w:r w:rsidRPr="00025CD3">
              <w:rPr>
                <w:rFonts w:asciiTheme="majorBidi" w:hAnsiTheme="majorBidi" w:cstheme="majorBidi"/>
                <w:color w:val="000000"/>
                <w:sz w:val="22"/>
              </w:rPr>
              <w:t xml:space="preserve"> taxa de desemprego</w:t>
            </w:r>
          </w:p>
        </w:tc>
        <w:tc>
          <w:tcPr>
            <w:tcW w:w="2977" w:type="dxa"/>
            <w:tcBorders>
              <w:top w:val="nil"/>
              <w:left w:val="nil"/>
              <w:bottom w:val="nil"/>
              <w:right w:val="nil"/>
            </w:tcBorders>
            <w:shd w:val="clear" w:color="auto" w:fill="FFFFFF" w:themeFill="background1"/>
          </w:tcPr>
          <w:p w14:paraId="52F7CA8D" w14:textId="77777777" w:rsidR="00CE346C" w:rsidRPr="00C405FD" w:rsidRDefault="00CE346C"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405FD">
              <w:rPr>
                <w:rFonts w:asciiTheme="majorBidi" w:hAnsiTheme="majorBidi" w:cstheme="majorBidi"/>
                <w:color w:val="000000"/>
                <w:sz w:val="22"/>
              </w:rPr>
              <w:t>N=340</w:t>
            </w:r>
          </w:p>
        </w:tc>
        <w:tc>
          <w:tcPr>
            <w:tcW w:w="1626" w:type="dxa"/>
            <w:tcBorders>
              <w:top w:val="nil"/>
              <w:left w:val="nil"/>
              <w:bottom w:val="nil"/>
              <w:right w:val="nil"/>
            </w:tcBorders>
            <w:shd w:val="clear" w:color="auto" w:fill="FFFFFF" w:themeFill="background1"/>
          </w:tcPr>
          <w:p w14:paraId="072269CE"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c>
          <w:tcPr>
            <w:tcW w:w="1416" w:type="dxa"/>
            <w:tcBorders>
              <w:top w:val="nil"/>
              <w:left w:val="nil"/>
              <w:bottom w:val="nil"/>
              <w:right w:val="nil"/>
            </w:tcBorders>
            <w:shd w:val="clear" w:color="auto" w:fill="FFFFFF" w:themeFill="background1"/>
          </w:tcPr>
          <w:p w14:paraId="4E41AA80"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E346C" w:rsidRPr="00C405FD" w14:paraId="6928FE89" w14:textId="77777777" w:rsidTr="00CE346C">
        <w:trPr>
          <w:gridAfter w:val="1"/>
          <w:wAfter w:w="77" w:type="dxa"/>
          <w:cantSplit/>
          <w:jc w:val="center"/>
        </w:trPr>
        <w:tc>
          <w:tcPr>
            <w:tcW w:w="2552" w:type="dxa"/>
            <w:vMerge/>
            <w:tcBorders>
              <w:left w:val="nil"/>
              <w:right w:val="nil"/>
            </w:tcBorders>
            <w:shd w:val="clear" w:color="auto" w:fill="FFFFFF" w:themeFill="background1"/>
            <w:vAlign w:val="bottom"/>
          </w:tcPr>
          <w:p w14:paraId="776ACF61" w14:textId="77777777" w:rsidR="00CE346C" w:rsidRPr="00C405FD" w:rsidRDefault="00CE346C"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2977" w:type="dxa"/>
            <w:tcBorders>
              <w:top w:val="nil"/>
              <w:left w:val="nil"/>
              <w:bottom w:val="nil"/>
              <w:right w:val="nil"/>
            </w:tcBorders>
            <w:shd w:val="clear" w:color="auto" w:fill="E7E6E6" w:themeFill="background2"/>
          </w:tcPr>
          <w:p w14:paraId="57A2BD7D" w14:textId="77777777" w:rsidR="00CE346C" w:rsidRPr="00C405FD" w:rsidRDefault="00CE346C"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937AEA">
              <w:rPr>
                <w:rFonts w:asciiTheme="majorBidi" w:hAnsiTheme="majorBidi" w:cstheme="majorBidi"/>
                <w:color w:val="000000"/>
                <w:sz w:val="22"/>
              </w:rPr>
              <w:t>Média</w:t>
            </w:r>
          </w:p>
        </w:tc>
        <w:tc>
          <w:tcPr>
            <w:tcW w:w="1626" w:type="dxa"/>
            <w:tcBorders>
              <w:top w:val="nil"/>
              <w:left w:val="nil"/>
              <w:bottom w:val="nil"/>
              <w:right w:val="nil"/>
            </w:tcBorders>
            <w:shd w:val="clear" w:color="auto" w:fill="E7E6E6" w:themeFill="background2"/>
          </w:tcPr>
          <w:p w14:paraId="194C4AFD"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46,8911</w:t>
            </w:r>
          </w:p>
        </w:tc>
        <w:tc>
          <w:tcPr>
            <w:tcW w:w="1416" w:type="dxa"/>
            <w:tcBorders>
              <w:top w:val="nil"/>
              <w:left w:val="nil"/>
              <w:bottom w:val="nil"/>
              <w:right w:val="nil"/>
            </w:tcBorders>
            <w:shd w:val="clear" w:color="auto" w:fill="E7E6E6" w:themeFill="background2"/>
          </w:tcPr>
          <w:p w14:paraId="1EE598F0"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0,82129</w:t>
            </w:r>
          </w:p>
        </w:tc>
      </w:tr>
      <w:tr w:rsidR="00CE346C" w:rsidRPr="00C405FD" w14:paraId="2CCFDD96" w14:textId="77777777" w:rsidTr="00CE346C">
        <w:trPr>
          <w:gridAfter w:val="1"/>
          <w:wAfter w:w="77" w:type="dxa"/>
          <w:cantSplit/>
          <w:jc w:val="center"/>
        </w:trPr>
        <w:tc>
          <w:tcPr>
            <w:tcW w:w="2552" w:type="dxa"/>
            <w:vMerge/>
            <w:tcBorders>
              <w:left w:val="nil"/>
              <w:right w:val="nil"/>
            </w:tcBorders>
            <w:shd w:val="clear" w:color="auto" w:fill="FFFFFF" w:themeFill="background1"/>
            <w:vAlign w:val="bottom"/>
          </w:tcPr>
          <w:p w14:paraId="64B9B552" w14:textId="77777777" w:rsidR="00CE346C" w:rsidRPr="00C405FD" w:rsidRDefault="00CE346C"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2977" w:type="dxa"/>
            <w:tcBorders>
              <w:top w:val="nil"/>
              <w:left w:val="nil"/>
              <w:bottom w:val="nil"/>
              <w:right w:val="nil"/>
            </w:tcBorders>
            <w:shd w:val="clear" w:color="auto" w:fill="FFFFFF" w:themeFill="background1"/>
          </w:tcPr>
          <w:p w14:paraId="436DE5AD" w14:textId="77777777" w:rsidR="00CE346C" w:rsidRPr="00C405FD" w:rsidRDefault="00CE346C"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937AEA">
              <w:rPr>
                <w:rFonts w:asciiTheme="majorBidi" w:hAnsiTheme="majorBidi" w:cstheme="majorBidi"/>
                <w:color w:val="000000"/>
                <w:sz w:val="22"/>
              </w:rPr>
              <w:t>Mediana</w:t>
            </w:r>
          </w:p>
        </w:tc>
        <w:tc>
          <w:tcPr>
            <w:tcW w:w="1626" w:type="dxa"/>
            <w:tcBorders>
              <w:top w:val="nil"/>
              <w:left w:val="nil"/>
              <w:bottom w:val="nil"/>
              <w:right w:val="nil"/>
            </w:tcBorders>
            <w:shd w:val="clear" w:color="auto" w:fill="FFFFFF" w:themeFill="background1"/>
          </w:tcPr>
          <w:p w14:paraId="6A110459"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43,4704</w:t>
            </w:r>
          </w:p>
        </w:tc>
        <w:tc>
          <w:tcPr>
            <w:tcW w:w="1416" w:type="dxa"/>
            <w:tcBorders>
              <w:top w:val="nil"/>
              <w:left w:val="nil"/>
              <w:bottom w:val="nil"/>
              <w:right w:val="nil"/>
            </w:tcBorders>
            <w:shd w:val="clear" w:color="auto" w:fill="FFFFFF" w:themeFill="background1"/>
            <w:vAlign w:val="center"/>
          </w:tcPr>
          <w:p w14:paraId="29E0B6C1"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E346C" w:rsidRPr="00C405FD" w14:paraId="5F1CF6D9" w14:textId="77777777" w:rsidTr="00CE346C">
        <w:trPr>
          <w:gridAfter w:val="1"/>
          <w:wAfter w:w="77" w:type="dxa"/>
          <w:cantSplit/>
          <w:jc w:val="center"/>
        </w:trPr>
        <w:tc>
          <w:tcPr>
            <w:tcW w:w="2552" w:type="dxa"/>
            <w:vMerge/>
            <w:tcBorders>
              <w:left w:val="nil"/>
              <w:right w:val="nil"/>
            </w:tcBorders>
            <w:shd w:val="clear" w:color="auto" w:fill="FFFFFF" w:themeFill="background1"/>
            <w:vAlign w:val="bottom"/>
          </w:tcPr>
          <w:p w14:paraId="3D74844E" w14:textId="77777777" w:rsidR="00CE346C" w:rsidRPr="00C405FD" w:rsidRDefault="00CE346C"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2977" w:type="dxa"/>
            <w:tcBorders>
              <w:top w:val="nil"/>
              <w:left w:val="nil"/>
              <w:bottom w:val="nil"/>
              <w:right w:val="nil"/>
            </w:tcBorders>
            <w:shd w:val="clear" w:color="auto" w:fill="E7E6E6" w:themeFill="background2"/>
          </w:tcPr>
          <w:p w14:paraId="3A0482BF" w14:textId="77777777" w:rsidR="00CE346C" w:rsidRPr="00C405FD" w:rsidRDefault="00CE346C"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937AEA">
              <w:rPr>
                <w:rFonts w:asciiTheme="majorBidi" w:hAnsiTheme="majorBidi" w:cstheme="majorBidi"/>
                <w:color w:val="000000"/>
                <w:sz w:val="22"/>
              </w:rPr>
              <w:t>Variância</w:t>
            </w:r>
          </w:p>
        </w:tc>
        <w:tc>
          <w:tcPr>
            <w:tcW w:w="1626" w:type="dxa"/>
            <w:tcBorders>
              <w:top w:val="nil"/>
              <w:left w:val="nil"/>
              <w:bottom w:val="nil"/>
              <w:right w:val="nil"/>
            </w:tcBorders>
            <w:shd w:val="clear" w:color="auto" w:fill="E7E6E6" w:themeFill="background2"/>
          </w:tcPr>
          <w:p w14:paraId="5A18AE21"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229,334</w:t>
            </w:r>
          </w:p>
        </w:tc>
        <w:tc>
          <w:tcPr>
            <w:tcW w:w="1416" w:type="dxa"/>
            <w:tcBorders>
              <w:top w:val="nil"/>
              <w:left w:val="nil"/>
              <w:bottom w:val="nil"/>
              <w:right w:val="nil"/>
            </w:tcBorders>
            <w:shd w:val="clear" w:color="auto" w:fill="E7E6E6" w:themeFill="background2"/>
            <w:vAlign w:val="center"/>
          </w:tcPr>
          <w:p w14:paraId="7FDD1288"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E346C" w:rsidRPr="00C405FD" w14:paraId="5ABCAFC3" w14:textId="77777777" w:rsidTr="00CE346C">
        <w:trPr>
          <w:gridAfter w:val="1"/>
          <w:wAfter w:w="77" w:type="dxa"/>
          <w:cantSplit/>
          <w:jc w:val="center"/>
        </w:trPr>
        <w:tc>
          <w:tcPr>
            <w:tcW w:w="2552" w:type="dxa"/>
            <w:vMerge/>
            <w:tcBorders>
              <w:left w:val="nil"/>
              <w:right w:val="nil"/>
            </w:tcBorders>
            <w:shd w:val="clear" w:color="auto" w:fill="FFFFFF" w:themeFill="background1"/>
            <w:vAlign w:val="bottom"/>
          </w:tcPr>
          <w:p w14:paraId="7536BE04" w14:textId="77777777" w:rsidR="00CE346C" w:rsidRPr="00C405FD" w:rsidRDefault="00CE346C"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2977" w:type="dxa"/>
            <w:tcBorders>
              <w:top w:val="nil"/>
              <w:left w:val="nil"/>
              <w:bottom w:val="nil"/>
              <w:right w:val="nil"/>
            </w:tcBorders>
            <w:shd w:val="clear" w:color="auto" w:fill="FFFFFF" w:themeFill="background1"/>
          </w:tcPr>
          <w:p w14:paraId="5024A1D4" w14:textId="77777777" w:rsidR="00CE346C" w:rsidRPr="00C405FD" w:rsidRDefault="00CE346C"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937AEA">
              <w:rPr>
                <w:rFonts w:asciiTheme="majorBidi" w:hAnsiTheme="majorBidi" w:cstheme="majorBidi"/>
                <w:color w:val="000000"/>
                <w:sz w:val="22"/>
              </w:rPr>
              <w:t>Erro Padrão</w:t>
            </w:r>
          </w:p>
        </w:tc>
        <w:tc>
          <w:tcPr>
            <w:tcW w:w="1626" w:type="dxa"/>
            <w:tcBorders>
              <w:top w:val="nil"/>
              <w:left w:val="nil"/>
              <w:bottom w:val="nil"/>
              <w:right w:val="nil"/>
            </w:tcBorders>
            <w:shd w:val="clear" w:color="auto" w:fill="FFFFFF" w:themeFill="background1"/>
          </w:tcPr>
          <w:p w14:paraId="28611DF4"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15,14377</w:t>
            </w:r>
          </w:p>
        </w:tc>
        <w:tc>
          <w:tcPr>
            <w:tcW w:w="1416" w:type="dxa"/>
            <w:tcBorders>
              <w:top w:val="nil"/>
              <w:left w:val="nil"/>
              <w:bottom w:val="nil"/>
              <w:right w:val="nil"/>
            </w:tcBorders>
            <w:shd w:val="clear" w:color="auto" w:fill="FFFFFF" w:themeFill="background1"/>
            <w:vAlign w:val="center"/>
          </w:tcPr>
          <w:p w14:paraId="30C6EE9C"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E346C" w:rsidRPr="00C405FD" w14:paraId="57B6F537" w14:textId="77777777" w:rsidTr="00CE346C">
        <w:trPr>
          <w:gridAfter w:val="1"/>
          <w:wAfter w:w="77" w:type="dxa"/>
          <w:cantSplit/>
          <w:jc w:val="center"/>
        </w:trPr>
        <w:tc>
          <w:tcPr>
            <w:tcW w:w="2552" w:type="dxa"/>
            <w:vMerge/>
            <w:tcBorders>
              <w:left w:val="nil"/>
              <w:right w:val="nil"/>
            </w:tcBorders>
            <w:shd w:val="clear" w:color="auto" w:fill="FFFFFF" w:themeFill="background1"/>
            <w:vAlign w:val="bottom"/>
          </w:tcPr>
          <w:p w14:paraId="13AFA48F" w14:textId="77777777" w:rsidR="00CE346C" w:rsidRPr="00C405FD" w:rsidRDefault="00CE346C"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2977" w:type="dxa"/>
            <w:tcBorders>
              <w:top w:val="nil"/>
              <w:left w:val="nil"/>
              <w:bottom w:val="nil"/>
              <w:right w:val="nil"/>
            </w:tcBorders>
            <w:shd w:val="clear" w:color="auto" w:fill="E7E6E6" w:themeFill="background2"/>
          </w:tcPr>
          <w:p w14:paraId="5448B7D2" w14:textId="77777777" w:rsidR="00CE346C" w:rsidRPr="00C405FD" w:rsidRDefault="00CE346C"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937AEA">
              <w:rPr>
                <w:rFonts w:asciiTheme="majorBidi" w:hAnsiTheme="majorBidi" w:cstheme="majorBidi"/>
                <w:color w:val="000000"/>
                <w:sz w:val="22"/>
              </w:rPr>
              <w:t>Mínimo</w:t>
            </w:r>
          </w:p>
        </w:tc>
        <w:tc>
          <w:tcPr>
            <w:tcW w:w="1626" w:type="dxa"/>
            <w:tcBorders>
              <w:top w:val="nil"/>
              <w:left w:val="nil"/>
              <w:bottom w:val="nil"/>
              <w:right w:val="nil"/>
            </w:tcBorders>
            <w:shd w:val="clear" w:color="auto" w:fill="E7E6E6" w:themeFill="background2"/>
          </w:tcPr>
          <w:p w14:paraId="04C0E423"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7,00</w:t>
            </w:r>
          </w:p>
        </w:tc>
        <w:tc>
          <w:tcPr>
            <w:tcW w:w="1416" w:type="dxa"/>
            <w:tcBorders>
              <w:top w:val="nil"/>
              <w:left w:val="nil"/>
              <w:bottom w:val="nil"/>
              <w:right w:val="nil"/>
            </w:tcBorders>
            <w:shd w:val="clear" w:color="auto" w:fill="E7E6E6" w:themeFill="background2"/>
            <w:vAlign w:val="center"/>
          </w:tcPr>
          <w:p w14:paraId="76FCB4F4"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E346C" w:rsidRPr="00C405FD" w14:paraId="1A5A8F82" w14:textId="77777777" w:rsidTr="00CE346C">
        <w:trPr>
          <w:gridAfter w:val="1"/>
          <w:wAfter w:w="77" w:type="dxa"/>
          <w:cantSplit/>
          <w:jc w:val="center"/>
        </w:trPr>
        <w:tc>
          <w:tcPr>
            <w:tcW w:w="2552" w:type="dxa"/>
            <w:vMerge/>
            <w:tcBorders>
              <w:left w:val="nil"/>
              <w:right w:val="nil"/>
            </w:tcBorders>
            <w:shd w:val="clear" w:color="auto" w:fill="FFFFFF" w:themeFill="background1"/>
            <w:vAlign w:val="bottom"/>
          </w:tcPr>
          <w:p w14:paraId="20EA337F" w14:textId="77777777" w:rsidR="00CE346C" w:rsidRPr="00C405FD" w:rsidRDefault="00CE346C"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2977" w:type="dxa"/>
            <w:tcBorders>
              <w:top w:val="nil"/>
              <w:left w:val="nil"/>
              <w:bottom w:val="nil"/>
              <w:right w:val="nil"/>
            </w:tcBorders>
            <w:shd w:val="clear" w:color="auto" w:fill="FFFFFF" w:themeFill="background1"/>
          </w:tcPr>
          <w:p w14:paraId="53C653EC" w14:textId="77777777" w:rsidR="00CE346C" w:rsidRPr="00C405FD" w:rsidRDefault="00CE346C"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937AEA">
              <w:rPr>
                <w:rFonts w:asciiTheme="majorBidi" w:hAnsiTheme="majorBidi" w:cstheme="majorBidi"/>
                <w:color w:val="000000"/>
                <w:sz w:val="22"/>
              </w:rPr>
              <w:t>Máximo</w:t>
            </w:r>
          </w:p>
        </w:tc>
        <w:tc>
          <w:tcPr>
            <w:tcW w:w="1626" w:type="dxa"/>
            <w:tcBorders>
              <w:top w:val="nil"/>
              <w:left w:val="nil"/>
              <w:bottom w:val="nil"/>
              <w:right w:val="nil"/>
            </w:tcBorders>
            <w:shd w:val="clear" w:color="auto" w:fill="FFFFFF" w:themeFill="background1"/>
          </w:tcPr>
          <w:p w14:paraId="7A8E54D4"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93,82</w:t>
            </w:r>
          </w:p>
        </w:tc>
        <w:tc>
          <w:tcPr>
            <w:tcW w:w="1416" w:type="dxa"/>
            <w:tcBorders>
              <w:top w:val="nil"/>
              <w:left w:val="nil"/>
              <w:bottom w:val="nil"/>
              <w:right w:val="nil"/>
            </w:tcBorders>
            <w:shd w:val="clear" w:color="auto" w:fill="FFFFFF" w:themeFill="background1"/>
            <w:vAlign w:val="center"/>
          </w:tcPr>
          <w:p w14:paraId="41594FE3"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E346C" w:rsidRPr="00C405FD" w14:paraId="0D577C77" w14:textId="77777777" w:rsidTr="00CE346C">
        <w:trPr>
          <w:gridAfter w:val="1"/>
          <w:wAfter w:w="77" w:type="dxa"/>
          <w:cantSplit/>
          <w:jc w:val="center"/>
        </w:trPr>
        <w:tc>
          <w:tcPr>
            <w:tcW w:w="2552" w:type="dxa"/>
            <w:vMerge/>
            <w:tcBorders>
              <w:left w:val="nil"/>
              <w:right w:val="nil"/>
            </w:tcBorders>
            <w:shd w:val="clear" w:color="auto" w:fill="FFFFFF" w:themeFill="background1"/>
            <w:vAlign w:val="bottom"/>
          </w:tcPr>
          <w:p w14:paraId="1F40321D" w14:textId="77777777" w:rsidR="00CE346C" w:rsidRPr="00C405FD" w:rsidRDefault="00CE346C"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2977" w:type="dxa"/>
            <w:tcBorders>
              <w:top w:val="nil"/>
              <w:left w:val="nil"/>
              <w:bottom w:val="nil"/>
              <w:right w:val="nil"/>
            </w:tcBorders>
            <w:shd w:val="clear" w:color="auto" w:fill="E7E6E6" w:themeFill="background2"/>
          </w:tcPr>
          <w:p w14:paraId="7CCF4BBD" w14:textId="77777777" w:rsidR="00CE346C" w:rsidRPr="00C405FD" w:rsidRDefault="00CE346C"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937AEA">
              <w:rPr>
                <w:rFonts w:asciiTheme="majorBidi" w:hAnsiTheme="majorBidi" w:cstheme="majorBidi"/>
                <w:color w:val="000000"/>
                <w:sz w:val="22"/>
              </w:rPr>
              <w:t>Amplitude</w:t>
            </w:r>
          </w:p>
        </w:tc>
        <w:tc>
          <w:tcPr>
            <w:tcW w:w="1626" w:type="dxa"/>
            <w:tcBorders>
              <w:top w:val="nil"/>
              <w:left w:val="nil"/>
              <w:bottom w:val="nil"/>
              <w:right w:val="nil"/>
            </w:tcBorders>
            <w:shd w:val="clear" w:color="auto" w:fill="E7E6E6" w:themeFill="background2"/>
          </w:tcPr>
          <w:p w14:paraId="37997D42"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86,82</w:t>
            </w:r>
          </w:p>
        </w:tc>
        <w:tc>
          <w:tcPr>
            <w:tcW w:w="1416" w:type="dxa"/>
            <w:tcBorders>
              <w:top w:val="nil"/>
              <w:left w:val="nil"/>
              <w:bottom w:val="nil"/>
              <w:right w:val="nil"/>
            </w:tcBorders>
            <w:shd w:val="clear" w:color="auto" w:fill="E7E6E6" w:themeFill="background2"/>
            <w:vAlign w:val="center"/>
          </w:tcPr>
          <w:p w14:paraId="16672086"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E346C" w:rsidRPr="00C405FD" w14:paraId="7F3595AE" w14:textId="77777777" w:rsidTr="00CE346C">
        <w:trPr>
          <w:gridAfter w:val="1"/>
          <w:wAfter w:w="77" w:type="dxa"/>
          <w:cantSplit/>
          <w:jc w:val="center"/>
        </w:trPr>
        <w:tc>
          <w:tcPr>
            <w:tcW w:w="2552" w:type="dxa"/>
            <w:vMerge/>
            <w:tcBorders>
              <w:left w:val="nil"/>
              <w:right w:val="nil"/>
            </w:tcBorders>
            <w:shd w:val="clear" w:color="auto" w:fill="FFFFFF" w:themeFill="background1"/>
            <w:vAlign w:val="bottom"/>
          </w:tcPr>
          <w:p w14:paraId="704E9527" w14:textId="77777777" w:rsidR="00CE346C" w:rsidRPr="00C405FD" w:rsidRDefault="00CE346C"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2977" w:type="dxa"/>
            <w:tcBorders>
              <w:top w:val="nil"/>
              <w:left w:val="nil"/>
              <w:bottom w:val="nil"/>
              <w:right w:val="nil"/>
            </w:tcBorders>
            <w:shd w:val="clear" w:color="auto" w:fill="FFFFFF" w:themeFill="background1"/>
          </w:tcPr>
          <w:p w14:paraId="11BCF4A7" w14:textId="77777777" w:rsidR="00CE346C" w:rsidRPr="00C405FD" w:rsidRDefault="00CE346C"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937AEA">
              <w:rPr>
                <w:rFonts w:asciiTheme="majorBidi" w:hAnsiTheme="majorBidi" w:cstheme="majorBidi"/>
                <w:color w:val="000000"/>
                <w:sz w:val="22"/>
              </w:rPr>
              <w:t>Amplitude interquartil</w:t>
            </w:r>
          </w:p>
        </w:tc>
        <w:tc>
          <w:tcPr>
            <w:tcW w:w="1626" w:type="dxa"/>
            <w:tcBorders>
              <w:top w:val="nil"/>
              <w:left w:val="nil"/>
              <w:bottom w:val="nil"/>
              <w:right w:val="nil"/>
            </w:tcBorders>
            <w:shd w:val="clear" w:color="auto" w:fill="FFFFFF" w:themeFill="background1"/>
          </w:tcPr>
          <w:p w14:paraId="19026B55"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20,29</w:t>
            </w:r>
          </w:p>
        </w:tc>
        <w:tc>
          <w:tcPr>
            <w:tcW w:w="1416" w:type="dxa"/>
            <w:tcBorders>
              <w:top w:val="nil"/>
              <w:left w:val="nil"/>
              <w:bottom w:val="nil"/>
              <w:right w:val="nil"/>
            </w:tcBorders>
            <w:shd w:val="clear" w:color="auto" w:fill="FFFFFF" w:themeFill="background1"/>
            <w:vAlign w:val="center"/>
          </w:tcPr>
          <w:p w14:paraId="0CDC6C5B"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CE346C" w:rsidRPr="00C405FD" w14:paraId="3C7633E8" w14:textId="77777777" w:rsidTr="00CE346C">
        <w:trPr>
          <w:gridAfter w:val="1"/>
          <w:wAfter w:w="77" w:type="dxa"/>
          <w:cantSplit/>
          <w:jc w:val="center"/>
        </w:trPr>
        <w:tc>
          <w:tcPr>
            <w:tcW w:w="2552" w:type="dxa"/>
            <w:vMerge/>
            <w:tcBorders>
              <w:left w:val="nil"/>
              <w:right w:val="nil"/>
            </w:tcBorders>
            <w:shd w:val="clear" w:color="auto" w:fill="FFFFFF" w:themeFill="background1"/>
            <w:vAlign w:val="bottom"/>
          </w:tcPr>
          <w:p w14:paraId="45BC1E02" w14:textId="77777777" w:rsidR="00CE346C" w:rsidRPr="00C405FD" w:rsidRDefault="00CE346C"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2977" w:type="dxa"/>
            <w:tcBorders>
              <w:top w:val="nil"/>
              <w:left w:val="nil"/>
              <w:bottom w:val="nil"/>
              <w:right w:val="nil"/>
            </w:tcBorders>
            <w:shd w:val="clear" w:color="auto" w:fill="E7E6E6" w:themeFill="background2"/>
          </w:tcPr>
          <w:p w14:paraId="5CD81ED9" w14:textId="77777777" w:rsidR="00CE346C" w:rsidRPr="00C405FD" w:rsidRDefault="00CE346C"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937AEA">
              <w:rPr>
                <w:rFonts w:asciiTheme="majorBidi" w:hAnsiTheme="majorBidi" w:cstheme="majorBidi"/>
                <w:color w:val="000000"/>
                <w:sz w:val="22"/>
              </w:rPr>
              <w:t>Assimetria</w:t>
            </w:r>
          </w:p>
        </w:tc>
        <w:tc>
          <w:tcPr>
            <w:tcW w:w="1626" w:type="dxa"/>
            <w:tcBorders>
              <w:top w:val="nil"/>
              <w:left w:val="nil"/>
              <w:bottom w:val="nil"/>
              <w:right w:val="nil"/>
            </w:tcBorders>
            <w:shd w:val="clear" w:color="auto" w:fill="E7E6E6" w:themeFill="background2"/>
          </w:tcPr>
          <w:p w14:paraId="6A2448CA"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0,531</w:t>
            </w:r>
          </w:p>
        </w:tc>
        <w:tc>
          <w:tcPr>
            <w:tcW w:w="1416" w:type="dxa"/>
            <w:tcBorders>
              <w:top w:val="nil"/>
              <w:left w:val="nil"/>
              <w:bottom w:val="nil"/>
              <w:right w:val="nil"/>
            </w:tcBorders>
            <w:shd w:val="clear" w:color="auto" w:fill="E7E6E6" w:themeFill="background2"/>
          </w:tcPr>
          <w:p w14:paraId="0D09650C"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0,132</w:t>
            </w:r>
          </w:p>
        </w:tc>
      </w:tr>
      <w:tr w:rsidR="00CE346C" w:rsidRPr="00C405FD" w14:paraId="42790A49" w14:textId="77777777" w:rsidTr="00CE346C">
        <w:trPr>
          <w:gridAfter w:val="1"/>
          <w:wAfter w:w="77" w:type="dxa"/>
          <w:cantSplit/>
          <w:jc w:val="center"/>
        </w:trPr>
        <w:tc>
          <w:tcPr>
            <w:tcW w:w="2552" w:type="dxa"/>
            <w:vMerge/>
            <w:tcBorders>
              <w:left w:val="nil"/>
              <w:bottom w:val="double" w:sz="4" w:space="0" w:color="auto"/>
              <w:right w:val="nil"/>
            </w:tcBorders>
            <w:shd w:val="clear" w:color="auto" w:fill="FFFFFF" w:themeFill="background1"/>
            <w:vAlign w:val="bottom"/>
          </w:tcPr>
          <w:p w14:paraId="1DB22E1D" w14:textId="77777777" w:rsidR="00CE346C" w:rsidRPr="00C405FD" w:rsidRDefault="00CE346C"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2977" w:type="dxa"/>
            <w:tcBorders>
              <w:top w:val="nil"/>
              <w:left w:val="nil"/>
              <w:bottom w:val="double" w:sz="4" w:space="0" w:color="auto"/>
              <w:right w:val="nil"/>
            </w:tcBorders>
            <w:shd w:val="clear" w:color="auto" w:fill="FFFFFF" w:themeFill="background1"/>
          </w:tcPr>
          <w:p w14:paraId="579FD86A" w14:textId="77777777" w:rsidR="00CE346C" w:rsidRPr="00C405FD" w:rsidRDefault="00CE346C"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proofErr w:type="spellStart"/>
            <w:r w:rsidRPr="00937AEA">
              <w:rPr>
                <w:rFonts w:asciiTheme="majorBidi" w:hAnsiTheme="majorBidi" w:cstheme="majorBidi"/>
                <w:color w:val="000000"/>
                <w:sz w:val="22"/>
              </w:rPr>
              <w:t>Curtose</w:t>
            </w:r>
            <w:proofErr w:type="spellEnd"/>
          </w:p>
        </w:tc>
        <w:tc>
          <w:tcPr>
            <w:tcW w:w="1626" w:type="dxa"/>
            <w:tcBorders>
              <w:top w:val="nil"/>
              <w:left w:val="nil"/>
              <w:bottom w:val="double" w:sz="4" w:space="0" w:color="auto"/>
              <w:right w:val="nil"/>
            </w:tcBorders>
            <w:shd w:val="clear" w:color="auto" w:fill="FFFFFF" w:themeFill="background1"/>
          </w:tcPr>
          <w:p w14:paraId="2A3E3818"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0,067</w:t>
            </w:r>
          </w:p>
        </w:tc>
        <w:tc>
          <w:tcPr>
            <w:tcW w:w="1416" w:type="dxa"/>
            <w:tcBorders>
              <w:top w:val="nil"/>
              <w:left w:val="nil"/>
              <w:bottom w:val="double" w:sz="4" w:space="0" w:color="auto"/>
              <w:right w:val="nil"/>
            </w:tcBorders>
            <w:shd w:val="clear" w:color="auto" w:fill="FFFFFF" w:themeFill="background1"/>
          </w:tcPr>
          <w:p w14:paraId="2FFAC58A" w14:textId="77777777" w:rsidR="00CE346C" w:rsidRPr="00C405FD" w:rsidRDefault="00CE346C"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937AEA">
              <w:rPr>
                <w:rFonts w:asciiTheme="majorBidi" w:hAnsiTheme="majorBidi" w:cstheme="majorBidi"/>
                <w:color w:val="000000"/>
                <w:sz w:val="22"/>
              </w:rPr>
              <w:t>0,264</w:t>
            </w:r>
          </w:p>
        </w:tc>
      </w:tr>
    </w:tbl>
    <w:p w14:paraId="2C878321" w14:textId="77D65C9D" w:rsidR="00CE346C" w:rsidRDefault="00F949DE" w:rsidP="00E01944">
      <w:pPr>
        <w:spacing w:before="240" w:line="360" w:lineRule="auto"/>
        <w:jc w:val="both"/>
        <w:rPr>
          <w:rFonts w:eastAsiaTheme="minorEastAsia" w:cs="Times New Roman"/>
          <w:szCs w:val="24"/>
        </w:rPr>
      </w:pPr>
      <w:r>
        <w:rPr>
          <w:rFonts w:cs="Times New Roman"/>
        </w:rPr>
        <w:t xml:space="preserve">Como se observa pela tabela apresentada, </w:t>
      </w:r>
      <w:r w:rsidR="00376BD9">
        <w:rPr>
          <w:rFonts w:cs="Times New Roman"/>
        </w:rPr>
        <w:t>o grupo de municípios com menores taxas de desemprego é mais representativo (1200</w:t>
      </w:r>
      <w:r w:rsidR="00D9490A">
        <w:rPr>
          <w:rFonts w:cs="Times New Roman"/>
        </w:rPr>
        <w:t xml:space="preserve"> observações</w:t>
      </w:r>
      <w:r w:rsidR="00376BD9">
        <w:rPr>
          <w:rFonts w:cs="Times New Roman"/>
        </w:rPr>
        <w:t>) do que o grupo dos municípios com maiores taxas de desemprego (340</w:t>
      </w:r>
      <w:r w:rsidR="00D9490A">
        <w:rPr>
          <w:rFonts w:cs="Times New Roman"/>
        </w:rPr>
        <w:t xml:space="preserve"> observações</w:t>
      </w:r>
      <w:r w:rsidR="00376BD9">
        <w:rPr>
          <w:rFonts w:cs="Times New Roman"/>
        </w:rPr>
        <w:t xml:space="preserve">). Contudo, </w:t>
      </w:r>
      <w:r>
        <w:rPr>
          <w:rFonts w:cs="Times New Roman"/>
        </w:rPr>
        <w:t>os valores médios do ITM, apresentam uma ligeira diferença para os municípios com menores taxas de desemprego</w:t>
      </w:r>
      <w:r w:rsidRPr="00690CCD">
        <w:rPr>
          <w:rFonts w:cs="Times New Roman"/>
        </w:rPr>
        <w:t xml:space="preserve"> (4</w:t>
      </w:r>
      <w:r>
        <w:rPr>
          <w:rFonts w:cs="Times New Roman"/>
        </w:rPr>
        <w:t>1</w:t>
      </w:r>
      <w:r w:rsidRPr="00690CCD">
        <w:rPr>
          <w:rFonts w:cs="Times New Roman"/>
        </w:rPr>
        <w:t>,</w:t>
      </w:r>
      <w:r>
        <w:rPr>
          <w:rFonts w:cs="Times New Roman"/>
        </w:rPr>
        <w:t>7375</w:t>
      </w:r>
      <w:r w:rsidRPr="00690CCD">
        <w:rPr>
          <w:rFonts w:cs="Times New Roman"/>
        </w:rPr>
        <w:t>), em comparação com os</w:t>
      </w:r>
      <w:r>
        <w:rPr>
          <w:rFonts w:cs="Times New Roman"/>
        </w:rPr>
        <w:t xml:space="preserve"> municípios com maiores taxas de desemprego (46,8911)</w:t>
      </w:r>
      <w:r w:rsidRPr="00690CCD">
        <w:rPr>
          <w:rFonts w:cs="Times New Roman"/>
        </w:rPr>
        <w:t xml:space="preserve">. Como ambas as distribuições apresentam assimetria </w:t>
      </w:r>
      <w:r>
        <w:rPr>
          <w:rFonts w:cs="Times New Roman"/>
          <w:color w:val="000000"/>
          <w:sz w:val="22"/>
        </w:rPr>
        <w:t xml:space="preserve"> </w:t>
      </w:r>
      <m:oMath>
        <m:f>
          <m:fPr>
            <m:ctrlPr>
              <w:rPr>
                <w:rFonts w:ascii="Cambria Math" w:hAnsi="Cambria Math" w:cs="Times New Roman"/>
                <w:i/>
                <w:szCs w:val="24"/>
              </w:rPr>
            </m:ctrlPr>
          </m:fPr>
          <m:num>
            <m:r>
              <m:rPr>
                <m:sty m:val="p"/>
              </m:rPr>
              <w:rPr>
                <w:rFonts w:ascii="Cambria Math" w:hAnsi="Cambria Math" w:cs="Times New Roman"/>
                <w:sz w:val="22"/>
              </w:rPr>
              <m:t>0,849</m:t>
            </m:r>
          </m:num>
          <m:den>
            <m:r>
              <m:rPr>
                <m:sty m:val="p"/>
              </m:rPr>
              <w:rPr>
                <w:rFonts w:ascii="Cambria Math" w:hAnsi="Cambria Math" w:cs="Times New Roman"/>
                <w:sz w:val="22"/>
              </w:rPr>
              <m:t>0,071</m:t>
            </m:r>
          </m:den>
        </m:f>
        <m:r>
          <w:rPr>
            <w:rFonts w:ascii="Cambria Math" w:hAnsi="Cambria Math" w:cs="Times New Roman"/>
            <w:szCs w:val="24"/>
          </w:rPr>
          <m:t>=11,958&gt;1,96</m:t>
        </m:r>
      </m:oMath>
      <w:r w:rsidRPr="003425E2">
        <w:rPr>
          <w:rFonts w:eastAsiaTheme="minorEastAsia" w:cs="Times New Roman"/>
          <w:szCs w:val="24"/>
        </w:rPr>
        <w:t xml:space="preserve"> e </w:t>
      </w:r>
      <m:oMath>
        <m:f>
          <m:fPr>
            <m:ctrlPr>
              <w:rPr>
                <w:rFonts w:ascii="Cambria Math" w:hAnsi="Cambria Math" w:cs="Times New Roman"/>
                <w:i/>
                <w:szCs w:val="24"/>
              </w:rPr>
            </m:ctrlPr>
          </m:fPr>
          <m:num>
            <m:r>
              <m:rPr>
                <m:sty m:val="p"/>
              </m:rPr>
              <w:rPr>
                <w:rFonts w:ascii="Cambria Math" w:hAnsi="Cambria Math" w:cs="Times New Roman"/>
                <w:sz w:val="22"/>
              </w:rPr>
              <m:t>0,531</m:t>
            </m:r>
          </m:num>
          <m:den>
            <m:r>
              <m:rPr>
                <m:sty m:val="p"/>
              </m:rPr>
              <w:rPr>
                <w:rFonts w:ascii="Cambria Math" w:hAnsi="Cambria Math" w:cs="Times New Roman"/>
                <w:sz w:val="22"/>
              </w:rPr>
              <m:t>0,132</m:t>
            </m:r>
          </m:den>
        </m:f>
        <m:r>
          <w:rPr>
            <w:rFonts w:ascii="Cambria Math" w:hAnsi="Cambria Math" w:cs="Times New Roman"/>
            <w:szCs w:val="24"/>
          </w:rPr>
          <m:t>=4,023&gt;1,96,</m:t>
        </m:r>
      </m:oMath>
      <w:r w:rsidRPr="003425E2">
        <w:rPr>
          <w:rFonts w:eastAsiaTheme="minorEastAsia" w:cs="Times New Roman"/>
          <w:szCs w:val="24"/>
        </w:rPr>
        <w:t xml:space="preserve"> levou-nos às opções metodológicas de análise descritas nos pontos 4.3.2 e 4.3.3, depois da análise da normalidade das mesmas </w:t>
      </w:r>
      <w:r w:rsidRPr="00990766">
        <w:rPr>
          <w:rFonts w:eastAsiaTheme="minorEastAsia" w:cs="Times New Roman"/>
          <w:szCs w:val="24"/>
        </w:rPr>
        <w:t>(</w:t>
      </w:r>
      <w:r w:rsidR="00F338BB">
        <w:rPr>
          <w:rFonts w:eastAsiaTheme="minorEastAsia" w:cs="Times New Roman"/>
          <w:szCs w:val="24"/>
        </w:rPr>
        <w:t>A</w:t>
      </w:r>
      <w:r w:rsidR="00990766" w:rsidRPr="00990766">
        <w:rPr>
          <w:rFonts w:eastAsiaTheme="minorEastAsia" w:cs="Times New Roman"/>
          <w:szCs w:val="24"/>
        </w:rPr>
        <w:t xml:space="preserve">pêndice </w:t>
      </w:r>
      <w:r w:rsidR="00046806">
        <w:rPr>
          <w:rFonts w:eastAsiaTheme="minorEastAsia" w:cs="Times New Roman"/>
          <w:szCs w:val="24"/>
        </w:rPr>
        <w:t>3</w:t>
      </w:r>
      <w:r w:rsidRPr="00990766">
        <w:rPr>
          <w:rFonts w:eastAsiaTheme="minorEastAsia" w:cs="Times New Roman"/>
          <w:szCs w:val="24"/>
        </w:rPr>
        <w:t>).</w:t>
      </w:r>
    </w:p>
    <w:p w14:paraId="23518E8D" w14:textId="3FCCA7ED" w:rsidR="00A32816" w:rsidRDefault="00E01944" w:rsidP="00E01944">
      <w:pPr>
        <w:spacing w:before="240" w:line="360" w:lineRule="auto"/>
        <w:jc w:val="both"/>
        <w:rPr>
          <w:rFonts w:cs="Times New Roman"/>
          <w:lang w:eastAsia="pt-PT"/>
        </w:rPr>
      </w:pPr>
      <w:r>
        <w:rPr>
          <w:rFonts w:cs="Times New Roman"/>
          <w:lang w:eastAsia="pt-PT"/>
        </w:rPr>
        <w:t xml:space="preserve">Para </w:t>
      </w:r>
      <w:r w:rsidR="00F949DE">
        <w:rPr>
          <w:rFonts w:cs="Times New Roman"/>
          <w:lang w:eastAsia="pt-PT"/>
        </w:rPr>
        <w:t>termos uma melhor perceção das diferenças dos valores médios de ITM entre os grupos</w:t>
      </w:r>
      <w:r>
        <w:rPr>
          <w:rFonts w:cs="Times New Roman"/>
          <w:lang w:eastAsia="pt-PT"/>
        </w:rPr>
        <w:t xml:space="preserve"> </w:t>
      </w:r>
      <w:r w:rsidR="00F949DE">
        <w:rPr>
          <w:rFonts w:cs="Times New Roman"/>
          <w:lang w:eastAsia="pt-PT"/>
        </w:rPr>
        <w:t xml:space="preserve">para os anos de 2013 a 2017 </w:t>
      </w:r>
      <w:r>
        <w:rPr>
          <w:rFonts w:cs="Times New Roman"/>
          <w:lang w:eastAsia="pt-PT"/>
        </w:rPr>
        <w:t>apresenta-se o Gráfico 4.</w:t>
      </w:r>
      <w:r w:rsidR="002079A9">
        <w:rPr>
          <w:rFonts w:cs="Times New Roman"/>
          <w:lang w:eastAsia="pt-PT"/>
        </w:rPr>
        <w:t>6</w:t>
      </w:r>
      <w:r>
        <w:rPr>
          <w:rFonts w:cs="Times New Roman"/>
          <w:lang w:eastAsia="pt-PT"/>
        </w:rPr>
        <w:t xml:space="preserve">. </w:t>
      </w:r>
    </w:p>
    <w:p w14:paraId="7264B0C9" w14:textId="18165747" w:rsidR="002079A9" w:rsidRDefault="002079A9" w:rsidP="00E01944">
      <w:pPr>
        <w:spacing w:before="240" w:line="360" w:lineRule="auto"/>
        <w:jc w:val="both"/>
        <w:rPr>
          <w:rFonts w:cs="Times New Roman"/>
          <w:lang w:eastAsia="pt-PT"/>
        </w:rPr>
      </w:pPr>
    </w:p>
    <w:p w14:paraId="2C1F000F" w14:textId="77777777" w:rsidR="002079A9" w:rsidRDefault="002079A9" w:rsidP="00E01944">
      <w:pPr>
        <w:spacing w:before="240" w:line="360" w:lineRule="auto"/>
        <w:jc w:val="both"/>
        <w:rPr>
          <w:rFonts w:cs="Times New Roman"/>
          <w:lang w:eastAsia="pt-PT"/>
        </w:rPr>
      </w:pPr>
    </w:p>
    <w:p w14:paraId="38A987B3" w14:textId="16BE0FC8" w:rsidR="00E01944" w:rsidRPr="000044C1" w:rsidRDefault="00E01944" w:rsidP="00E01944">
      <w:pPr>
        <w:spacing w:after="60" w:line="360" w:lineRule="auto"/>
        <w:jc w:val="center"/>
        <w:rPr>
          <w:rFonts w:cs="Times New Roman"/>
          <w:lang w:eastAsia="pt-PT"/>
        </w:rPr>
      </w:pPr>
      <w:bookmarkStart w:id="107" w:name="_Toc66624278"/>
      <w:r w:rsidRPr="000044C1">
        <w:rPr>
          <w:rFonts w:cs="Times New Roman"/>
          <w:b/>
          <w:lang w:eastAsia="pt-PT"/>
        </w:rPr>
        <w:lastRenderedPageBreak/>
        <w:t xml:space="preserve">Gráfico </w:t>
      </w:r>
      <w:r w:rsidR="00360329">
        <w:rPr>
          <w:rFonts w:cs="Times New Roman"/>
          <w:b/>
          <w:lang w:eastAsia="pt-PT"/>
        </w:rPr>
        <w:fldChar w:fldCharType="begin"/>
      </w:r>
      <w:r w:rsidR="00360329">
        <w:rPr>
          <w:rFonts w:cs="Times New Roman"/>
          <w:b/>
          <w:lang w:eastAsia="pt-PT"/>
        </w:rPr>
        <w:instrText xml:space="preserve"> STYLEREF 1 \s </w:instrText>
      </w:r>
      <w:r w:rsidR="00360329">
        <w:rPr>
          <w:rFonts w:cs="Times New Roman"/>
          <w:b/>
          <w:lang w:eastAsia="pt-PT"/>
        </w:rPr>
        <w:fldChar w:fldCharType="separate"/>
      </w:r>
      <w:r w:rsidR="00380A6F">
        <w:rPr>
          <w:rFonts w:cs="Times New Roman"/>
          <w:b/>
          <w:noProof/>
          <w:lang w:eastAsia="pt-PT"/>
        </w:rPr>
        <w:t>4</w:t>
      </w:r>
      <w:r w:rsidR="00360329">
        <w:rPr>
          <w:rFonts w:cs="Times New Roman"/>
          <w:b/>
          <w:lang w:eastAsia="pt-PT"/>
        </w:rPr>
        <w:fldChar w:fldCharType="end"/>
      </w:r>
      <w:r w:rsidR="00360329">
        <w:rPr>
          <w:rFonts w:cs="Times New Roman"/>
          <w:b/>
          <w:lang w:eastAsia="pt-PT"/>
        </w:rPr>
        <w:t>.</w:t>
      </w:r>
      <w:r w:rsidR="00360329">
        <w:rPr>
          <w:rFonts w:cs="Times New Roman"/>
          <w:b/>
          <w:lang w:eastAsia="pt-PT"/>
        </w:rPr>
        <w:fldChar w:fldCharType="begin"/>
      </w:r>
      <w:r w:rsidR="00360329">
        <w:rPr>
          <w:rFonts w:cs="Times New Roman"/>
          <w:b/>
          <w:lang w:eastAsia="pt-PT"/>
        </w:rPr>
        <w:instrText xml:space="preserve"> SEQ Gráfico \* ARABIC \s 1 </w:instrText>
      </w:r>
      <w:r w:rsidR="00360329">
        <w:rPr>
          <w:rFonts w:cs="Times New Roman"/>
          <w:b/>
          <w:lang w:eastAsia="pt-PT"/>
        </w:rPr>
        <w:fldChar w:fldCharType="separate"/>
      </w:r>
      <w:r w:rsidR="00380A6F">
        <w:rPr>
          <w:rFonts w:cs="Times New Roman"/>
          <w:b/>
          <w:noProof/>
          <w:lang w:eastAsia="pt-PT"/>
        </w:rPr>
        <w:t>6</w:t>
      </w:r>
      <w:r w:rsidR="00360329">
        <w:rPr>
          <w:rFonts w:cs="Times New Roman"/>
          <w:b/>
          <w:lang w:eastAsia="pt-PT"/>
        </w:rPr>
        <w:fldChar w:fldCharType="end"/>
      </w:r>
      <w:r w:rsidRPr="000044C1">
        <w:rPr>
          <w:rFonts w:cs="Times New Roman"/>
          <w:b/>
          <w:lang w:eastAsia="pt-PT"/>
        </w:rPr>
        <w:t xml:space="preserve"> –</w:t>
      </w:r>
      <w:r w:rsidRPr="000044C1">
        <w:rPr>
          <w:rFonts w:cs="Times New Roman"/>
          <w:lang w:eastAsia="pt-PT"/>
        </w:rPr>
        <w:t xml:space="preserve"> Valores médios de ITM</w:t>
      </w:r>
      <w:r>
        <w:rPr>
          <w:rFonts w:cs="Times New Roman"/>
          <w:lang w:eastAsia="pt-PT"/>
        </w:rPr>
        <w:t>,</w:t>
      </w:r>
      <w:r w:rsidRPr="000044C1">
        <w:rPr>
          <w:rFonts w:cs="Times New Roman"/>
          <w:lang w:eastAsia="pt-PT"/>
        </w:rPr>
        <w:t xml:space="preserve"> por taxas de desemprego</w:t>
      </w:r>
      <w:r>
        <w:rPr>
          <w:rFonts w:cs="Times New Roman"/>
          <w:lang w:eastAsia="pt-PT"/>
        </w:rPr>
        <w:t>,</w:t>
      </w:r>
      <w:r w:rsidRPr="000044C1">
        <w:rPr>
          <w:rFonts w:cs="Times New Roman"/>
          <w:lang w:eastAsia="pt-PT"/>
        </w:rPr>
        <w:t xml:space="preserve"> por ano (2013-2017)</w:t>
      </w:r>
      <w:bookmarkEnd w:id="107"/>
      <w:r w:rsidRPr="000044C1">
        <w:rPr>
          <w:rFonts w:cs="Times New Roman"/>
          <w:lang w:eastAsia="pt-PT"/>
        </w:rPr>
        <w:t xml:space="preserve"> </w:t>
      </w:r>
    </w:p>
    <w:p w14:paraId="5AC7BE9C" w14:textId="77777777" w:rsidR="00E01944" w:rsidRDefault="00E01944" w:rsidP="00E01944">
      <w:pPr>
        <w:spacing w:after="0" w:line="360" w:lineRule="auto"/>
        <w:jc w:val="center"/>
        <w:rPr>
          <w:rFonts w:cs="Times New Roman"/>
        </w:rPr>
      </w:pPr>
      <w:r>
        <w:rPr>
          <w:noProof/>
          <w:lang w:eastAsia="pt-PT"/>
        </w:rPr>
        <w:drawing>
          <wp:inline distT="0" distB="0" distL="0" distR="0" wp14:anchorId="5E1FBB1B" wp14:editId="61AD849E">
            <wp:extent cx="4572000" cy="2077200"/>
            <wp:effectExtent l="0" t="0" r="0" b="0"/>
            <wp:docPr id="19"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bl>
      <w:tblPr>
        <w:tblStyle w:val="TabelacomGrelh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20" w:firstRow="1" w:lastRow="0" w:firstColumn="0" w:lastColumn="0" w:noHBand="1" w:noVBand="1"/>
      </w:tblPr>
      <w:tblGrid>
        <w:gridCol w:w="1984"/>
        <w:gridCol w:w="1930"/>
      </w:tblGrid>
      <w:tr w:rsidR="00E01944" w14:paraId="4087752F" w14:textId="77777777" w:rsidTr="00DC3DB8">
        <w:trPr>
          <w:jc w:val="center"/>
        </w:trPr>
        <w:tc>
          <w:tcPr>
            <w:tcW w:w="1984" w:type="dxa"/>
          </w:tcPr>
          <w:p w14:paraId="3BE845AE" w14:textId="1EE963B2" w:rsidR="00E01944" w:rsidRDefault="00E01944" w:rsidP="00DC3DB8">
            <w:pPr>
              <w:pStyle w:val="PargrafodaLista"/>
              <w:numPr>
                <w:ilvl w:val="0"/>
                <w:numId w:val="20"/>
              </w:numPr>
              <w:ind w:left="170" w:hanging="170"/>
            </w:pPr>
            <w:r w:rsidRPr="00BF2A52">
              <w:rPr>
                <w:sz w:val="20"/>
                <w:szCs w:val="20"/>
              </w:rPr>
              <w:t>0</w:t>
            </w:r>
            <w:r w:rsidRPr="00BF2A52">
              <w:rPr>
                <w:sz w:val="18"/>
                <w:szCs w:val="18"/>
              </w:rPr>
              <w:t xml:space="preserve"> </w:t>
            </w:r>
            <w:r>
              <w:rPr>
                <w:sz w:val="18"/>
                <w:szCs w:val="18"/>
              </w:rPr>
              <w:t>–</w:t>
            </w:r>
            <w:r w:rsidRPr="00BF2A52">
              <w:rPr>
                <w:sz w:val="18"/>
                <w:szCs w:val="18"/>
              </w:rPr>
              <w:t xml:space="preserve"> </w:t>
            </w:r>
            <w:proofErr w:type="spellStart"/>
            <w:r>
              <w:rPr>
                <w:sz w:val="18"/>
                <w:szCs w:val="18"/>
              </w:rPr>
              <w:t>TxD</w:t>
            </w:r>
            <w:proofErr w:type="spellEnd"/>
            <w:r>
              <w:rPr>
                <w:sz w:val="18"/>
                <w:szCs w:val="18"/>
              </w:rPr>
              <w:t xml:space="preserve"> &lt; </w:t>
            </w:r>
            <w:proofErr w:type="spellStart"/>
            <w:r w:rsidR="00CE346C">
              <w:rPr>
                <w:sz w:val="18"/>
                <w:szCs w:val="18"/>
              </w:rPr>
              <w:t>MTxD</w:t>
            </w:r>
            <w:proofErr w:type="spellEnd"/>
          </w:p>
        </w:tc>
        <w:tc>
          <w:tcPr>
            <w:tcW w:w="1930" w:type="dxa"/>
          </w:tcPr>
          <w:p w14:paraId="58C60A56" w14:textId="66386B90" w:rsidR="00E01944" w:rsidRDefault="00E01944" w:rsidP="00DC3DB8">
            <w:pPr>
              <w:pStyle w:val="PargrafodaLista"/>
              <w:numPr>
                <w:ilvl w:val="0"/>
                <w:numId w:val="25"/>
              </w:numPr>
              <w:ind w:left="128" w:hanging="128"/>
            </w:pPr>
            <w:r w:rsidRPr="00FE581A">
              <w:rPr>
                <w:sz w:val="20"/>
                <w:szCs w:val="20"/>
              </w:rPr>
              <w:t>1 –</w:t>
            </w:r>
            <w:r w:rsidRPr="00FE581A">
              <w:rPr>
                <w:sz w:val="28"/>
                <w:szCs w:val="24"/>
              </w:rPr>
              <w:t xml:space="preserve"> </w:t>
            </w:r>
            <w:proofErr w:type="spellStart"/>
            <w:r w:rsidR="00CE346C" w:rsidRPr="00CE346C">
              <w:rPr>
                <w:sz w:val="18"/>
                <w:szCs w:val="18"/>
              </w:rPr>
              <w:t>TxD</w:t>
            </w:r>
            <w:proofErr w:type="spellEnd"/>
            <w:r>
              <w:rPr>
                <w:sz w:val="18"/>
                <w:szCs w:val="18"/>
              </w:rPr>
              <w:t xml:space="preserve"> </w:t>
            </w:r>
            <w:r w:rsidR="00046806">
              <w:rPr>
                <w:rFonts w:cs="Times New Roman"/>
                <w:sz w:val="18"/>
                <w:szCs w:val="18"/>
              </w:rPr>
              <w:t>≥</w:t>
            </w:r>
            <w:r>
              <w:rPr>
                <w:sz w:val="18"/>
                <w:szCs w:val="18"/>
              </w:rPr>
              <w:t xml:space="preserve"> </w:t>
            </w:r>
            <w:proofErr w:type="spellStart"/>
            <w:r w:rsidR="00CE346C">
              <w:rPr>
                <w:sz w:val="18"/>
                <w:szCs w:val="18"/>
              </w:rPr>
              <w:t>MTxD</w:t>
            </w:r>
            <w:proofErr w:type="spellEnd"/>
          </w:p>
        </w:tc>
      </w:tr>
    </w:tbl>
    <w:p w14:paraId="31E0A871" w14:textId="07E04A13" w:rsidR="00FF3C2C" w:rsidRDefault="00E01944" w:rsidP="007C717F">
      <w:pPr>
        <w:spacing w:before="240" w:line="360" w:lineRule="auto"/>
        <w:jc w:val="both"/>
        <w:rPr>
          <w:rFonts w:cs="Times New Roman"/>
          <w:lang w:eastAsia="pt-PT"/>
        </w:rPr>
      </w:pPr>
      <w:r>
        <w:rPr>
          <w:rFonts w:cs="Times New Roman"/>
          <w:lang w:eastAsia="pt-PT"/>
        </w:rPr>
        <w:t>Através do Gráfico 4.</w:t>
      </w:r>
      <w:r w:rsidR="00360329">
        <w:rPr>
          <w:rFonts w:cs="Times New Roman"/>
          <w:lang w:eastAsia="pt-PT"/>
        </w:rPr>
        <w:t>6</w:t>
      </w:r>
      <w:r>
        <w:rPr>
          <w:rFonts w:cs="Times New Roman"/>
          <w:lang w:eastAsia="pt-PT"/>
        </w:rPr>
        <w:t xml:space="preserve"> </w:t>
      </w:r>
      <w:r w:rsidR="00EA6FAD">
        <w:rPr>
          <w:rFonts w:cs="Times New Roman"/>
          <w:lang w:eastAsia="pt-PT"/>
        </w:rPr>
        <w:t>o</w:t>
      </w:r>
      <w:r w:rsidR="00B4646C">
        <w:rPr>
          <w:rFonts w:cs="Times New Roman"/>
          <w:lang w:eastAsia="pt-PT"/>
        </w:rPr>
        <w:t>bserva-se</w:t>
      </w:r>
      <w:r>
        <w:rPr>
          <w:rFonts w:cs="Times New Roman"/>
          <w:lang w:eastAsia="pt-PT"/>
        </w:rPr>
        <w:t xml:space="preserve"> que os municípios que apresentam maiores taxas de desemprego (</w:t>
      </w:r>
      <w:proofErr w:type="spellStart"/>
      <w:r>
        <w:rPr>
          <w:rFonts w:cs="Times New Roman"/>
          <w:lang w:eastAsia="pt-PT"/>
        </w:rPr>
        <w:t>TxD</w:t>
      </w:r>
      <w:proofErr w:type="spellEnd"/>
      <w:r>
        <w:rPr>
          <w:rFonts w:cs="Times New Roman"/>
          <w:lang w:eastAsia="pt-PT"/>
        </w:rPr>
        <w:t xml:space="preserve"> </w:t>
      </w:r>
      <w:r w:rsidR="00046806">
        <w:rPr>
          <w:rFonts w:cs="Times New Roman"/>
          <w:lang w:eastAsia="pt-PT"/>
        </w:rPr>
        <w:t xml:space="preserve">≥ </w:t>
      </w:r>
      <w:proofErr w:type="spellStart"/>
      <w:r w:rsidR="00F949DE">
        <w:rPr>
          <w:rFonts w:cs="Times New Roman"/>
          <w:lang w:eastAsia="pt-PT"/>
        </w:rPr>
        <w:t>MTxD</w:t>
      </w:r>
      <w:proofErr w:type="spellEnd"/>
      <w:r>
        <w:rPr>
          <w:rFonts w:cs="Times New Roman"/>
          <w:lang w:eastAsia="pt-PT"/>
        </w:rPr>
        <w:t xml:space="preserve">) mantem-se ao longo dos anos acima da média do ITM, ou seja, apresentam maiores níveis de transparência. Desta forma, é possível </w:t>
      </w:r>
      <w:r w:rsidR="007C717F">
        <w:rPr>
          <w:rFonts w:cs="Times New Roman"/>
          <w:lang w:eastAsia="pt-PT"/>
        </w:rPr>
        <w:t>evidenciar que os municípios com maiores taxas de desemprego apresentam maiores níveis de transparência, como indicado</w:t>
      </w:r>
      <w:r>
        <w:rPr>
          <w:rFonts w:cs="Times New Roman"/>
          <w:lang w:eastAsia="pt-PT"/>
        </w:rPr>
        <w:t xml:space="preserve"> </w:t>
      </w:r>
      <w:r w:rsidR="007C717F">
        <w:rPr>
          <w:rFonts w:cs="Times New Roman"/>
          <w:lang w:eastAsia="pt-PT"/>
        </w:rPr>
        <w:t>n</w:t>
      </w:r>
      <w:r>
        <w:rPr>
          <w:rFonts w:cs="Times New Roman"/>
          <w:lang w:eastAsia="pt-PT"/>
        </w:rPr>
        <w:t>a hipótese em estudo.</w:t>
      </w:r>
      <w:r w:rsidR="00787807">
        <w:rPr>
          <w:rFonts w:cs="Times New Roman"/>
          <w:lang w:eastAsia="pt-PT"/>
        </w:rPr>
        <w:t xml:space="preserve"> </w:t>
      </w:r>
    </w:p>
    <w:p w14:paraId="31DB8FFD" w14:textId="7AB4A63C" w:rsidR="003E006E" w:rsidRPr="003E006E" w:rsidRDefault="003E006E" w:rsidP="003E006E">
      <w:pPr>
        <w:pStyle w:val="PargrafodaLista"/>
        <w:numPr>
          <w:ilvl w:val="0"/>
          <w:numId w:val="37"/>
        </w:numPr>
        <w:spacing w:line="360" w:lineRule="auto"/>
        <w:jc w:val="both"/>
        <w:rPr>
          <w:rFonts w:cs="Times New Roman"/>
          <w:b/>
          <w:bCs/>
        </w:rPr>
      </w:pPr>
      <w:r>
        <w:rPr>
          <w:rFonts w:cs="Times New Roman"/>
          <w:b/>
          <w:bCs/>
        </w:rPr>
        <w:t>ITM por</w:t>
      </w:r>
      <w:r>
        <w:rPr>
          <w:rFonts w:cs="Times New Roman"/>
          <w:b/>
          <w:bCs/>
          <w:shd w:val="clear" w:color="auto" w:fill="FFFFFF" w:themeFill="background1"/>
        </w:rPr>
        <w:t xml:space="preserve"> percentagem de abstenção (PA)</w:t>
      </w:r>
    </w:p>
    <w:p w14:paraId="6CDE31F4" w14:textId="5A42AF67" w:rsidR="00AF7CDF" w:rsidRDefault="00AF7CDF" w:rsidP="007C717F">
      <w:pPr>
        <w:spacing w:before="240" w:line="360" w:lineRule="auto"/>
        <w:jc w:val="both"/>
        <w:rPr>
          <w:rFonts w:cs="Times New Roman"/>
          <w:lang w:eastAsia="pt-PT"/>
        </w:rPr>
      </w:pPr>
      <w:r>
        <w:rPr>
          <w:rFonts w:cs="Times New Roman"/>
          <w:lang w:eastAsia="pt-PT"/>
        </w:rPr>
        <w:t>Por fim, para relacionar os valores médios de ITM com a percentagem de abstenção de cada município, foram agrupados os dados em dois grupos:</w:t>
      </w:r>
    </w:p>
    <w:p w14:paraId="262AAE82" w14:textId="2EF280ED" w:rsidR="00AF7CDF" w:rsidRDefault="00AF7CDF" w:rsidP="00AF7CDF">
      <w:pPr>
        <w:pStyle w:val="PargrafodaLista"/>
        <w:numPr>
          <w:ilvl w:val="0"/>
          <w:numId w:val="36"/>
        </w:numPr>
        <w:spacing w:before="240" w:line="360" w:lineRule="auto"/>
        <w:jc w:val="both"/>
        <w:rPr>
          <w:rFonts w:cs="Times New Roman"/>
          <w:lang w:eastAsia="pt-PT"/>
        </w:rPr>
      </w:pPr>
      <w:r>
        <w:rPr>
          <w:rFonts w:cs="Times New Roman"/>
          <w:lang w:eastAsia="pt-PT"/>
        </w:rPr>
        <w:t xml:space="preserve">0 – Municípios com </w:t>
      </w:r>
      <w:r w:rsidR="00F718E1">
        <w:rPr>
          <w:rFonts w:cs="Times New Roman"/>
          <w:lang w:eastAsia="pt-PT"/>
        </w:rPr>
        <w:t xml:space="preserve">menor percentagem de abstenção </w:t>
      </w:r>
      <w:r>
        <w:rPr>
          <w:rFonts w:cs="Times New Roman"/>
          <w:lang w:eastAsia="pt-PT"/>
        </w:rPr>
        <w:t xml:space="preserve">(PA &lt; </w:t>
      </w:r>
      <w:r w:rsidR="00F949DE">
        <w:rPr>
          <w:rFonts w:cs="Times New Roman"/>
          <w:lang w:eastAsia="pt-PT"/>
        </w:rPr>
        <w:t>MPA</w:t>
      </w:r>
      <w:r>
        <w:rPr>
          <w:rFonts w:cs="Times New Roman"/>
          <w:lang w:eastAsia="pt-PT"/>
        </w:rPr>
        <w:t>);</w:t>
      </w:r>
    </w:p>
    <w:p w14:paraId="0B0B2E22" w14:textId="610695A3" w:rsidR="00AF7CDF" w:rsidRDefault="00AF7CDF" w:rsidP="00AF7CDF">
      <w:pPr>
        <w:pStyle w:val="PargrafodaLista"/>
        <w:numPr>
          <w:ilvl w:val="0"/>
          <w:numId w:val="36"/>
        </w:numPr>
        <w:spacing w:before="240" w:line="360" w:lineRule="auto"/>
        <w:jc w:val="both"/>
        <w:rPr>
          <w:rFonts w:cs="Times New Roman"/>
          <w:lang w:eastAsia="pt-PT"/>
        </w:rPr>
      </w:pPr>
      <w:r>
        <w:rPr>
          <w:rFonts w:cs="Times New Roman"/>
          <w:lang w:eastAsia="pt-PT"/>
        </w:rPr>
        <w:t xml:space="preserve">1 – Municípios com </w:t>
      </w:r>
      <w:r w:rsidR="00F718E1">
        <w:rPr>
          <w:rFonts w:cs="Times New Roman"/>
          <w:lang w:eastAsia="pt-PT"/>
        </w:rPr>
        <w:t xml:space="preserve">maior percentagem de abstenção </w:t>
      </w:r>
      <w:r>
        <w:rPr>
          <w:rFonts w:cs="Times New Roman"/>
          <w:lang w:eastAsia="pt-PT"/>
        </w:rPr>
        <w:t xml:space="preserve">(PA </w:t>
      </w:r>
      <w:r w:rsidR="00F718E1">
        <w:rPr>
          <w:rFonts w:cs="Times New Roman"/>
          <w:lang w:eastAsia="pt-PT"/>
        </w:rPr>
        <w:t xml:space="preserve">≥ </w:t>
      </w:r>
      <w:r w:rsidR="00F949DE">
        <w:rPr>
          <w:rFonts w:cs="Times New Roman"/>
          <w:lang w:eastAsia="pt-PT"/>
        </w:rPr>
        <w:t>MPA</w:t>
      </w:r>
      <w:r>
        <w:rPr>
          <w:rFonts w:cs="Times New Roman"/>
          <w:lang w:eastAsia="pt-PT"/>
        </w:rPr>
        <w:t>)</w:t>
      </w:r>
    </w:p>
    <w:p w14:paraId="7D2BBF4D" w14:textId="12B49E8C" w:rsidR="00F718E1" w:rsidRDefault="00F718E1" w:rsidP="00F949DE">
      <w:pPr>
        <w:spacing w:line="360" w:lineRule="auto"/>
        <w:jc w:val="both"/>
        <w:rPr>
          <w:rFonts w:cs="Times New Roman"/>
          <w:lang w:eastAsia="pt-PT"/>
        </w:rPr>
      </w:pPr>
      <w:r>
        <w:rPr>
          <w:rFonts w:cs="Times New Roman"/>
          <w:lang w:eastAsia="pt-PT"/>
        </w:rPr>
        <w:t>Considera-se municípios com menor percentagem de abstenção, aqueles que apresentam taxas de abstenção inferiores ao valor médio da variável percentagem de abstenção, MPA, (</w:t>
      </w:r>
      <w:r w:rsidR="00F338BB">
        <w:rPr>
          <w:rFonts w:cs="Times New Roman"/>
          <w:lang w:eastAsia="pt-PT"/>
        </w:rPr>
        <w:t>A</w:t>
      </w:r>
      <w:r>
        <w:rPr>
          <w:rFonts w:cs="Times New Roman"/>
          <w:lang w:eastAsia="pt-PT"/>
        </w:rPr>
        <w:t>pêndice 1) sendo, por isso, municípios com maior percentagem de abstenção o inverso.</w:t>
      </w:r>
    </w:p>
    <w:p w14:paraId="14610834" w14:textId="58C58FD7" w:rsidR="00F949DE" w:rsidRDefault="00F949DE" w:rsidP="00F949DE">
      <w:pPr>
        <w:spacing w:line="360" w:lineRule="auto"/>
        <w:jc w:val="both"/>
        <w:rPr>
          <w:rFonts w:cs="Times New Roman"/>
          <w:lang w:eastAsia="pt-PT"/>
        </w:rPr>
      </w:pPr>
      <w:r>
        <w:rPr>
          <w:rFonts w:cs="Times New Roman"/>
          <w:lang w:eastAsia="pt-PT"/>
        </w:rPr>
        <w:t>De seguida, procedeu-se</w:t>
      </w:r>
      <w:r w:rsidRPr="00F949DE">
        <w:rPr>
          <w:rFonts w:cs="Times New Roman"/>
          <w:lang w:eastAsia="pt-PT"/>
        </w:rPr>
        <w:t xml:space="preserve"> </w:t>
      </w:r>
      <w:r>
        <w:rPr>
          <w:rFonts w:cs="Times New Roman"/>
          <w:lang w:eastAsia="pt-PT"/>
        </w:rPr>
        <w:t>à</w:t>
      </w:r>
      <w:r w:rsidRPr="00F949DE">
        <w:rPr>
          <w:rFonts w:cs="Times New Roman"/>
          <w:lang w:eastAsia="pt-PT"/>
        </w:rPr>
        <w:t xml:space="preserve"> análise pela observação do histograma </w:t>
      </w:r>
      <w:r w:rsidRPr="00990766">
        <w:rPr>
          <w:rFonts w:cs="Times New Roman"/>
          <w:lang w:eastAsia="pt-PT"/>
        </w:rPr>
        <w:t>(</w:t>
      </w:r>
      <w:r w:rsidR="00F338BB">
        <w:rPr>
          <w:rFonts w:cs="Times New Roman"/>
          <w:lang w:eastAsia="pt-PT"/>
        </w:rPr>
        <w:t>A</w:t>
      </w:r>
      <w:r w:rsidRPr="00990766">
        <w:rPr>
          <w:rFonts w:cs="Times New Roman"/>
          <w:lang w:eastAsia="pt-PT"/>
        </w:rPr>
        <w:t>pêndice 2)</w:t>
      </w:r>
      <w:r w:rsidRPr="00F949DE">
        <w:rPr>
          <w:rFonts w:cs="Times New Roman"/>
          <w:lang w:eastAsia="pt-PT"/>
        </w:rPr>
        <w:t xml:space="preserve"> e </w:t>
      </w:r>
      <w:r>
        <w:rPr>
          <w:rFonts w:cs="Times New Roman"/>
          <w:lang w:eastAsia="pt-PT"/>
        </w:rPr>
        <w:t>a</w:t>
      </w:r>
      <w:r w:rsidRPr="00F949DE">
        <w:rPr>
          <w:rFonts w:cs="Times New Roman"/>
          <w:lang w:eastAsia="pt-PT"/>
        </w:rPr>
        <w:t xml:space="preserve">o cálculo das medidas estatísticas para cada um destes grupos conforme se apresenta na </w:t>
      </w:r>
      <w:r w:rsidR="00B4646C">
        <w:rPr>
          <w:rFonts w:cs="Times New Roman"/>
          <w:lang w:eastAsia="pt-PT"/>
        </w:rPr>
        <w:t>T</w:t>
      </w:r>
      <w:r w:rsidRPr="00F949DE">
        <w:rPr>
          <w:rFonts w:cs="Times New Roman"/>
          <w:lang w:eastAsia="pt-PT"/>
        </w:rPr>
        <w:t xml:space="preserve">abela </w:t>
      </w:r>
      <w:r w:rsidRPr="00046806">
        <w:rPr>
          <w:rFonts w:cs="Times New Roman"/>
          <w:lang w:eastAsia="pt-PT"/>
        </w:rPr>
        <w:t>4.1</w:t>
      </w:r>
      <w:r w:rsidR="00046806" w:rsidRPr="00046806">
        <w:rPr>
          <w:rFonts w:cs="Times New Roman"/>
          <w:lang w:eastAsia="pt-PT"/>
        </w:rPr>
        <w:t>1</w:t>
      </w:r>
      <w:r w:rsidRPr="00046806">
        <w:rPr>
          <w:rFonts w:cs="Times New Roman"/>
          <w:lang w:eastAsia="pt-PT"/>
        </w:rPr>
        <w:t>:</w:t>
      </w:r>
    </w:p>
    <w:p w14:paraId="2E2C2145" w14:textId="6E0518B3" w:rsidR="002079A9" w:rsidRDefault="002079A9" w:rsidP="00F949DE">
      <w:pPr>
        <w:spacing w:line="360" w:lineRule="auto"/>
        <w:jc w:val="both"/>
        <w:rPr>
          <w:rFonts w:cs="Times New Roman"/>
          <w:lang w:eastAsia="pt-PT"/>
        </w:rPr>
      </w:pPr>
    </w:p>
    <w:p w14:paraId="5491738D" w14:textId="77777777" w:rsidR="002079A9" w:rsidRDefault="002079A9" w:rsidP="00F949DE">
      <w:pPr>
        <w:spacing w:line="360" w:lineRule="auto"/>
        <w:jc w:val="both"/>
        <w:rPr>
          <w:rFonts w:cs="Times New Roman"/>
          <w:lang w:eastAsia="pt-PT"/>
        </w:rPr>
      </w:pPr>
    </w:p>
    <w:p w14:paraId="7FBEFFC4" w14:textId="64DC9FAC" w:rsidR="007F35DF" w:rsidRPr="007F35DF" w:rsidRDefault="007F35DF" w:rsidP="007F35DF">
      <w:pPr>
        <w:spacing w:after="0" w:line="360" w:lineRule="auto"/>
        <w:jc w:val="center"/>
        <w:rPr>
          <w:rFonts w:cs="Times New Roman"/>
          <w:lang w:eastAsia="pt-PT"/>
        </w:rPr>
      </w:pPr>
      <w:bookmarkStart w:id="108" w:name="_Toc58853171"/>
      <w:bookmarkStart w:id="109" w:name="_Toc66624260"/>
      <w:r w:rsidRPr="007F35DF">
        <w:rPr>
          <w:rFonts w:cs="Times New Roman"/>
          <w:b/>
          <w:bCs/>
          <w:lang w:eastAsia="pt-PT"/>
        </w:rPr>
        <w:lastRenderedPageBreak/>
        <w:t xml:space="preserve">Tabela </w:t>
      </w:r>
      <w:r w:rsidR="00843BFC">
        <w:rPr>
          <w:rFonts w:cs="Times New Roman"/>
          <w:b/>
          <w:bCs/>
          <w:lang w:eastAsia="pt-PT"/>
        </w:rPr>
        <w:fldChar w:fldCharType="begin"/>
      </w:r>
      <w:r w:rsidR="00843BFC">
        <w:rPr>
          <w:rFonts w:cs="Times New Roman"/>
          <w:b/>
          <w:bCs/>
          <w:lang w:eastAsia="pt-PT"/>
        </w:rPr>
        <w:instrText xml:space="preserve"> STYLEREF 1 \s </w:instrText>
      </w:r>
      <w:r w:rsidR="00843BFC">
        <w:rPr>
          <w:rFonts w:cs="Times New Roman"/>
          <w:b/>
          <w:bCs/>
          <w:lang w:eastAsia="pt-PT"/>
        </w:rPr>
        <w:fldChar w:fldCharType="separate"/>
      </w:r>
      <w:r w:rsidR="00380A6F">
        <w:rPr>
          <w:rFonts w:cs="Times New Roman"/>
          <w:b/>
          <w:bCs/>
          <w:noProof/>
          <w:lang w:eastAsia="pt-PT"/>
        </w:rPr>
        <w:t>4</w:t>
      </w:r>
      <w:r w:rsidR="00843BFC">
        <w:rPr>
          <w:rFonts w:cs="Times New Roman"/>
          <w:b/>
          <w:bCs/>
          <w:lang w:eastAsia="pt-PT"/>
        </w:rPr>
        <w:fldChar w:fldCharType="end"/>
      </w:r>
      <w:r w:rsidR="00843BFC">
        <w:rPr>
          <w:rFonts w:cs="Times New Roman"/>
          <w:b/>
          <w:bCs/>
          <w:lang w:eastAsia="pt-PT"/>
        </w:rPr>
        <w:t>.</w:t>
      </w:r>
      <w:r w:rsidR="00843BFC">
        <w:rPr>
          <w:rFonts w:cs="Times New Roman"/>
          <w:b/>
          <w:bCs/>
          <w:lang w:eastAsia="pt-PT"/>
        </w:rPr>
        <w:fldChar w:fldCharType="begin"/>
      </w:r>
      <w:r w:rsidR="00843BFC">
        <w:rPr>
          <w:rFonts w:cs="Times New Roman"/>
          <w:b/>
          <w:bCs/>
          <w:lang w:eastAsia="pt-PT"/>
        </w:rPr>
        <w:instrText xml:space="preserve"> SEQ Tabela \* ARABIC \s 1 </w:instrText>
      </w:r>
      <w:r w:rsidR="00843BFC">
        <w:rPr>
          <w:rFonts w:cs="Times New Roman"/>
          <w:b/>
          <w:bCs/>
          <w:lang w:eastAsia="pt-PT"/>
        </w:rPr>
        <w:fldChar w:fldCharType="separate"/>
      </w:r>
      <w:r w:rsidR="00380A6F">
        <w:rPr>
          <w:rFonts w:cs="Times New Roman"/>
          <w:b/>
          <w:bCs/>
          <w:noProof/>
          <w:lang w:eastAsia="pt-PT"/>
        </w:rPr>
        <w:t>11</w:t>
      </w:r>
      <w:r w:rsidR="00843BFC">
        <w:rPr>
          <w:rFonts w:cs="Times New Roman"/>
          <w:b/>
          <w:bCs/>
          <w:lang w:eastAsia="pt-PT"/>
        </w:rPr>
        <w:fldChar w:fldCharType="end"/>
      </w:r>
      <w:r w:rsidRPr="007F35DF">
        <w:rPr>
          <w:rFonts w:cs="Times New Roman"/>
          <w:lang w:eastAsia="pt-PT"/>
        </w:rPr>
        <w:t xml:space="preserve"> - </w:t>
      </w:r>
      <w:r w:rsidRPr="00FF13F9">
        <w:rPr>
          <w:rFonts w:cs="Times New Roman"/>
          <w:lang w:eastAsia="pt-PT"/>
        </w:rPr>
        <w:t xml:space="preserve">Medidas estatísticas do ITM por </w:t>
      </w:r>
      <w:r>
        <w:rPr>
          <w:rFonts w:cs="Times New Roman"/>
          <w:lang w:eastAsia="pt-PT"/>
        </w:rPr>
        <w:t>PA</w:t>
      </w:r>
      <w:bookmarkEnd w:id="108"/>
      <w:bookmarkEnd w:id="109"/>
    </w:p>
    <w:tbl>
      <w:tblPr>
        <w:tblW w:w="836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52"/>
        <w:gridCol w:w="3118"/>
        <w:gridCol w:w="1201"/>
        <w:gridCol w:w="1416"/>
        <w:gridCol w:w="77"/>
      </w:tblGrid>
      <w:tr w:rsidR="00F949DE" w:rsidRPr="00F6269F" w14:paraId="00D71C24" w14:textId="77777777" w:rsidTr="009C5227">
        <w:trPr>
          <w:cantSplit/>
          <w:jc w:val="center"/>
        </w:trPr>
        <w:tc>
          <w:tcPr>
            <w:tcW w:w="2552" w:type="dxa"/>
            <w:tcBorders>
              <w:top w:val="double" w:sz="4" w:space="0" w:color="auto"/>
              <w:left w:val="nil"/>
              <w:bottom w:val="single" w:sz="4" w:space="0" w:color="auto"/>
              <w:right w:val="nil"/>
            </w:tcBorders>
            <w:shd w:val="clear" w:color="auto" w:fill="E7E6E6" w:themeFill="background2"/>
            <w:vAlign w:val="bottom"/>
          </w:tcPr>
          <w:p w14:paraId="4D33D5C1" w14:textId="77777777" w:rsidR="00F949DE" w:rsidRPr="00706A84" w:rsidRDefault="00F949DE" w:rsidP="009C5227">
            <w:pPr>
              <w:autoSpaceDE w:val="0"/>
              <w:autoSpaceDN w:val="0"/>
              <w:adjustRightInd w:val="0"/>
              <w:spacing w:before="100" w:beforeAutospacing="1" w:after="100" w:afterAutospacing="1" w:line="240" w:lineRule="auto"/>
              <w:rPr>
                <w:rFonts w:cs="Times New Roman"/>
                <w:b/>
                <w:bCs/>
                <w:color w:val="000000"/>
                <w:sz w:val="22"/>
              </w:rPr>
            </w:pPr>
            <w:r w:rsidRPr="00706A84">
              <w:rPr>
                <w:rFonts w:cs="Times New Roman"/>
                <w:b/>
                <w:bCs/>
                <w:color w:val="000000"/>
                <w:sz w:val="22"/>
              </w:rPr>
              <w:t xml:space="preserve">Taxa de </w:t>
            </w:r>
            <w:r>
              <w:rPr>
                <w:rFonts w:cs="Times New Roman"/>
                <w:b/>
                <w:bCs/>
                <w:color w:val="000000"/>
                <w:sz w:val="22"/>
              </w:rPr>
              <w:t>abstenção</w:t>
            </w:r>
          </w:p>
        </w:tc>
        <w:tc>
          <w:tcPr>
            <w:tcW w:w="3118" w:type="dxa"/>
            <w:tcBorders>
              <w:top w:val="double" w:sz="4" w:space="0" w:color="auto"/>
              <w:left w:val="nil"/>
              <w:bottom w:val="single" w:sz="4" w:space="0" w:color="auto"/>
              <w:right w:val="nil"/>
            </w:tcBorders>
            <w:shd w:val="clear" w:color="auto" w:fill="E7E6E6" w:themeFill="background2"/>
            <w:vAlign w:val="bottom"/>
          </w:tcPr>
          <w:p w14:paraId="589C37CF" w14:textId="77777777" w:rsidR="00F949DE" w:rsidRPr="00706A84" w:rsidRDefault="00F949DE" w:rsidP="009C5227">
            <w:pPr>
              <w:autoSpaceDE w:val="0"/>
              <w:autoSpaceDN w:val="0"/>
              <w:adjustRightInd w:val="0"/>
              <w:spacing w:before="100" w:beforeAutospacing="1" w:after="100" w:afterAutospacing="1" w:line="240" w:lineRule="auto"/>
              <w:ind w:left="60" w:right="60"/>
              <w:rPr>
                <w:rFonts w:cs="Times New Roman"/>
                <w:b/>
                <w:bCs/>
                <w:color w:val="000000"/>
                <w:sz w:val="22"/>
              </w:rPr>
            </w:pPr>
          </w:p>
        </w:tc>
        <w:tc>
          <w:tcPr>
            <w:tcW w:w="1201" w:type="dxa"/>
            <w:tcBorders>
              <w:top w:val="double" w:sz="4" w:space="0" w:color="auto"/>
              <w:left w:val="nil"/>
              <w:bottom w:val="single" w:sz="4" w:space="0" w:color="auto"/>
              <w:right w:val="nil"/>
            </w:tcBorders>
            <w:shd w:val="clear" w:color="auto" w:fill="E7E6E6" w:themeFill="background2"/>
            <w:vAlign w:val="bottom"/>
          </w:tcPr>
          <w:p w14:paraId="7C15F336" w14:textId="77777777" w:rsidR="00F949DE" w:rsidRPr="00706A84" w:rsidRDefault="00F949DE" w:rsidP="009C5227">
            <w:pPr>
              <w:autoSpaceDE w:val="0"/>
              <w:autoSpaceDN w:val="0"/>
              <w:adjustRightInd w:val="0"/>
              <w:spacing w:before="100" w:beforeAutospacing="1" w:after="100" w:afterAutospacing="1" w:line="240" w:lineRule="auto"/>
              <w:ind w:left="60" w:right="60"/>
              <w:jc w:val="right"/>
              <w:rPr>
                <w:rFonts w:cs="Times New Roman"/>
                <w:b/>
                <w:bCs/>
                <w:color w:val="000000"/>
                <w:sz w:val="22"/>
              </w:rPr>
            </w:pPr>
            <w:r w:rsidRPr="00706A84">
              <w:rPr>
                <w:rFonts w:cs="Times New Roman"/>
                <w:b/>
                <w:bCs/>
                <w:color w:val="000000"/>
                <w:sz w:val="22"/>
              </w:rPr>
              <w:t>Estatística</w:t>
            </w:r>
          </w:p>
        </w:tc>
        <w:tc>
          <w:tcPr>
            <w:tcW w:w="1493" w:type="dxa"/>
            <w:gridSpan w:val="2"/>
            <w:tcBorders>
              <w:top w:val="double" w:sz="4" w:space="0" w:color="auto"/>
              <w:left w:val="nil"/>
              <w:bottom w:val="single" w:sz="4" w:space="0" w:color="auto"/>
              <w:right w:val="nil"/>
            </w:tcBorders>
            <w:shd w:val="clear" w:color="auto" w:fill="E7E6E6" w:themeFill="background2"/>
            <w:vAlign w:val="bottom"/>
          </w:tcPr>
          <w:p w14:paraId="712057D9" w14:textId="77777777" w:rsidR="00F949DE" w:rsidRPr="00706A84" w:rsidRDefault="00F949DE" w:rsidP="009C5227">
            <w:pPr>
              <w:autoSpaceDE w:val="0"/>
              <w:autoSpaceDN w:val="0"/>
              <w:adjustRightInd w:val="0"/>
              <w:spacing w:before="100" w:beforeAutospacing="1" w:after="100" w:afterAutospacing="1" w:line="240" w:lineRule="auto"/>
              <w:ind w:left="60" w:right="60"/>
              <w:jc w:val="right"/>
              <w:rPr>
                <w:rFonts w:cs="Times New Roman"/>
                <w:b/>
                <w:bCs/>
                <w:color w:val="000000"/>
                <w:sz w:val="22"/>
              </w:rPr>
            </w:pPr>
            <w:r w:rsidRPr="00706A84">
              <w:rPr>
                <w:rFonts w:cs="Times New Roman"/>
                <w:b/>
                <w:bCs/>
                <w:color w:val="000000"/>
                <w:sz w:val="22"/>
              </w:rPr>
              <w:t>Desvio Padrão</w:t>
            </w:r>
          </w:p>
        </w:tc>
      </w:tr>
      <w:tr w:rsidR="00F949DE" w:rsidRPr="00C405FD" w14:paraId="691F8295" w14:textId="77777777" w:rsidTr="009C5227">
        <w:trPr>
          <w:gridAfter w:val="1"/>
          <w:wAfter w:w="77" w:type="dxa"/>
          <w:cantSplit/>
          <w:jc w:val="center"/>
        </w:trPr>
        <w:tc>
          <w:tcPr>
            <w:tcW w:w="2552" w:type="dxa"/>
            <w:vMerge w:val="restart"/>
            <w:tcBorders>
              <w:top w:val="single" w:sz="4" w:space="0" w:color="auto"/>
              <w:left w:val="nil"/>
              <w:right w:val="nil"/>
            </w:tcBorders>
            <w:shd w:val="clear" w:color="auto" w:fill="FFFFFF" w:themeFill="background1"/>
          </w:tcPr>
          <w:p w14:paraId="575F51BD" w14:textId="658BADD3" w:rsidR="00F949DE" w:rsidRPr="00C405FD" w:rsidRDefault="00F949DE"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r w:rsidRPr="00C405FD">
              <w:rPr>
                <w:rFonts w:asciiTheme="majorBidi" w:hAnsiTheme="majorBidi" w:cstheme="majorBidi"/>
                <w:color w:val="000000"/>
                <w:sz w:val="22"/>
              </w:rPr>
              <w:t>Municípios</w:t>
            </w:r>
            <w:r w:rsidRPr="00025CD3">
              <w:rPr>
                <w:rFonts w:asciiTheme="majorBidi" w:hAnsiTheme="majorBidi" w:cstheme="majorBidi"/>
                <w:color w:val="000000"/>
                <w:sz w:val="22"/>
              </w:rPr>
              <w:t xml:space="preserve"> c/ menor </w:t>
            </w:r>
            <w:r w:rsidR="00990766">
              <w:rPr>
                <w:rFonts w:asciiTheme="majorBidi" w:hAnsiTheme="majorBidi" w:cstheme="majorBidi"/>
                <w:color w:val="000000"/>
                <w:sz w:val="22"/>
              </w:rPr>
              <w:t>percentagem de abstenção</w:t>
            </w:r>
          </w:p>
        </w:tc>
        <w:tc>
          <w:tcPr>
            <w:tcW w:w="3118" w:type="dxa"/>
            <w:tcBorders>
              <w:top w:val="single" w:sz="4" w:space="0" w:color="auto"/>
              <w:left w:val="nil"/>
              <w:bottom w:val="nil"/>
              <w:right w:val="nil"/>
            </w:tcBorders>
            <w:shd w:val="clear" w:color="auto" w:fill="FFFFFF" w:themeFill="background1"/>
          </w:tcPr>
          <w:p w14:paraId="7ECFB67E" w14:textId="77777777" w:rsidR="00F949DE" w:rsidRPr="00C405FD" w:rsidRDefault="00F949DE"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405FD">
              <w:rPr>
                <w:rFonts w:asciiTheme="majorBidi" w:hAnsiTheme="majorBidi" w:cstheme="majorBidi"/>
                <w:color w:val="000000"/>
                <w:sz w:val="22"/>
              </w:rPr>
              <w:t>N=</w:t>
            </w:r>
            <w:r>
              <w:rPr>
                <w:rFonts w:asciiTheme="majorBidi" w:hAnsiTheme="majorBidi" w:cstheme="majorBidi"/>
                <w:color w:val="000000"/>
                <w:sz w:val="22"/>
              </w:rPr>
              <w:t xml:space="preserve"> 806</w:t>
            </w:r>
          </w:p>
        </w:tc>
        <w:tc>
          <w:tcPr>
            <w:tcW w:w="1201" w:type="dxa"/>
            <w:tcBorders>
              <w:top w:val="single" w:sz="4" w:space="0" w:color="auto"/>
              <w:left w:val="nil"/>
              <w:bottom w:val="nil"/>
              <w:right w:val="nil"/>
            </w:tcBorders>
            <w:shd w:val="clear" w:color="auto" w:fill="FFFFFF" w:themeFill="background1"/>
          </w:tcPr>
          <w:p w14:paraId="01990E97" w14:textId="77777777" w:rsidR="00F949DE" w:rsidRPr="00C405FD"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c>
          <w:tcPr>
            <w:tcW w:w="1416" w:type="dxa"/>
            <w:tcBorders>
              <w:top w:val="single" w:sz="4" w:space="0" w:color="auto"/>
              <w:left w:val="nil"/>
              <w:bottom w:val="nil"/>
              <w:right w:val="nil"/>
            </w:tcBorders>
            <w:shd w:val="clear" w:color="auto" w:fill="FFFFFF" w:themeFill="background1"/>
          </w:tcPr>
          <w:p w14:paraId="67D1726C" w14:textId="77777777" w:rsidR="00F949DE" w:rsidRPr="00C405FD"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F949DE" w:rsidRPr="00C405FD" w14:paraId="40FF8C72" w14:textId="77777777" w:rsidTr="009C5227">
        <w:trPr>
          <w:gridAfter w:val="1"/>
          <w:wAfter w:w="77" w:type="dxa"/>
          <w:cantSplit/>
          <w:jc w:val="center"/>
        </w:trPr>
        <w:tc>
          <w:tcPr>
            <w:tcW w:w="2552" w:type="dxa"/>
            <w:vMerge/>
            <w:tcBorders>
              <w:left w:val="nil"/>
              <w:right w:val="nil"/>
            </w:tcBorders>
            <w:shd w:val="clear" w:color="auto" w:fill="FFFFFF" w:themeFill="background1"/>
          </w:tcPr>
          <w:p w14:paraId="78E18244" w14:textId="77777777" w:rsidR="00F949DE" w:rsidRPr="00C405FD" w:rsidRDefault="00F949DE"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118" w:type="dxa"/>
            <w:tcBorders>
              <w:top w:val="nil"/>
              <w:left w:val="nil"/>
              <w:bottom w:val="nil"/>
              <w:right w:val="nil"/>
            </w:tcBorders>
            <w:shd w:val="clear" w:color="auto" w:fill="E7E6E6" w:themeFill="background2"/>
          </w:tcPr>
          <w:p w14:paraId="7E4F595E" w14:textId="77777777" w:rsidR="00F949DE" w:rsidRPr="008051A5" w:rsidRDefault="00F949DE"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D5282D">
              <w:rPr>
                <w:rFonts w:asciiTheme="majorBidi" w:hAnsiTheme="majorBidi" w:cstheme="majorBidi"/>
                <w:color w:val="000000"/>
                <w:sz w:val="22"/>
              </w:rPr>
              <w:t>Média</w:t>
            </w:r>
          </w:p>
        </w:tc>
        <w:tc>
          <w:tcPr>
            <w:tcW w:w="1201" w:type="dxa"/>
            <w:tcBorders>
              <w:top w:val="nil"/>
              <w:left w:val="nil"/>
              <w:bottom w:val="nil"/>
              <w:right w:val="nil"/>
            </w:tcBorders>
            <w:shd w:val="clear" w:color="auto" w:fill="E7E6E6" w:themeFill="background2"/>
          </w:tcPr>
          <w:p w14:paraId="4524764A"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40,6712</w:t>
            </w:r>
          </w:p>
        </w:tc>
        <w:tc>
          <w:tcPr>
            <w:tcW w:w="1416" w:type="dxa"/>
            <w:tcBorders>
              <w:top w:val="nil"/>
              <w:left w:val="nil"/>
              <w:bottom w:val="nil"/>
              <w:right w:val="nil"/>
            </w:tcBorders>
            <w:shd w:val="clear" w:color="auto" w:fill="E7E6E6" w:themeFill="background2"/>
          </w:tcPr>
          <w:p w14:paraId="22DADA90"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0,63327</w:t>
            </w:r>
          </w:p>
        </w:tc>
      </w:tr>
      <w:tr w:rsidR="00F949DE" w:rsidRPr="00C405FD" w14:paraId="241320B8" w14:textId="77777777" w:rsidTr="009C5227">
        <w:trPr>
          <w:gridAfter w:val="1"/>
          <w:wAfter w:w="77" w:type="dxa"/>
          <w:cantSplit/>
          <w:jc w:val="center"/>
        </w:trPr>
        <w:tc>
          <w:tcPr>
            <w:tcW w:w="2552" w:type="dxa"/>
            <w:vMerge/>
            <w:tcBorders>
              <w:left w:val="nil"/>
              <w:right w:val="nil"/>
            </w:tcBorders>
            <w:shd w:val="clear" w:color="auto" w:fill="FFFFFF" w:themeFill="background1"/>
          </w:tcPr>
          <w:p w14:paraId="26BBCBDB" w14:textId="77777777" w:rsidR="00F949DE" w:rsidRPr="00C405FD" w:rsidRDefault="00F949DE"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118" w:type="dxa"/>
            <w:tcBorders>
              <w:top w:val="nil"/>
              <w:left w:val="nil"/>
              <w:bottom w:val="nil"/>
              <w:right w:val="nil"/>
            </w:tcBorders>
            <w:shd w:val="clear" w:color="auto" w:fill="FFFFFF" w:themeFill="background1"/>
          </w:tcPr>
          <w:p w14:paraId="0D884D41" w14:textId="77777777" w:rsidR="00F949DE" w:rsidRPr="008051A5" w:rsidRDefault="00F949DE"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D5282D">
              <w:rPr>
                <w:rFonts w:asciiTheme="majorBidi" w:hAnsiTheme="majorBidi" w:cstheme="majorBidi"/>
                <w:color w:val="000000"/>
                <w:sz w:val="22"/>
              </w:rPr>
              <w:t>Mediana</w:t>
            </w:r>
          </w:p>
        </w:tc>
        <w:tc>
          <w:tcPr>
            <w:tcW w:w="1201" w:type="dxa"/>
            <w:tcBorders>
              <w:top w:val="nil"/>
              <w:left w:val="nil"/>
              <w:bottom w:val="nil"/>
              <w:right w:val="nil"/>
            </w:tcBorders>
            <w:shd w:val="clear" w:color="auto" w:fill="FFFFFF" w:themeFill="background1"/>
          </w:tcPr>
          <w:p w14:paraId="41086F09"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36,4661</w:t>
            </w:r>
          </w:p>
        </w:tc>
        <w:tc>
          <w:tcPr>
            <w:tcW w:w="1416" w:type="dxa"/>
            <w:tcBorders>
              <w:top w:val="nil"/>
              <w:left w:val="nil"/>
              <w:bottom w:val="nil"/>
              <w:right w:val="nil"/>
            </w:tcBorders>
            <w:shd w:val="clear" w:color="auto" w:fill="FFFFFF" w:themeFill="background1"/>
            <w:vAlign w:val="center"/>
          </w:tcPr>
          <w:p w14:paraId="7B987D7D"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F949DE" w:rsidRPr="00C405FD" w14:paraId="63896696" w14:textId="77777777" w:rsidTr="009C5227">
        <w:trPr>
          <w:gridAfter w:val="1"/>
          <w:wAfter w:w="77" w:type="dxa"/>
          <w:cantSplit/>
          <w:jc w:val="center"/>
        </w:trPr>
        <w:tc>
          <w:tcPr>
            <w:tcW w:w="2552" w:type="dxa"/>
            <w:vMerge/>
            <w:tcBorders>
              <w:left w:val="nil"/>
              <w:right w:val="nil"/>
            </w:tcBorders>
            <w:shd w:val="clear" w:color="auto" w:fill="FFFFFF" w:themeFill="background1"/>
          </w:tcPr>
          <w:p w14:paraId="0CDAF383" w14:textId="77777777" w:rsidR="00F949DE" w:rsidRPr="00C405FD" w:rsidRDefault="00F949DE"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118" w:type="dxa"/>
            <w:tcBorders>
              <w:top w:val="nil"/>
              <w:left w:val="nil"/>
              <w:bottom w:val="nil"/>
              <w:right w:val="nil"/>
            </w:tcBorders>
            <w:shd w:val="clear" w:color="auto" w:fill="E7E6E6" w:themeFill="background2"/>
          </w:tcPr>
          <w:p w14:paraId="46BC92B3" w14:textId="77777777" w:rsidR="00F949DE" w:rsidRPr="008051A5" w:rsidRDefault="00F949DE"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D5282D">
              <w:rPr>
                <w:rFonts w:asciiTheme="majorBidi" w:hAnsiTheme="majorBidi" w:cstheme="majorBidi"/>
                <w:color w:val="000000"/>
                <w:sz w:val="22"/>
              </w:rPr>
              <w:t>Variância</w:t>
            </w:r>
          </w:p>
        </w:tc>
        <w:tc>
          <w:tcPr>
            <w:tcW w:w="1201" w:type="dxa"/>
            <w:tcBorders>
              <w:top w:val="nil"/>
              <w:left w:val="nil"/>
              <w:bottom w:val="nil"/>
              <w:right w:val="nil"/>
            </w:tcBorders>
            <w:shd w:val="clear" w:color="auto" w:fill="E7E6E6" w:themeFill="background2"/>
          </w:tcPr>
          <w:p w14:paraId="4B54BA03"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323,229</w:t>
            </w:r>
          </w:p>
        </w:tc>
        <w:tc>
          <w:tcPr>
            <w:tcW w:w="1416" w:type="dxa"/>
            <w:tcBorders>
              <w:top w:val="nil"/>
              <w:left w:val="nil"/>
              <w:bottom w:val="nil"/>
              <w:right w:val="nil"/>
            </w:tcBorders>
            <w:shd w:val="clear" w:color="auto" w:fill="E7E6E6" w:themeFill="background2"/>
            <w:vAlign w:val="center"/>
          </w:tcPr>
          <w:p w14:paraId="0C70EEE4"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F949DE" w:rsidRPr="00C405FD" w14:paraId="79E40E62" w14:textId="77777777" w:rsidTr="009C5227">
        <w:trPr>
          <w:gridAfter w:val="1"/>
          <w:wAfter w:w="77" w:type="dxa"/>
          <w:cantSplit/>
          <w:jc w:val="center"/>
        </w:trPr>
        <w:tc>
          <w:tcPr>
            <w:tcW w:w="2552" w:type="dxa"/>
            <w:vMerge/>
            <w:tcBorders>
              <w:left w:val="nil"/>
              <w:right w:val="nil"/>
            </w:tcBorders>
            <w:shd w:val="clear" w:color="auto" w:fill="FFFFFF" w:themeFill="background1"/>
          </w:tcPr>
          <w:p w14:paraId="29316674" w14:textId="77777777" w:rsidR="00F949DE" w:rsidRPr="00C405FD" w:rsidRDefault="00F949DE"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118" w:type="dxa"/>
            <w:tcBorders>
              <w:top w:val="nil"/>
              <w:left w:val="nil"/>
              <w:bottom w:val="nil"/>
              <w:right w:val="nil"/>
            </w:tcBorders>
            <w:shd w:val="clear" w:color="auto" w:fill="FFFFFF" w:themeFill="background1"/>
          </w:tcPr>
          <w:p w14:paraId="67344170" w14:textId="77777777" w:rsidR="00F949DE" w:rsidRPr="008051A5" w:rsidRDefault="00F949DE"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D5282D">
              <w:rPr>
                <w:rFonts w:asciiTheme="majorBidi" w:hAnsiTheme="majorBidi" w:cstheme="majorBidi"/>
                <w:color w:val="000000"/>
                <w:sz w:val="22"/>
              </w:rPr>
              <w:t>Erro Padrão</w:t>
            </w:r>
          </w:p>
        </w:tc>
        <w:tc>
          <w:tcPr>
            <w:tcW w:w="1201" w:type="dxa"/>
            <w:tcBorders>
              <w:top w:val="nil"/>
              <w:left w:val="nil"/>
              <w:bottom w:val="nil"/>
              <w:right w:val="nil"/>
            </w:tcBorders>
            <w:shd w:val="clear" w:color="auto" w:fill="FFFFFF" w:themeFill="background1"/>
          </w:tcPr>
          <w:p w14:paraId="5ABF4299"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17,97857</w:t>
            </w:r>
          </w:p>
        </w:tc>
        <w:tc>
          <w:tcPr>
            <w:tcW w:w="1416" w:type="dxa"/>
            <w:tcBorders>
              <w:top w:val="nil"/>
              <w:left w:val="nil"/>
              <w:bottom w:val="nil"/>
              <w:right w:val="nil"/>
            </w:tcBorders>
            <w:shd w:val="clear" w:color="auto" w:fill="FFFFFF" w:themeFill="background1"/>
            <w:vAlign w:val="center"/>
          </w:tcPr>
          <w:p w14:paraId="766ACA69"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F949DE" w:rsidRPr="00C405FD" w14:paraId="48CBBD45" w14:textId="77777777" w:rsidTr="009C5227">
        <w:trPr>
          <w:gridAfter w:val="1"/>
          <w:wAfter w:w="77" w:type="dxa"/>
          <w:cantSplit/>
          <w:jc w:val="center"/>
        </w:trPr>
        <w:tc>
          <w:tcPr>
            <w:tcW w:w="2552" w:type="dxa"/>
            <w:vMerge/>
            <w:tcBorders>
              <w:left w:val="nil"/>
              <w:right w:val="nil"/>
            </w:tcBorders>
            <w:shd w:val="clear" w:color="auto" w:fill="FFFFFF" w:themeFill="background1"/>
          </w:tcPr>
          <w:p w14:paraId="3D08C9B3" w14:textId="77777777" w:rsidR="00F949DE" w:rsidRPr="00C405FD" w:rsidRDefault="00F949DE"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118" w:type="dxa"/>
            <w:tcBorders>
              <w:top w:val="nil"/>
              <w:left w:val="nil"/>
              <w:bottom w:val="nil"/>
              <w:right w:val="nil"/>
            </w:tcBorders>
            <w:shd w:val="clear" w:color="auto" w:fill="E7E6E6" w:themeFill="background2"/>
          </w:tcPr>
          <w:p w14:paraId="152EBADC" w14:textId="77777777" w:rsidR="00F949DE" w:rsidRPr="008051A5" w:rsidRDefault="00F949DE"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D5282D">
              <w:rPr>
                <w:rFonts w:asciiTheme="majorBidi" w:hAnsiTheme="majorBidi" w:cstheme="majorBidi"/>
                <w:color w:val="000000"/>
                <w:sz w:val="22"/>
              </w:rPr>
              <w:t>Mínimo</w:t>
            </w:r>
          </w:p>
        </w:tc>
        <w:tc>
          <w:tcPr>
            <w:tcW w:w="1201" w:type="dxa"/>
            <w:tcBorders>
              <w:top w:val="nil"/>
              <w:left w:val="nil"/>
              <w:bottom w:val="nil"/>
              <w:right w:val="nil"/>
            </w:tcBorders>
            <w:shd w:val="clear" w:color="auto" w:fill="E7E6E6" w:themeFill="background2"/>
          </w:tcPr>
          <w:p w14:paraId="3CC353CD"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2,34</w:t>
            </w:r>
          </w:p>
        </w:tc>
        <w:tc>
          <w:tcPr>
            <w:tcW w:w="1416" w:type="dxa"/>
            <w:tcBorders>
              <w:top w:val="nil"/>
              <w:left w:val="nil"/>
              <w:bottom w:val="nil"/>
              <w:right w:val="nil"/>
            </w:tcBorders>
            <w:shd w:val="clear" w:color="auto" w:fill="E7E6E6" w:themeFill="background2"/>
            <w:vAlign w:val="center"/>
          </w:tcPr>
          <w:p w14:paraId="2C72BD0F"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F949DE" w:rsidRPr="00C405FD" w14:paraId="4A3888A7" w14:textId="77777777" w:rsidTr="009C5227">
        <w:trPr>
          <w:gridAfter w:val="1"/>
          <w:wAfter w:w="77" w:type="dxa"/>
          <w:cantSplit/>
          <w:jc w:val="center"/>
        </w:trPr>
        <w:tc>
          <w:tcPr>
            <w:tcW w:w="2552" w:type="dxa"/>
            <w:vMerge/>
            <w:tcBorders>
              <w:left w:val="nil"/>
              <w:right w:val="nil"/>
            </w:tcBorders>
            <w:shd w:val="clear" w:color="auto" w:fill="FFFFFF" w:themeFill="background1"/>
          </w:tcPr>
          <w:p w14:paraId="4B28CB38" w14:textId="77777777" w:rsidR="00F949DE" w:rsidRPr="00C405FD" w:rsidRDefault="00F949DE"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118" w:type="dxa"/>
            <w:tcBorders>
              <w:top w:val="nil"/>
              <w:left w:val="nil"/>
              <w:bottom w:val="nil"/>
              <w:right w:val="nil"/>
            </w:tcBorders>
            <w:shd w:val="clear" w:color="auto" w:fill="FFFFFF" w:themeFill="background1"/>
          </w:tcPr>
          <w:p w14:paraId="7709044C" w14:textId="77777777" w:rsidR="00F949DE" w:rsidRPr="008051A5" w:rsidRDefault="00F949DE"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D5282D">
              <w:rPr>
                <w:rFonts w:asciiTheme="majorBidi" w:hAnsiTheme="majorBidi" w:cstheme="majorBidi"/>
                <w:color w:val="000000"/>
                <w:sz w:val="22"/>
              </w:rPr>
              <w:t>Máximo</w:t>
            </w:r>
          </w:p>
        </w:tc>
        <w:tc>
          <w:tcPr>
            <w:tcW w:w="1201" w:type="dxa"/>
            <w:tcBorders>
              <w:top w:val="nil"/>
              <w:left w:val="nil"/>
              <w:bottom w:val="nil"/>
              <w:right w:val="nil"/>
            </w:tcBorders>
            <w:shd w:val="clear" w:color="auto" w:fill="FFFFFF" w:themeFill="background1"/>
          </w:tcPr>
          <w:p w14:paraId="2FF6D976"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100,00</w:t>
            </w:r>
          </w:p>
        </w:tc>
        <w:tc>
          <w:tcPr>
            <w:tcW w:w="1416" w:type="dxa"/>
            <w:tcBorders>
              <w:top w:val="nil"/>
              <w:left w:val="nil"/>
              <w:bottom w:val="nil"/>
              <w:right w:val="nil"/>
            </w:tcBorders>
            <w:shd w:val="clear" w:color="auto" w:fill="FFFFFF" w:themeFill="background1"/>
            <w:vAlign w:val="center"/>
          </w:tcPr>
          <w:p w14:paraId="2C015577"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F949DE" w:rsidRPr="00C405FD" w14:paraId="78C381B6" w14:textId="77777777" w:rsidTr="009C5227">
        <w:trPr>
          <w:gridAfter w:val="1"/>
          <w:wAfter w:w="77" w:type="dxa"/>
          <w:cantSplit/>
          <w:jc w:val="center"/>
        </w:trPr>
        <w:tc>
          <w:tcPr>
            <w:tcW w:w="2552" w:type="dxa"/>
            <w:vMerge/>
            <w:tcBorders>
              <w:left w:val="nil"/>
              <w:right w:val="nil"/>
            </w:tcBorders>
            <w:shd w:val="clear" w:color="auto" w:fill="FFFFFF" w:themeFill="background1"/>
          </w:tcPr>
          <w:p w14:paraId="75DF4103" w14:textId="77777777" w:rsidR="00F949DE" w:rsidRPr="00C405FD" w:rsidRDefault="00F949DE"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118" w:type="dxa"/>
            <w:tcBorders>
              <w:top w:val="nil"/>
              <w:left w:val="nil"/>
              <w:bottom w:val="nil"/>
              <w:right w:val="nil"/>
            </w:tcBorders>
            <w:shd w:val="clear" w:color="auto" w:fill="E7E6E6" w:themeFill="background2"/>
          </w:tcPr>
          <w:p w14:paraId="10CE01D6" w14:textId="77777777" w:rsidR="00F949DE" w:rsidRPr="008051A5" w:rsidRDefault="00F949DE"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D5282D">
              <w:rPr>
                <w:rFonts w:asciiTheme="majorBidi" w:hAnsiTheme="majorBidi" w:cstheme="majorBidi"/>
                <w:color w:val="000000"/>
                <w:sz w:val="22"/>
              </w:rPr>
              <w:t>Amplitude</w:t>
            </w:r>
          </w:p>
        </w:tc>
        <w:tc>
          <w:tcPr>
            <w:tcW w:w="1201" w:type="dxa"/>
            <w:tcBorders>
              <w:top w:val="nil"/>
              <w:left w:val="nil"/>
              <w:bottom w:val="nil"/>
              <w:right w:val="nil"/>
            </w:tcBorders>
            <w:shd w:val="clear" w:color="auto" w:fill="E7E6E6" w:themeFill="background2"/>
          </w:tcPr>
          <w:p w14:paraId="4A291807"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97,67</w:t>
            </w:r>
          </w:p>
        </w:tc>
        <w:tc>
          <w:tcPr>
            <w:tcW w:w="1416" w:type="dxa"/>
            <w:tcBorders>
              <w:top w:val="nil"/>
              <w:left w:val="nil"/>
              <w:bottom w:val="nil"/>
              <w:right w:val="nil"/>
            </w:tcBorders>
            <w:shd w:val="clear" w:color="auto" w:fill="E7E6E6" w:themeFill="background2"/>
            <w:vAlign w:val="center"/>
          </w:tcPr>
          <w:p w14:paraId="258BA19B"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F949DE" w:rsidRPr="00C405FD" w14:paraId="42D1D059" w14:textId="77777777" w:rsidTr="009C5227">
        <w:trPr>
          <w:gridAfter w:val="1"/>
          <w:wAfter w:w="77" w:type="dxa"/>
          <w:cantSplit/>
          <w:jc w:val="center"/>
        </w:trPr>
        <w:tc>
          <w:tcPr>
            <w:tcW w:w="2552" w:type="dxa"/>
            <w:vMerge/>
            <w:tcBorders>
              <w:left w:val="nil"/>
              <w:right w:val="nil"/>
            </w:tcBorders>
            <w:shd w:val="clear" w:color="auto" w:fill="FFFFFF" w:themeFill="background1"/>
          </w:tcPr>
          <w:p w14:paraId="7F540B1D" w14:textId="77777777" w:rsidR="00F949DE" w:rsidRPr="00C405FD" w:rsidRDefault="00F949DE"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118" w:type="dxa"/>
            <w:tcBorders>
              <w:top w:val="nil"/>
              <w:left w:val="nil"/>
              <w:bottom w:val="nil"/>
              <w:right w:val="nil"/>
            </w:tcBorders>
            <w:shd w:val="clear" w:color="auto" w:fill="FFFFFF" w:themeFill="background1"/>
          </w:tcPr>
          <w:p w14:paraId="563B5C3B" w14:textId="77777777" w:rsidR="00F949DE" w:rsidRPr="008051A5" w:rsidRDefault="00F949DE"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D5282D">
              <w:rPr>
                <w:rFonts w:asciiTheme="majorBidi" w:hAnsiTheme="majorBidi" w:cstheme="majorBidi"/>
                <w:color w:val="000000"/>
                <w:sz w:val="22"/>
              </w:rPr>
              <w:t>Amplitude interquartil</w:t>
            </w:r>
          </w:p>
        </w:tc>
        <w:tc>
          <w:tcPr>
            <w:tcW w:w="1201" w:type="dxa"/>
            <w:tcBorders>
              <w:top w:val="nil"/>
              <w:left w:val="nil"/>
              <w:bottom w:val="nil"/>
              <w:right w:val="nil"/>
            </w:tcBorders>
            <w:shd w:val="clear" w:color="auto" w:fill="FFFFFF" w:themeFill="background1"/>
          </w:tcPr>
          <w:p w14:paraId="3E4E37A6"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22,12</w:t>
            </w:r>
          </w:p>
        </w:tc>
        <w:tc>
          <w:tcPr>
            <w:tcW w:w="1416" w:type="dxa"/>
            <w:tcBorders>
              <w:top w:val="nil"/>
              <w:left w:val="nil"/>
              <w:bottom w:val="nil"/>
              <w:right w:val="nil"/>
            </w:tcBorders>
            <w:shd w:val="clear" w:color="auto" w:fill="FFFFFF" w:themeFill="background1"/>
            <w:vAlign w:val="center"/>
          </w:tcPr>
          <w:p w14:paraId="59B9AA94"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F949DE" w:rsidRPr="00C405FD" w14:paraId="1FEEF315" w14:textId="77777777" w:rsidTr="009C5227">
        <w:trPr>
          <w:gridAfter w:val="1"/>
          <w:wAfter w:w="77" w:type="dxa"/>
          <w:cantSplit/>
          <w:jc w:val="center"/>
        </w:trPr>
        <w:tc>
          <w:tcPr>
            <w:tcW w:w="2552" w:type="dxa"/>
            <w:vMerge/>
            <w:tcBorders>
              <w:left w:val="nil"/>
              <w:right w:val="nil"/>
            </w:tcBorders>
            <w:shd w:val="clear" w:color="auto" w:fill="FFFFFF" w:themeFill="background1"/>
          </w:tcPr>
          <w:p w14:paraId="0632C558" w14:textId="77777777" w:rsidR="00F949DE" w:rsidRPr="00C405FD" w:rsidRDefault="00F949DE"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118" w:type="dxa"/>
            <w:tcBorders>
              <w:top w:val="nil"/>
              <w:left w:val="nil"/>
              <w:bottom w:val="nil"/>
              <w:right w:val="nil"/>
            </w:tcBorders>
            <w:shd w:val="clear" w:color="auto" w:fill="E7E6E6" w:themeFill="background2"/>
          </w:tcPr>
          <w:p w14:paraId="64C980BB" w14:textId="77777777" w:rsidR="00F949DE" w:rsidRPr="008051A5" w:rsidRDefault="00F949DE"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D5282D">
              <w:rPr>
                <w:rFonts w:asciiTheme="majorBidi" w:hAnsiTheme="majorBidi" w:cstheme="majorBidi"/>
                <w:color w:val="000000"/>
                <w:sz w:val="22"/>
              </w:rPr>
              <w:t>Assimetria</w:t>
            </w:r>
          </w:p>
        </w:tc>
        <w:tc>
          <w:tcPr>
            <w:tcW w:w="1201" w:type="dxa"/>
            <w:tcBorders>
              <w:top w:val="nil"/>
              <w:left w:val="nil"/>
              <w:bottom w:val="nil"/>
              <w:right w:val="nil"/>
            </w:tcBorders>
            <w:shd w:val="clear" w:color="auto" w:fill="E7E6E6" w:themeFill="background2"/>
          </w:tcPr>
          <w:p w14:paraId="215C75E1"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0,865</w:t>
            </w:r>
          </w:p>
        </w:tc>
        <w:tc>
          <w:tcPr>
            <w:tcW w:w="1416" w:type="dxa"/>
            <w:tcBorders>
              <w:top w:val="nil"/>
              <w:left w:val="nil"/>
              <w:bottom w:val="nil"/>
              <w:right w:val="nil"/>
            </w:tcBorders>
            <w:shd w:val="clear" w:color="auto" w:fill="E7E6E6" w:themeFill="background2"/>
          </w:tcPr>
          <w:p w14:paraId="7322FA73"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0,086</w:t>
            </w:r>
          </w:p>
        </w:tc>
      </w:tr>
      <w:tr w:rsidR="00F949DE" w:rsidRPr="00C405FD" w14:paraId="302266F7" w14:textId="77777777" w:rsidTr="009C5227">
        <w:trPr>
          <w:gridAfter w:val="1"/>
          <w:wAfter w:w="77" w:type="dxa"/>
          <w:cantSplit/>
          <w:jc w:val="center"/>
        </w:trPr>
        <w:tc>
          <w:tcPr>
            <w:tcW w:w="2552" w:type="dxa"/>
            <w:vMerge/>
            <w:tcBorders>
              <w:left w:val="nil"/>
              <w:bottom w:val="single" w:sz="4" w:space="0" w:color="auto"/>
              <w:right w:val="nil"/>
            </w:tcBorders>
            <w:shd w:val="clear" w:color="auto" w:fill="FFFFFF" w:themeFill="background1"/>
          </w:tcPr>
          <w:p w14:paraId="2CF03649" w14:textId="77777777" w:rsidR="00F949DE" w:rsidRPr="00C405FD" w:rsidRDefault="00F949DE"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118" w:type="dxa"/>
            <w:tcBorders>
              <w:top w:val="nil"/>
              <w:left w:val="nil"/>
              <w:bottom w:val="single" w:sz="4" w:space="0" w:color="auto"/>
              <w:right w:val="nil"/>
            </w:tcBorders>
            <w:shd w:val="clear" w:color="auto" w:fill="FFFFFF" w:themeFill="background1"/>
          </w:tcPr>
          <w:p w14:paraId="165F5734" w14:textId="77777777" w:rsidR="00F949DE" w:rsidRPr="008051A5" w:rsidRDefault="00F949DE"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proofErr w:type="spellStart"/>
            <w:r w:rsidRPr="00D5282D">
              <w:rPr>
                <w:rFonts w:asciiTheme="majorBidi" w:hAnsiTheme="majorBidi" w:cstheme="majorBidi"/>
                <w:color w:val="000000"/>
                <w:sz w:val="22"/>
              </w:rPr>
              <w:t>Curtose</w:t>
            </w:r>
            <w:proofErr w:type="spellEnd"/>
          </w:p>
        </w:tc>
        <w:tc>
          <w:tcPr>
            <w:tcW w:w="1201" w:type="dxa"/>
            <w:tcBorders>
              <w:top w:val="nil"/>
              <w:left w:val="nil"/>
              <w:bottom w:val="single" w:sz="4" w:space="0" w:color="auto"/>
              <w:right w:val="nil"/>
            </w:tcBorders>
            <w:shd w:val="clear" w:color="auto" w:fill="FFFFFF" w:themeFill="background1"/>
          </w:tcPr>
          <w:p w14:paraId="62A120B5"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0,499</w:t>
            </w:r>
          </w:p>
        </w:tc>
        <w:tc>
          <w:tcPr>
            <w:tcW w:w="1416" w:type="dxa"/>
            <w:tcBorders>
              <w:top w:val="nil"/>
              <w:left w:val="nil"/>
              <w:bottom w:val="single" w:sz="4" w:space="0" w:color="auto"/>
              <w:right w:val="nil"/>
            </w:tcBorders>
            <w:shd w:val="clear" w:color="auto" w:fill="FFFFFF" w:themeFill="background1"/>
          </w:tcPr>
          <w:p w14:paraId="5A70B025"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0,172</w:t>
            </w:r>
          </w:p>
        </w:tc>
      </w:tr>
      <w:tr w:rsidR="00F949DE" w:rsidRPr="00C405FD" w14:paraId="20FB7695" w14:textId="77777777" w:rsidTr="009C5227">
        <w:trPr>
          <w:gridAfter w:val="1"/>
          <w:wAfter w:w="77" w:type="dxa"/>
          <w:cantSplit/>
          <w:jc w:val="center"/>
        </w:trPr>
        <w:tc>
          <w:tcPr>
            <w:tcW w:w="2552" w:type="dxa"/>
            <w:vMerge w:val="restart"/>
            <w:tcBorders>
              <w:left w:val="nil"/>
              <w:right w:val="nil"/>
            </w:tcBorders>
            <w:shd w:val="clear" w:color="auto" w:fill="FFFFFF" w:themeFill="background1"/>
          </w:tcPr>
          <w:p w14:paraId="32D4DE4F" w14:textId="5E5207CE" w:rsidR="00F949DE" w:rsidRPr="00C405FD" w:rsidRDefault="00F949DE"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r w:rsidRPr="00C405FD">
              <w:rPr>
                <w:rFonts w:asciiTheme="majorBidi" w:hAnsiTheme="majorBidi" w:cstheme="majorBidi"/>
                <w:color w:val="000000"/>
                <w:sz w:val="22"/>
              </w:rPr>
              <w:t>Municípios</w:t>
            </w:r>
            <w:r w:rsidRPr="00C52653">
              <w:rPr>
                <w:rFonts w:asciiTheme="majorBidi" w:hAnsiTheme="majorBidi" w:cstheme="majorBidi"/>
                <w:color w:val="000000"/>
                <w:sz w:val="22"/>
              </w:rPr>
              <w:t xml:space="preserve"> c</w:t>
            </w:r>
            <w:r w:rsidRPr="00025CD3">
              <w:rPr>
                <w:rFonts w:asciiTheme="majorBidi" w:hAnsiTheme="majorBidi" w:cstheme="majorBidi"/>
                <w:color w:val="000000"/>
                <w:sz w:val="22"/>
              </w:rPr>
              <w:t>/ m</w:t>
            </w:r>
            <w:r w:rsidR="007F35DF">
              <w:rPr>
                <w:rFonts w:asciiTheme="majorBidi" w:hAnsiTheme="majorBidi" w:cstheme="majorBidi"/>
                <w:color w:val="000000"/>
                <w:sz w:val="22"/>
              </w:rPr>
              <w:t>aio</w:t>
            </w:r>
            <w:r w:rsidRPr="00025CD3">
              <w:rPr>
                <w:rFonts w:asciiTheme="majorBidi" w:hAnsiTheme="majorBidi" w:cstheme="majorBidi"/>
                <w:color w:val="000000"/>
                <w:sz w:val="22"/>
              </w:rPr>
              <w:t xml:space="preserve">r </w:t>
            </w:r>
            <w:r w:rsidR="00990766">
              <w:rPr>
                <w:rFonts w:asciiTheme="majorBidi" w:hAnsiTheme="majorBidi" w:cstheme="majorBidi"/>
                <w:color w:val="000000"/>
                <w:sz w:val="22"/>
              </w:rPr>
              <w:t xml:space="preserve">percentagem de abstenção </w:t>
            </w:r>
          </w:p>
        </w:tc>
        <w:tc>
          <w:tcPr>
            <w:tcW w:w="3118" w:type="dxa"/>
            <w:tcBorders>
              <w:top w:val="nil"/>
              <w:left w:val="nil"/>
              <w:bottom w:val="nil"/>
              <w:right w:val="nil"/>
            </w:tcBorders>
            <w:shd w:val="clear" w:color="auto" w:fill="FFFFFF" w:themeFill="background1"/>
          </w:tcPr>
          <w:p w14:paraId="2B61489A" w14:textId="77777777" w:rsidR="00F949DE" w:rsidRPr="00C405FD" w:rsidRDefault="00F949DE"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C405FD">
              <w:rPr>
                <w:rFonts w:asciiTheme="majorBidi" w:hAnsiTheme="majorBidi" w:cstheme="majorBidi"/>
                <w:color w:val="000000"/>
                <w:sz w:val="22"/>
              </w:rPr>
              <w:t>N=</w:t>
            </w:r>
            <w:r>
              <w:rPr>
                <w:rFonts w:asciiTheme="majorBidi" w:hAnsiTheme="majorBidi" w:cstheme="majorBidi"/>
                <w:color w:val="000000"/>
                <w:sz w:val="22"/>
              </w:rPr>
              <w:t>734</w:t>
            </w:r>
          </w:p>
        </w:tc>
        <w:tc>
          <w:tcPr>
            <w:tcW w:w="1201" w:type="dxa"/>
            <w:tcBorders>
              <w:top w:val="nil"/>
              <w:left w:val="nil"/>
              <w:bottom w:val="nil"/>
              <w:right w:val="nil"/>
            </w:tcBorders>
            <w:shd w:val="clear" w:color="auto" w:fill="FFFFFF" w:themeFill="background1"/>
          </w:tcPr>
          <w:p w14:paraId="4E2B15DC" w14:textId="77777777" w:rsidR="00F949DE" w:rsidRPr="00C405FD"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c>
          <w:tcPr>
            <w:tcW w:w="1416" w:type="dxa"/>
            <w:tcBorders>
              <w:top w:val="nil"/>
              <w:left w:val="nil"/>
              <w:bottom w:val="nil"/>
              <w:right w:val="nil"/>
            </w:tcBorders>
            <w:shd w:val="clear" w:color="auto" w:fill="FFFFFF" w:themeFill="background1"/>
          </w:tcPr>
          <w:p w14:paraId="65F2718F" w14:textId="77777777" w:rsidR="00F949DE" w:rsidRPr="00C405FD"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F949DE" w:rsidRPr="00C405FD" w14:paraId="6FC1AAF7" w14:textId="77777777" w:rsidTr="009C5227">
        <w:trPr>
          <w:gridAfter w:val="1"/>
          <w:wAfter w:w="77" w:type="dxa"/>
          <w:cantSplit/>
          <w:jc w:val="center"/>
        </w:trPr>
        <w:tc>
          <w:tcPr>
            <w:tcW w:w="2552" w:type="dxa"/>
            <w:vMerge/>
            <w:tcBorders>
              <w:left w:val="nil"/>
              <w:right w:val="nil"/>
            </w:tcBorders>
            <w:shd w:val="clear" w:color="auto" w:fill="FFFFFF" w:themeFill="background1"/>
            <w:vAlign w:val="bottom"/>
          </w:tcPr>
          <w:p w14:paraId="6A0100BA" w14:textId="77777777" w:rsidR="00F949DE" w:rsidRPr="00C405FD" w:rsidRDefault="00F949DE"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118" w:type="dxa"/>
            <w:tcBorders>
              <w:top w:val="nil"/>
              <w:left w:val="nil"/>
              <w:bottom w:val="nil"/>
              <w:right w:val="nil"/>
            </w:tcBorders>
            <w:shd w:val="clear" w:color="auto" w:fill="E7E6E6" w:themeFill="background2"/>
          </w:tcPr>
          <w:p w14:paraId="4385CE2A" w14:textId="77777777" w:rsidR="00F949DE" w:rsidRPr="008051A5" w:rsidRDefault="00F949DE"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D5282D">
              <w:rPr>
                <w:rFonts w:asciiTheme="majorBidi" w:hAnsiTheme="majorBidi" w:cstheme="majorBidi"/>
                <w:color w:val="000000"/>
                <w:sz w:val="22"/>
              </w:rPr>
              <w:t>Média</w:t>
            </w:r>
          </w:p>
        </w:tc>
        <w:tc>
          <w:tcPr>
            <w:tcW w:w="1201" w:type="dxa"/>
            <w:tcBorders>
              <w:top w:val="nil"/>
              <w:left w:val="nil"/>
              <w:bottom w:val="nil"/>
              <w:right w:val="nil"/>
            </w:tcBorders>
            <w:shd w:val="clear" w:color="auto" w:fill="E7E6E6" w:themeFill="background2"/>
          </w:tcPr>
          <w:p w14:paraId="7F42FEFD"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45,2957</w:t>
            </w:r>
          </w:p>
        </w:tc>
        <w:tc>
          <w:tcPr>
            <w:tcW w:w="1416" w:type="dxa"/>
            <w:tcBorders>
              <w:top w:val="nil"/>
              <w:left w:val="nil"/>
              <w:bottom w:val="nil"/>
              <w:right w:val="nil"/>
            </w:tcBorders>
            <w:shd w:val="clear" w:color="auto" w:fill="E7E6E6" w:themeFill="background2"/>
          </w:tcPr>
          <w:p w14:paraId="483D3907"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0,62361</w:t>
            </w:r>
          </w:p>
        </w:tc>
      </w:tr>
      <w:tr w:rsidR="00F949DE" w:rsidRPr="00C405FD" w14:paraId="48490D70" w14:textId="77777777" w:rsidTr="009C5227">
        <w:trPr>
          <w:gridAfter w:val="1"/>
          <w:wAfter w:w="77" w:type="dxa"/>
          <w:cantSplit/>
          <w:jc w:val="center"/>
        </w:trPr>
        <w:tc>
          <w:tcPr>
            <w:tcW w:w="2552" w:type="dxa"/>
            <w:vMerge/>
            <w:tcBorders>
              <w:left w:val="nil"/>
              <w:right w:val="nil"/>
            </w:tcBorders>
            <w:shd w:val="clear" w:color="auto" w:fill="FFFFFF" w:themeFill="background1"/>
            <w:vAlign w:val="bottom"/>
          </w:tcPr>
          <w:p w14:paraId="73C8B55F" w14:textId="77777777" w:rsidR="00F949DE" w:rsidRPr="00C405FD" w:rsidRDefault="00F949DE"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118" w:type="dxa"/>
            <w:tcBorders>
              <w:top w:val="nil"/>
              <w:left w:val="nil"/>
              <w:bottom w:val="nil"/>
              <w:right w:val="nil"/>
            </w:tcBorders>
            <w:shd w:val="clear" w:color="auto" w:fill="FFFFFF" w:themeFill="background1"/>
          </w:tcPr>
          <w:p w14:paraId="75E2F039" w14:textId="77777777" w:rsidR="00F949DE" w:rsidRPr="008051A5" w:rsidRDefault="00F949DE"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D5282D">
              <w:rPr>
                <w:rFonts w:asciiTheme="majorBidi" w:hAnsiTheme="majorBidi" w:cstheme="majorBidi"/>
                <w:color w:val="000000"/>
                <w:sz w:val="22"/>
              </w:rPr>
              <w:t>Mediana</w:t>
            </w:r>
          </w:p>
        </w:tc>
        <w:tc>
          <w:tcPr>
            <w:tcW w:w="1201" w:type="dxa"/>
            <w:tcBorders>
              <w:top w:val="nil"/>
              <w:left w:val="nil"/>
              <w:bottom w:val="nil"/>
              <w:right w:val="nil"/>
            </w:tcBorders>
            <w:shd w:val="clear" w:color="auto" w:fill="FFFFFF" w:themeFill="background1"/>
          </w:tcPr>
          <w:p w14:paraId="1E26BE82"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42,0282</w:t>
            </w:r>
          </w:p>
        </w:tc>
        <w:tc>
          <w:tcPr>
            <w:tcW w:w="1416" w:type="dxa"/>
            <w:tcBorders>
              <w:top w:val="nil"/>
              <w:left w:val="nil"/>
              <w:bottom w:val="nil"/>
              <w:right w:val="nil"/>
            </w:tcBorders>
            <w:shd w:val="clear" w:color="auto" w:fill="FFFFFF" w:themeFill="background1"/>
            <w:vAlign w:val="center"/>
          </w:tcPr>
          <w:p w14:paraId="4F67482F"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F949DE" w:rsidRPr="00C405FD" w14:paraId="1A5095FC" w14:textId="77777777" w:rsidTr="009C5227">
        <w:trPr>
          <w:gridAfter w:val="1"/>
          <w:wAfter w:w="77" w:type="dxa"/>
          <w:cantSplit/>
          <w:jc w:val="center"/>
        </w:trPr>
        <w:tc>
          <w:tcPr>
            <w:tcW w:w="2552" w:type="dxa"/>
            <w:vMerge/>
            <w:tcBorders>
              <w:left w:val="nil"/>
              <w:right w:val="nil"/>
            </w:tcBorders>
            <w:shd w:val="clear" w:color="auto" w:fill="FFFFFF" w:themeFill="background1"/>
            <w:vAlign w:val="bottom"/>
          </w:tcPr>
          <w:p w14:paraId="35955DC6" w14:textId="77777777" w:rsidR="00F949DE" w:rsidRPr="00C405FD" w:rsidRDefault="00F949DE"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118" w:type="dxa"/>
            <w:tcBorders>
              <w:top w:val="nil"/>
              <w:left w:val="nil"/>
              <w:bottom w:val="nil"/>
              <w:right w:val="nil"/>
            </w:tcBorders>
            <w:shd w:val="clear" w:color="auto" w:fill="E7E6E6" w:themeFill="background2"/>
          </w:tcPr>
          <w:p w14:paraId="3E3B57D6" w14:textId="77777777" w:rsidR="00F949DE" w:rsidRPr="008051A5" w:rsidRDefault="00F949DE"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D5282D">
              <w:rPr>
                <w:rFonts w:asciiTheme="majorBidi" w:hAnsiTheme="majorBidi" w:cstheme="majorBidi"/>
                <w:color w:val="000000"/>
                <w:sz w:val="22"/>
              </w:rPr>
              <w:t>Variância</w:t>
            </w:r>
          </w:p>
        </w:tc>
        <w:tc>
          <w:tcPr>
            <w:tcW w:w="1201" w:type="dxa"/>
            <w:tcBorders>
              <w:top w:val="nil"/>
              <w:left w:val="nil"/>
              <w:bottom w:val="nil"/>
              <w:right w:val="nil"/>
            </w:tcBorders>
            <w:shd w:val="clear" w:color="auto" w:fill="E7E6E6" w:themeFill="background2"/>
          </w:tcPr>
          <w:p w14:paraId="05A57D98"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285,447</w:t>
            </w:r>
          </w:p>
        </w:tc>
        <w:tc>
          <w:tcPr>
            <w:tcW w:w="1416" w:type="dxa"/>
            <w:tcBorders>
              <w:top w:val="nil"/>
              <w:left w:val="nil"/>
              <w:bottom w:val="nil"/>
              <w:right w:val="nil"/>
            </w:tcBorders>
            <w:shd w:val="clear" w:color="auto" w:fill="E7E6E6" w:themeFill="background2"/>
            <w:vAlign w:val="center"/>
          </w:tcPr>
          <w:p w14:paraId="38CFE352"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F949DE" w:rsidRPr="00C405FD" w14:paraId="5D3323DB" w14:textId="77777777" w:rsidTr="009C5227">
        <w:trPr>
          <w:gridAfter w:val="1"/>
          <w:wAfter w:w="77" w:type="dxa"/>
          <w:cantSplit/>
          <w:jc w:val="center"/>
        </w:trPr>
        <w:tc>
          <w:tcPr>
            <w:tcW w:w="2552" w:type="dxa"/>
            <w:vMerge/>
            <w:tcBorders>
              <w:left w:val="nil"/>
              <w:right w:val="nil"/>
            </w:tcBorders>
            <w:shd w:val="clear" w:color="auto" w:fill="FFFFFF" w:themeFill="background1"/>
            <w:vAlign w:val="bottom"/>
          </w:tcPr>
          <w:p w14:paraId="2096AC2E" w14:textId="77777777" w:rsidR="00F949DE" w:rsidRPr="00C405FD" w:rsidRDefault="00F949DE"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118" w:type="dxa"/>
            <w:tcBorders>
              <w:top w:val="nil"/>
              <w:left w:val="nil"/>
              <w:bottom w:val="nil"/>
              <w:right w:val="nil"/>
            </w:tcBorders>
            <w:shd w:val="clear" w:color="auto" w:fill="FFFFFF" w:themeFill="background1"/>
          </w:tcPr>
          <w:p w14:paraId="4F582D10" w14:textId="77777777" w:rsidR="00F949DE" w:rsidRPr="008051A5" w:rsidRDefault="00F949DE"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D5282D">
              <w:rPr>
                <w:rFonts w:asciiTheme="majorBidi" w:hAnsiTheme="majorBidi" w:cstheme="majorBidi"/>
                <w:color w:val="000000"/>
                <w:sz w:val="22"/>
              </w:rPr>
              <w:t>Erro Padrão</w:t>
            </w:r>
          </w:p>
        </w:tc>
        <w:tc>
          <w:tcPr>
            <w:tcW w:w="1201" w:type="dxa"/>
            <w:tcBorders>
              <w:top w:val="nil"/>
              <w:left w:val="nil"/>
              <w:bottom w:val="nil"/>
              <w:right w:val="nil"/>
            </w:tcBorders>
            <w:shd w:val="clear" w:color="auto" w:fill="FFFFFF" w:themeFill="background1"/>
          </w:tcPr>
          <w:p w14:paraId="04C59C2D"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16,89518</w:t>
            </w:r>
          </w:p>
        </w:tc>
        <w:tc>
          <w:tcPr>
            <w:tcW w:w="1416" w:type="dxa"/>
            <w:tcBorders>
              <w:top w:val="nil"/>
              <w:left w:val="nil"/>
              <w:bottom w:val="nil"/>
              <w:right w:val="nil"/>
            </w:tcBorders>
            <w:shd w:val="clear" w:color="auto" w:fill="FFFFFF" w:themeFill="background1"/>
            <w:vAlign w:val="center"/>
          </w:tcPr>
          <w:p w14:paraId="2C052A43"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F949DE" w:rsidRPr="00C405FD" w14:paraId="12A1FB7E" w14:textId="77777777" w:rsidTr="009C5227">
        <w:trPr>
          <w:gridAfter w:val="1"/>
          <w:wAfter w:w="77" w:type="dxa"/>
          <w:cantSplit/>
          <w:jc w:val="center"/>
        </w:trPr>
        <w:tc>
          <w:tcPr>
            <w:tcW w:w="2552" w:type="dxa"/>
            <w:vMerge/>
            <w:tcBorders>
              <w:left w:val="nil"/>
              <w:right w:val="nil"/>
            </w:tcBorders>
            <w:shd w:val="clear" w:color="auto" w:fill="FFFFFF" w:themeFill="background1"/>
            <w:vAlign w:val="bottom"/>
          </w:tcPr>
          <w:p w14:paraId="0DF36865" w14:textId="77777777" w:rsidR="00F949DE" w:rsidRPr="00C405FD" w:rsidRDefault="00F949DE"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118" w:type="dxa"/>
            <w:tcBorders>
              <w:top w:val="nil"/>
              <w:left w:val="nil"/>
              <w:bottom w:val="nil"/>
              <w:right w:val="nil"/>
            </w:tcBorders>
            <w:shd w:val="clear" w:color="auto" w:fill="E7E6E6" w:themeFill="background2"/>
          </w:tcPr>
          <w:p w14:paraId="4DF8AA61" w14:textId="77777777" w:rsidR="00F949DE" w:rsidRPr="008051A5" w:rsidRDefault="00F949DE"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D5282D">
              <w:rPr>
                <w:rFonts w:asciiTheme="majorBidi" w:hAnsiTheme="majorBidi" w:cstheme="majorBidi"/>
                <w:color w:val="000000"/>
                <w:sz w:val="22"/>
              </w:rPr>
              <w:t>Mínimo</w:t>
            </w:r>
          </w:p>
        </w:tc>
        <w:tc>
          <w:tcPr>
            <w:tcW w:w="1201" w:type="dxa"/>
            <w:tcBorders>
              <w:top w:val="nil"/>
              <w:left w:val="nil"/>
              <w:bottom w:val="nil"/>
              <w:right w:val="nil"/>
            </w:tcBorders>
            <w:shd w:val="clear" w:color="auto" w:fill="E7E6E6" w:themeFill="background2"/>
          </w:tcPr>
          <w:p w14:paraId="57AD3436"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0,82</w:t>
            </w:r>
          </w:p>
        </w:tc>
        <w:tc>
          <w:tcPr>
            <w:tcW w:w="1416" w:type="dxa"/>
            <w:tcBorders>
              <w:top w:val="nil"/>
              <w:left w:val="nil"/>
              <w:bottom w:val="nil"/>
              <w:right w:val="nil"/>
            </w:tcBorders>
            <w:shd w:val="clear" w:color="auto" w:fill="E7E6E6" w:themeFill="background2"/>
            <w:vAlign w:val="center"/>
          </w:tcPr>
          <w:p w14:paraId="2AB8E7D1"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F949DE" w:rsidRPr="00C405FD" w14:paraId="603A4067" w14:textId="77777777" w:rsidTr="009C5227">
        <w:trPr>
          <w:gridAfter w:val="1"/>
          <w:wAfter w:w="77" w:type="dxa"/>
          <w:cantSplit/>
          <w:jc w:val="center"/>
        </w:trPr>
        <w:tc>
          <w:tcPr>
            <w:tcW w:w="2552" w:type="dxa"/>
            <w:vMerge/>
            <w:tcBorders>
              <w:left w:val="nil"/>
              <w:right w:val="nil"/>
            </w:tcBorders>
            <w:shd w:val="clear" w:color="auto" w:fill="FFFFFF" w:themeFill="background1"/>
            <w:vAlign w:val="bottom"/>
          </w:tcPr>
          <w:p w14:paraId="6B39DDF3" w14:textId="77777777" w:rsidR="00F949DE" w:rsidRPr="00C405FD" w:rsidRDefault="00F949DE"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118" w:type="dxa"/>
            <w:tcBorders>
              <w:top w:val="nil"/>
              <w:left w:val="nil"/>
              <w:bottom w:val="nil"/>
              <w:right w:val="nil"/>
            </w:tcBorders>
            <w:shd w:val="clear" w:color="auto" w:fill="FFFFFF" w:themeFill="background1"/>
          </w:tcPr>
          <w:p w14:paraId="26049091" w14:textId="77777777" w:rsidR="00F949DE" w:rsidRPr="008051A5" w:rsidRDefault="00F949DE"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D5282D">
              <w:rPr>
                <w:rFonts w:asciiTheme="majorBidi" w:hAnsiTheme="majorBidi" w:cstheme="majorBidi"/>
                <w:color w:val="000000"/>
                <w:sz w:val="22"/>
              </w:rPr>
              <w:t>Máximo</w:t>
            </w:r>
          </w:p>
        </w:tc>
        <w:tc>
          <w:tcPr>
            <w:tcW w:w="1201" w:type="dxa"/>
            <w:tcBorders>
              <w:top w:val="nil"/>
              <w:left w:val="nil"/>
              <w:bottom w:val="nil"/>
              <w:right w:val="nil"/>
            </w:tcBorders>
            <w:shd w:val="clear" w:color="auto" w:fill="FFFFFF" w:themeFill="background1"/>
          </w:tcPr>
          <w:p w14:paraId="182AC3B3"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98,21</w:t>
            </w:r>
          </w:p>
        </w:tc>
        <w:tc>
          <w:tcPr>
            <w:tcW w:w="1416" w:type="dxa"/>
            <w:tcBorders>
              <w:top w:val="nil"/>
              <w:left w:val="nil"/>
              <w:bottom w:val="nil"/>
              <w:right w:val="nil"/>
            </w:tcBorders>
            <w:shd w:val="clear" w:color="auto" w:fill="FFFFFF" w:themeFill="background1"/>
            <w:vAlign w:val="center"/>
          </w:tcPr>
          <w:p w14:paraId="3BA26645"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F949DE" w:rsidRPr="00C405FD" w14:paraId="0B27CBEB" w14:textId="77777777" w:rsidTr="009C5227">
        <w:trPr>
          <w:gridAfter w:val="1"/>
          <w:wAfter w:w="77" w:type="dxa"/>
          <w:cantSplit/>
          <w:jc w:val="center"/>
        </w:trPr>
        <w:tc>
          <w:tcPr>
            <w:tcW w:w="2552" w:type="dxa"/>
            <w:vMerge/>
            <w:tcBorders>
              <w:left w:val="nil"/>
              <w:right w:val="nil"/>
            </w:tcBorders>
            <w:shd w:val="clear" w:color="auto" w:fill="FFFFFF" w:themeFill="background1"/>
            <w:vAlign w:val="bottom"/>
          </w:tcPr>
          <w:p w14:paraId="35C5995E" w14:textId="77777777" w:rsidR="00F949DE" w:rsidRPr="00C405FD" w:rsidRDefault="00F949DE"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118" w:type="dxa"/>
            <w:tcBorders>
              <w:top w:val="nil"/>
              <w:left w:val="nil"/>
              <w:bottom w:val="nil"/>
              <w:right w:val="nil"/>
            </w:tcBorders>
            <w:shd w:val="clear" w:color="auto" w:fill="E7E6E6" w:themeFill="background2"/>
          </w:tcPr>
          <w:p w14:paraId="78997ED7" w14:textId="77777777" w:rsidR="00F949DE" w:rsidRPr="008051A5" w:rsidRDefault="00F949DE"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D5282D">
              <w:rPr>
                <w:rFonts w:asciiTheme="majorBidi" w:hAnsiTheme="majorBidi" w:cstheme="majorBidi"/>
                <w:color w:val="000000"/>
                <w:sz w:val="22"/>
              </w:rPr>
              <w:t>Amplitude</w:t>
            </w:r>
          </w:p>
        </w:tc>
        <w:tc>
          <w:tcPr>
            <w:tcW w:w="1201" w:type="dxa"/>
            <w:tcBorders>
              <w:top w:val="nil"/>
              <w:left w:val="nil"/>
              <w:bottom w:val="nil"/>
              <w:right w:val="nil"/>
            </w:tcBorders>
            <w:shd w:val="clear" w:color="auto" w:fill="E7E6E6" w:themeFill="background2"/>
          </w:tcPr>
          <w:p w14:paraId="33A3FA30"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97,39</w:t>
            </w:r>
          </w:p>
        </w:tc>
        <w:tc>
          <w:tcPr>
            <w:tcW w:w="1416" w:type="dxa"/>
            <w:tcBorders>
              <w:top w:val="nil"/>
              <w:left w:val="nil"/>
              <w:bottom w:val="nil"/>
              <w:right w:val="nil"/>
            </w:tcBorders>
            <w:shd w:val="clear" w:color="auto" w:fill="E7E6E6" w:themeFill="background2"/>
            <w:vAlign w:val="center"/>
          </w:tcPr>
          <w:p w14:paraId="34C1D57C"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F949DE" w:rsidRPr="00C405FD" w14:paraId="60004444" w14:textId="77777777" w:rsidTr="009C5227">
        <w:trPr>
          <w:gridAfter w:val="1"/>
          <w:wAfter w:w="77" w:type="dxa"/>
          <w:cantSplit/>
          <w:jc w:val="center"/>
        </w:trPr>
        <w:tc>
          <w:tcPr>
            <w:tcW w:w="2552" w:type="dxa"/>
            <w:vMerge/>
            <w:tcBorders>
              <w:left w:val="nil"/>
              <w:right w:val="nil"/>
            </w:tcBorders>
            <w:shd w:val="clear" w:color="auto" w:fill="FFFFFF" w:themeFill="background1"/>
            <w:vAlign w:val="bottom"/>
          </w:tcPr>
          <w:p w14:paraId="10C6AFFF" w14:textId="77777777" w:rsidR="00F949DE" w:rsidRPr="00C405FD" w:rsidRDefault="00F949DE"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118" w:type="dxa"/>
            <w:tcBorders>
              <w:top w:val="nil"/>
              <w:left w:val="nil"/>
              <w:bottom w:val="nil"/>
              <w:right w:val="nil"/>
            </w:tcBorders>
            <w:shd w:val="clear" w:color="auto" w:fill="FFFFFF" w:themeFill="background1"/>
          </w:tcPr>
          <w:p w14:paraId="315A70E6" w14:textId="77777777" w:rsidR="00F949DE" w:rsidRPr="008051A5" w:rsidRDefault="00F949DE"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D5282D">
              <w:rPr>
                <w:rFonts w:asciiTheme="majorBidi" w:hAnsiTheme="majorBidi" w:cstheme="majorBidi"/>
                <w:color w:val="000000"/>
                <w:sz w:val="22"/>
              </w:rPr>
              <w:t>Amplitude interquartil</w:t>
            </w:r>
          </w:p>
        </w:tc>
        <w:tc>
          <w:tcPr>
            <w:tcW w:w="1201" w:type="dxa"/>
            <w:tcBorders>
              <w:top w:val="nil"/>
              <w:left w:val="nil"/>
              <w:bottom w:val="nil"/>
              <w:right w:val="nil"/>
            </w:tcBorders>
            <w:shd w:val="clear" w:color="auto" w:fill="FFFFFF" w:themeFill="background1"/>
          </w:tcPr>
          <w:p w14:paraId="75AA0849"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20,30</w:t>
            </w:r>
          </w:p>
        </w:tc>
        <w:tc>
          <w:tcPr>
            <w:tcW w:w="1416" w:type="dxa"/>
            <w:tcBorders>
              <w:top w:val="nil"/>
              <w:left w:val="nil"/>
              <w:bottom w:val="nil"/>
              <w:right w:val="nil"/>
            </w:tcBorders>
            <w:shd w:val="clear" w:color="auto" w:fill="FFFFFF" w:themeFill="background1"/>
            <w:vAlign w:val="center"/>
          </w:tcPr>
          <w:p w14:paraId="170CC578"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p>
        </w:tc>
      </w:tr>
      <w:tr w:rsidR="00F949DE" w:rsidRPr="00C405FD" w14:paraId="613F206D" w14:textId="77777777" w:rsidTr="009C5227">
        <w:trPr>
          <w:gridAfter w:val="1"/>
          <w:wAfter w:w="77" w:type="dxa"/>
          <w:cantSplit/>
          <w:jc w:val="center"/>
        </w:trPr>
        <w:tc>
          <w:tcPr>
            <w:tcW w:w="2552" w:type="dxa"/>
            <w:vMerge/>
            <w:tcBorders>
              <w:left w:val="nil"/>
              <w:right w:val="nil"/>
            </w:tcBorders>
            <w:shd w:val="clear" w:color="auto" w:fill="FFFFFF" w:themeFill="background1"/>
            <w:vAlign w:val="bottom"/>
          </w:tcPr>
          <w:p w14:paraId="0547BCF9" w14:textId="77777777" w:rsidR="00F949DE" w:rsidRPr="00C405FD" w:rsidRDefault="00F949DE"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118" w:type="dxa"/>
            <w:tcBorders>
              <w:top w:val="nil"/>
              <w:left w:val="nil"/>
              <w:bottom w:val="nil"/>
              <w:right w:val="nil"/>
            </w:tcBorders>
            <w:shd w:val="clear" w:color="auto" w:fill="E7E6E6" w:themeFill="background2"/>
          </w:tcPr>
          <w:p w14:paraId="2C294EE3" w14:textId="77777777" w:rsidR="00F949DE" w:rsidRPr="008051A5" w:rsidRDefault="00F949DE"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r w:rsidRPr="00D5282D">
              <w:rPr>
                <w:rFonts w:asciiTheme="majorBidi" w:hAnsiTheme="majorBidi" w:cstheme="majorBidi"/>
                <w:color w:val="000000"/>
                <w:sz w:val="22"/>
              </w:rPr>
              <w:t>Assimetria</w:t>
            </w:r>
          </w:p>
        </w:tc>
        <w:tc>
          <w:tcPr>
            <w:tcW w:w="1201" w:type="dxa"/>
            <w:tcBorders>
              <w:top w:val="nil"/>
              <w:left w:val="nil"/>
              <w:bottom w:val="nil"/>
              <w:right w:val="nil"/>
            </w:tcBorders>
            <w:shd w:val="clear" w:color="auto" w:fill="E7E6E6" w:themeFill="background2"/>
          </w:tcPr>
          <w:p w14:paraId="47C4174E"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0,689</w:t>
            </w:r>
          </w:p>
        </w:tc>
        <w:tc>
          <w:tcPr>
            <w:tcW w:w="1416" w:type="dxa"/>
            <w:tcBorders>
              <w:top w:val="nil"/>
              <w:left w:val="nil"/>
              <w:bottom w:val="nil"/>
              <w:right w:val="nil"/>
            </w:tcBorders>
            <w:shd w:val="clear" w:color="auto" w:fill="E7E6E6" w:themeFill="background2"/>
          </w:tcPr>
          <w:p w14:paraId="48BEF80F"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0,090</w:t>
            </w:r>
          </w:p>
        </w:tc>
      </w:tr>
      <w:tr w:rsidR="00F949DE" w:rsidRPr="00C405FD" w14:paraId="757A208F" w14:textId="77777777" w:rsidTr="009C5227">
        <w:trPr>
          <w:gridAfter w:val="1"/>
          <w:wAfter w:w="77" w:type="dxa"/>
          <w:cantSplit/>
          <w:jc w:val="center"/>
        </w:trPr>
        <w:tc>
          <w:tcPr>
            <w:tcW w:w="2552" w:type="dxa"/>
            <w:vMerge/>
            <w:tcBorders>
              <w:left w:val="nil"/>
              <w:bottom w:val="double" w:sz="4" w:space="0" w:color="auto"/>
              <w:right w:val="nil"/>
            </w:tcBorders>
            <w:shd w:val="clear" w:color="auto" w:fill="FFFFFF" w:themeFill="background1"/>
            <w:vAlign w:val="bottom"/>
          </w:tcPr>
          <w:p w14:paraId="4DCBF2A7" w14:textId="77777777" w:rsidR="00F949DE" w:rsidRPr="00C405FD" w:rsidRDefault="00F949DE" w:rsidP="009C5227">
            <w:pPr>
              <w:autoSpaceDE w:val="0"/>
              <w:autoSpaceDN w:val="0"/>
              <w:adjustRightInd w:val="0"/>
              <w:spacing w:before="100" w:beforeAutospacing="1" w:after="100" w:afterAutospacing="1" w:line="240" w:lineRule="auto"/>
              <w:rPr>
                <w:rFonts w:asciiTheme="majorBidi" w:hAnsiTheme="majorBidi" w:cstheme="majorBidi"/>
                <w:color w:val="000000"/>
                <w:sz w:val="22"/>
              </w:rPr>
            </w:pPr>
          </w:p>
        </w:tc>
        <w:tc>
          <w:tcPr>
            <w:tcW w:w="3118" w:type="dxa"/>
            <w:tcBorders>
              <w:top w:val="nil"/>
              <w:left w:val="nil"/>
              <w:bottom w:val="double" w:sz="4" w:space="0" w:color="auto"/>
              <w:right w:val="nil"/>
            </w:tcBorders>
            <w:shd w:val="clear" w:color="auto" w:fill="FFFFFF" w:themeFill="background1"/>
          </w:tcPr>
          <w:p w14:paraId="2428D094" w14:textId="77777777" w:rsidR="00F949DE" w:rsidRPr="008051A5" w:rsidRDefault="00F949DE" w:rsidP="009C5227">
            <w:pPr>
              <w:autoSpaceDE w:val="0"/>
              <w:autoSpaceDN w:val="0"/>
              <w:adjustRightInd w:val="0"/>
              <w:spacing w:before="100" w:beforeAutospacing="1" w:after="100" w:afterAutospacing="1" w:line="240" w:lineRule="auto"/>
              <w:ind w:left="60" w:right="60"/>
              <w:rPr>
                <w:rFonts w:asciiTheme="majorBidi" w:hAnsiTheme="majorBidi" w:cstheme="majorBidi"/>
                <w:color w:val="000000"/>
                <w:sz w:val="22"/>
              </w:rPr>
            </w:pPr>
            <w:proofErr w:type="spellStart"/>
            <w:r w:rsidRPr="00D5282D">
              <w:rPr>
                <w:rFonts w:asciiTheme="majorBidi" w:hAnsiTheme="majorBidi" w:cstheme="majorBidi"/>
                <w:color w:val="000000"/>
                <w:sz w:val="22"/>
              </w:rPr>
              <w:t>Curtose</w:t>
            </w:r>
            <w:proofErr w:type="spellEnd"/>
          </w:p>
        </w:tc>
        <w:tc>
          <w:tcPr>
            <w:tcW w:w="1201" w:type="dxa"/>
            <w:tcBorders>
              <w:top w:val="nil"/>
              <w:left w:val="nil"/>
              <w:bottom w:val="double" w:sz="4" w:space="0" w:color="auto"/>
              <w:right w:val="nil"/>
            </w:tcBorders>
            <w:shd w:val="clear" w:color="auto" w:fill="FFFFFF" w:themeFill="background1"/>
          </w:tcPr>
          <w:p w14:paraId="4CD6846C"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0,389</w:t>
            </w:r>
          </w:p>
        </w:tc>
        <w:tc>
          <w:tcPr>
            <w:tcW w:w="1416" w:type="dxa"/>
            <w:tcBorders>
              <w:top w:val="nil"/>
              <w:left w:val="nil"/>
              <w:bottom w:val="double" w:sz="4" w:space="0" w:color="auto"/>
              <w:right w:val="nil"/>
            </w:tcBorders>
            <w:shd w:val="clear" w:color="auto" w:fill="FFFFFF" w:themeFill="background1"/>
          </w:tcPr>
          <w:p w14:paraId="5CA30816" w14:textId="77777777" w:rsidR="00F949DE" w:rsidRPr="008051A5" w:rsidRDefault="00F949DE" w:rsidP="009C5227">
            <w:pPr>
              <w:autoSpaceDE w:val="0"/>
              <w:autoSpaceDN w:val="0"/>
              <w:adjustRightInd w:val="0"/>
              <w:spacing w:before="100" w:beforeAutospacing="1" w:after="100" w:afterAutospacing="1" w:line="240" w:lineRule="auto"/>
              <w:ind w:left="60" w:right="60"/>
              <w:jc w:val="right"/>
              <w:rPr>
                <w:rFonts w:asciiTheme="majorBidi" w:hAnsiTheme="majorBidi" w:cstheme="majorBidi"/>
                <w:color w:val="000000"/>
                <w:sz w:val="22"/>
              </w:rPr>
            </w:pPr>
            <w:r w:rsidRPr="00D5282D">
              <w:rPr>
                <w:rFonts w:asciiTheme="majorBidi" w:hAnsiTheme="majorBidi" w:cstheme="majorBidi"/>
                <w:color w:val="000000"/>
                <w:sz w:val="22"/>
              </w:rPr>
              <w:t>0,180</w:t>
            </w:r>
          </w:p>
        </w:tc>
      </w:tr>
    </w:tbl>
    <w:p w14:paraId="78995B74" w14:textId="7AF779FA" w:rsidR="00990766" w:rsidRDefault="00990766" w:rsidP="00990766">
      <w:pPr>
        <w:spacing w:before="240" w:line="360" w:lineRule="auto"/>
        <w:jc w:val="both"/>
        <w:rPr>
          <w:rFonts w:cs="Times New Roman"/>
        </w:rPr>
      </w:pPr>
      <w:r>
        <w:rPr>
          <w:rFonts w:cs="Times New Roman"/>
        </w:rPr>
        <w:t xml:space="preserve">Como se pode </w:t>
      </w:r>
      <w:r w:rsidR="00D9490A">
        <w:rPr>
          <w:rFonts w:cs="Times New Roman"/>
        </w:rPr>
        <w:t>verificar</w:t>
      </w:r>
      <w:r>
        <w:rPr>
          <w:rFonts w:cs="Times New Roman"/>
        </w:rPr>
        <w:t>,</w:t>
      </w:r>
      <w:r w:rsidR="00376BD9">
        <w:rPr>
          <w:rFonts w:cs="Times New Roman"/>
        </w:rPr>
        <w:t xml:space="preserve"> 806</w:t>
      </w:r>
      <w:r w:rsidR="00D9490A">
        <w:rPr>
          <w:rFonts w:cs="Times New Roman"/>
        </w:rPr>
        <w:t xml:space="preserve"> observações estão incluídas no grupo de</w:t>
      </w:r>
      <w:r w:rsidR="00376BD9">
        <w:rPr>
          <w:rFonts w:cs="Times New Roman"/>
        </w:rPr>
        <w:t xml:space="preserve"> municípios portugueses </w:t>
      </w:r>
      <w:r w:rsidR="00D9490A">
        <w:rPr>
          <w:rFonts w:cs="Times New Roman"/>
        </w:rPr>
        <w:t>com</w:t>
      </w:r>
      <w:r w:rsidR="00376BD9">
        <w:rPr>
          <w:rFonts w:cs="Times New Roman"/>
        </w:rPr>
        <w:t xml:space="preserve"> menores percentagens de abstenção e 734</w:t>
      </w:r>
      <w:r w:rsidR="00D9490A">
        <w:rPr>
          <w:rFonts w:cs="Times New Roman"/>
        </w:rPr>
        <w:t xml:space="preserve"> observações no grupo de</w:t>
      </w:r>
      <w:r w:rsidR="00376BD9">
        <w:rPr>
          <w:rFonts w:cs="Times New Roman"/>
        </w:rPr>
        <w:t xml:space="preserve"> municípios </w:t>
      </w:r>
      <w:r w:rsidR="00D9490A">
        <w:rPr>
          <w:rFonts w:cs="Times New Roman"/>
        </w:rPr>
        <w:t xml:space="preserve">que </w:t>
      </w:r>
      <w:r w:rsidR="00376BD9">
        <w:rPr>
          <w:rFonts w:cs="Times New Roman"/>
        </w:rPr>
        <w:t>apresentam maiores percentagens, sendo que</w:t>
      </w:r>
      <w:r>
        <w:rPr>
          <w:rFonts w:cs="Times New Roman"/>
        </w:rPr>
        <w:t xml:space="preserve"> os valores médios do ITM, dos </w:t>
      </w:r>
      <w:r w:rsidRPr="007C6002">
        <w:rPr>
          <w:rFonts w:cs="Times New Roman"/>
        </w:rPr>
        <w:t xml:space="preserve">municípios </w:t>
      </w:r>
      <w:r>
        <w:rPr>
          <w:rFonts w:cs="Times New Roman"/>
        </w:rPr>
        <w:t xml:space="preserve">com menores percentagens de abstenção </w:t>
      </w:r>
      <w:r w:rsidRPr="002C3799">
        <w:rPr>
          <w:rFonts w:cs="Times New Roman"/>
        </w:rPr>
        <w:t>(</w:t>
      </w:r>
      <w:r>
        <w:rPr>
          <w:rFonts w:cs="Times New Roman"/>
        </w:rPr>
        <w:t>40,6712</w:t>
      </w:r>
      <w:r w:rsidRPr="002C3799">
        <w:rPr>
          <w:rFonts w:cs="Times New Roman"/>
        </w:rPr>
        <w:t>)</w:t>
      </w:r>
      <w:r>
        <w:rPr>
          <w:rFonts w:cs="Times New Roman"/>
        </w:rPr>
        <w:t xml:space="preserve"> apresentam-se inferiores a</w:t>
      </w:r>
      <w:r w:rsidRPr="006E6A5C">
        <w:rPr>
          <w:rFonts w:cs="Times New Roman"/>
        </w:rPr>
        <w:t>os</w:t>
      </w:r>
      <w:r>
        <w:rPr>
          <w:rFonts w:cs="Times New Roman"/>
        </w:rPr>
        <w:t xml:space="preserve"> municípios com maiores percentagens de abstenção </w:t>
      </w:r>
      <w:r w:rsidRPr="002C3799">
        <w:rPr>
          <w:rFonts w:cs="Times New Roman"/>
        </w:rPr>
        <w:t>(</w:t>
      </w:r>
      <w:r>
        <w:rPr>
          <w:rFonts w:cs="Times New Roman"/>
        </w:rPr>
        <w:t>45,2957</w:t>
      </w:r>
      <w:r w:rsidRPr="002C3799">
        <w:rPr>
          <w:rFonts w:cs="Times New Roman"/>
        </w:rPr>
        <w:t>)</w:t>
      </w:r>
      <w:r>
        <w:rPr>
          <w:rFonts w:cs="Times New Roman"/>
        </w:rPr>
        <w:t>, para os 5 anos em análise.</w:t>
      </w:r>
    </w:p>
    <w:p w14:paraId="2E566D60" w14:textId="5356773F" w:rsidR="00990766" w:rsidRDefault="00990766" w:rsidP="00990766">
      <w:pPr>
        <w:spacing w:before="240" w:line="360" w:lineRule="auto"/>
        <w:jc w:val="both"/>
        <w:rPr>
          <w:rFonts w:eastAsiaTheme="minorEastAsia" w:cs="Times New Roman"/>
          <w:szCs w:val="24"/>
        </w:rPr>
      </w:pPr>
      <w:r>
        <w:rPr>
          <w:rFonts w:cs="Times New Roman"/>
        </w:rPr>
        <w:t>A</w:t>
      </w:r>
      <w:r w:rsidRPr="002C3799">
        <w:rPr>
          <w:rFonts w:cs="Times New Roman"/>
        </w:rPr>
        <w:t>mbas as distribuições apresentam assimetria</w:t>
      </w:r>
      <w:r>
        <w:rPr>
          <w:rFonts w:cs="Times New Roman"/>
          <w:color w:val="000000"/>
          <w:sz w:val="22"/>
        </w:rPr>
        <w:t xml:space="preserve">  </w:t>
      </w:r>
      <m:oMath>
        <m:f>
          <m:fPr>
            <m:ctrlPr>
              <w:rPr>
                <w:rFonts w:ascii="Cambria Math" w:hAnsi="Cambria Math" w:cs="Times New Roman"/>
                <w:i/>
                <w:szCs w:val="24"/>
              </w:rPr>
            </m:ctrlPr>
          </m:fPr>
          <m:num>
            <m:r>
              <m:rPr>
                <m:sty m:val="p"/>
              </m:rPr>
              <w:rPr>
                <w:rFonts w:ascii="Cambria Math" w:hAnsi="Cambria Math" w:cs="Times New Roman"/>
                <w:sz w:val="22"/>
              </w:rPr>
              <m:t>0,865</m:t>
            </m:r>
          </m:num>
          <m:den>
            <m:r>
              <m:rPr>
                <m:sty m:val="p"/>
              </m:rPr>
              <w:rPr>
                <w:rFonts w:ascii="Cambria Math" w:hAnsi="Cambria Math" w:cs="Times New Roman"/>
                <w:sz w:val="22"/>
              </w:rPr>
              <m:t>0,086</m:t>
            </m:r>
          </m:den>
        </m:f>
        <m:r>
          <w:rPr>
            <w:rFonts w:ascii="Cambria Math" w:hAnsi="Cambria Math" w:cs="Times New Roman"/>
            <w:szCs w:val="24"/>
          </w:rPr>
          <m:t>=10,058&gt;1,96</m:t>
        </m:r>
      </m:oMath>
      <w:r w:rsidRPr="00710121">
        <w:rPr>
          <w:rFonts w:eastAsiaTheme="minorEastAsia" w:cs="Times New Roman"/>
          <w:szCs w:val="24"/>
        </w:rPr>
        <w:t xml:space="preserve"> e </w:t>
      </w:r>
      <m:oMath>
        <m:f>
          <m:fPr>
            <m:ctrlPr>
              <w:rPr>
                <w:rFonts w:ascii="Cambria Math" w:hAnsi="Cambria Math" w:cs="Times New Roman"/>
                <w:i/>
                <w:szCs w:val="24"/>
              </w:rPr>
            </m:ctrlPr>
          </m:fPr>
          <m:num>
            <m:r>
              <m:rPr>
                <m:sty m:val="p"/>
              </m:rPr>
              <w:rPr>
                <w:rFonts w:ascii="Cambria Math" w:hAnsi="Cambria Math" w:cs="Times New Roman"/>
                <w:sz w:val="22"/>
              </w:rPr>
              <m:t>0,689</m:t>
            </m:r>
          </m:num>
          <m:den>
            <m:r>
              <m:rPr>
                <m:sty m:val="p"/>
              </m:rPr>
              <w:rPr>
                <w:rFonts w:ascii="Cambria Math" w:hAnsi="Cambria Math" w:cs="Times New Roman"/>
                <w:sz w:val="22"/>
              </w:rPr>
              <m:t>0,090</m:t>
            </m:r>
          </m:den>
        </m:f>
        <m:r>
          <w:rPr>
            <w:rFonts w:ascii="Cambria Math" w:hAnsi="Cambria Math" w:cs="Times New Roman"/>
            <w:szCs w:val="24"/>
          </w:rPr>
          <m:t>=7,656&gt;1,96,</m:t>
        </m:r>
      </m:oMath>
      <w:r w:rsidRPr="00710121">
        <w:rPr>
          <w:rFonts w:eastAsiaTheme="minorEastAsia" w:cs="Times New Roman"/>
          <w:szCs w:val="24"/>
        </w:rPr>
        <w:t xml:space="preserve"> o que nos levou, a depois de analisa</w:t>
      </w:r>
      <w:r>
        <w:rPr>
          <w:rFonts w:eastAsiaTheme="minorEastAsia" w:cs="Times New Roman"/>
          <w:szCs w:val="24"/>
        </w:rPr>
        <w:t>r</w:t>
      </w:r>
      <w:r w:rsidRPr="00710121">
        <w:rPr>
          <w:rFonts w:eastAsiaTheme="minorEastAsia" w:cs="Times New Roman"/>
          <w:szCs w:val="24"/>
        </w:rPr>
        <w:t xml:space="preserve"> a </w:t>
      </w:r>
      <w:r w:rsidRPr="00990766">
        <w:rPr>
          <w:rFonts w:eastAsiaTheme="minorEastAsia" w:cs="Times New Roman"/>
          <w:szCs w:val="24"/>
        </w:rPr>
        <w:t>normalidade (</w:t>
      </w:r>
      <w:r w:rsidR="00F338BB">
        <w:rPr>
          <w:rFonts w:eastAsiaTheme="minorEastAsia" w:cs="Times New Roman"/>
          <w:szCs w:val="24"/>
        </w:rPr>
        <w:t>A</w:t>
      </w:r>
      <w:r w:rsidRPr="00990766">
        <w:rPr>
          <w:rFonts w:eastAsiaTheme="minorEastAsia" w:cs="Times New Roman"/>
          <w:szCs w:val="24"/>
        </w:rPr>
        <w:t xml:space="preserve">pêndice </w:t>
      </w:r>
      <w:r w:rsidR="00F718E1">
        <w:rPr>
          <w:rFonts w:eastAsiaTheme="minorEastAsia" w:cs="Times New Roman"/>
          <w:szCs w:val="24"/>
        </w:rPr>
        <w:t>3</w:t>
      </w:r>
      <w:r w:rsidRPr="00990766">
        <w:rPr>
          <w:rFonts w:eastAsiaTheme="minorEastAsia" w:cs="Times New Roman"/>
          <w:szCs w:val="24"/>
        </w:rPr>
        <w:t>)</w:t>
      </w:r>
      <w:r w:rsidRPr="00710121">
        <w:rPr>
          <w:rFonts w:eastAsiaTheme="minorEastAsia" w:cs="Times New Roman"/>
          <w:szCs w:val="24"/>
        </w:rPr>
        <w:t xml:space="preserve"> das distribuições continuar a análise descrita nos pontos 4.3.2 e 4.3.3. </w:t>
      </w:r>
    </w:p>
    <w:p w14:paraId="20025560" w14:textId="3C403011" w:rsidR="00AF7CDF" w:rsidRDefault="00AF7CDF" w:rsidP="00990766">
      <w:pPr>
        <w:spacing w:before="240" w:line="360" w:lineRule="auto"/>
        <w:jc w:val="both"/>
        <w:rPr>
          <w:rFonts w:cs="Times New Roman"/>
          <w:lang w:eastAsia="pt-PT"/>
        </w:rPr>
      </w:pPr>
      <w:r>
        <w:rPr>
          <w:rFonts w:cs="Times New Roman"/>
          <w:lang w:eastAsia="pt-PT"/>
        </w:rPr>
        <w:t>Desta forma, apresenta-se</w:t>
      </w:r>
      <w:r w:rsidR="00990766">
        <w:rPr>
          <w:rFonts w:cs="Times New Roman"/>
          <w:lang w:eastAsia="pt-PT"/>
        </w:rPr>
        <w:t>, ainda,</w:t>
      </w:r>
      <w:r>
        <w:rPr>
          <w:rFonts w:cs="Times New Roman"/>
          <w:lang w:eastAsia="pt-PT"/>
        </w:rPr>
        <w:t xml:space="preserve"> o Gráfico 4.</w:t>
      </w:r>
      <w:r w:rsidR="002079A9">
        <w:rPr>
          <w:rFonts w:cs="Times New Roman"/>
          <w:lang w:eastAsia="pt-PT"/>
        </w:rPr>
        <w:t>7</w:t>
      </w:r>
      <w:r>
        <w:rPr>
          <w:rFonts w:cs="Times New Roman"/>
          <w:lang w:eastAsia="pt-PT"/>
        </w:rPr>
        <w:t xml:space="preserve"> que apresenta os resultados por grupos para cada ano em an</w:t>
      </w:r>
      <w:r w:rsidR="007F35DF">
        <w:rPr>
          <w:rFonts w:cs="Times New Roman"/>
          <w:lang w:eastAsia="pt-PT"/>
        </w:rPr>
        <w:t>á</w:t>
      </w:r>
      <w:r>
        <w:rPr>
          <w:rFonts w:cs="Times New Roman"/>
          <w:lang w:eastAsia="pt-PT"/>
        </w:rPr>
        <w:t xml:space="preserve">lise. </w:t>
      </w:r>
    </w:p>
    <w:p w14:paraId="6A324382" w14:textId="2554C970" w:rsidR="002079A9" w:rsidRDefault="002079A9" w:rsidP="00990766">
      <w:pPr>
        <w:spacing w:before="240" w:line="360" w:lineRule="auto"/>
        <w:jc w:val="both"/>
        <w:rPr>
          <w:rFonts w:cs="Times New Roman"/>
          <w:lang w:eastAsia="pt-PT"/>
        </w:rPr>
      </w:pPr>
    </w:p>
    <w:p w14:paraId="40C0A727" w14:textId="77777777" w:rsidR="002079A9" w:rsidRPr="00990766" w:rsidRDefault="002079A9" w:rsidP="00990766">
      <w:pPr>
        <w:spacing w:before="240" w:line="360" w:lineRule="auto"/>
        <w:jc w:val="both"/>
        <w:rPr>
          <w:rFonts w:cs="Times New Roman"/>
          <w:lang w:eastAsia="pt-PT"/>
        </w:rPr>
      </w:pPr>
    </w:p>
    <w:p w14:paraId="2A745BD4" w14:textId="1A53BF51" w:rsidR="00AF7CDF" w:rsidRPr="00AF7CDF" w:rsidRDefault="00AF7CDF" w:rsidP="00AF7CDF">
      <w:pPr>
        <w:spacing w:before="60" w:after="0" w:line="360" w:lineRule="auto"/>
        <w:jc w:val="center"/>
        <w:rPr>
          <w:rFonts w:cs="Times New Roman"/>
          <w:lang w:eastAsia="pt-PT"/>
        </w:rPr>
      </w:pPr>
      <w:bookmarkStart w:id="110" w:name="_Toc66624279"/>
      <w:r w:rsidRPr="00AF7CDF">
        <w:rPr>
          <w:rFonts w:cs="Times New Roman"/>
          <w:b/>
          <w:bCs/>
          <w:lang w:eastAsia="pt-PT"/>
        </w:rPr>
        <w:lastRenderedPageBreak/>
        <w:t xml:space="preserve">Gráfico </w:t>
      </w:r>
      <w:r w:rsidR="00360329">
        <w:rPr>
          <w:rFonts w:cs="Times New Roman"/>
          <w:b/>
          <w:bCs/>
          <w:lang w:eastAsia="pt-PT"/>
        </w:rPr>
        <w:fldChar w:fldCharType="begin"/>
      </w:r>
      <w:r w:rsidR="00360329">
        <w:rPr>
          <w:rFonts w:cs="Times New Roman"/>
          <w:b/>
          <w:bCs/>
          <w:lang w:eastAsia="pt-PT"/>
        </w:rPr>
        <w:instrText xml:space="preserve"> STYLEREF 1 \s </w:instrText>
      </w:r>
      <w:r w:rsidR="00360329">
        <w:rPr>
          <w:rFonts w:cs="Times New Roman"/>
          <w:b/>
          <w:bCs/>
          <w:lang w:eastAsia="pt-PT"/>
        </w:rPr>
        <w:fldChar w:fldCharType="separate"/>
      </w:r>
      <w:r w:rsidR="00380A6F">
        <w:rPr>
          <w:rFonts w:cs="Times New Roman"/>
          <w:b/>
          <w:bCs/>
          <w:noProof/>
          <w:lang w:eastAsia="pt-PT"/>
        </w:rPr>
        <w:t>4</w:t>
      </w:r>
      <w:r w:rsidR="00360329">
        <w:rPr>
          <w:rFonts w:cs="Times New Roman"/>
          <w:b/>
          <w:bCs/>
          <w:lang w:eastAsia="pt-PT"/>
        </w:rPr>
        <w:fldChar w:fldCharType="end"/>
      </w:r>
      <w:r w:rsidR="00360329">
        <w:rPr>
          <w:rFonts w:cs="Times New Roman"/>
          <w:b/>
          <w:bCs/>
          <w:lang w:eastAsia="pt-PT"/>
        </w:rPr>
        <w:t>.</w:t>
      </w:r>
      <w:r w:rsidR="00360329">
        <w:rPr>
          <w:rFonts w:cs="Times New Roman"/>
          <w:b/>
          <w:bCs/>
          <w:lang w:eastAsia="pt-PT"/>
        </w:rPr>
        <w:fldChar w:fldCharType="begin"/>
      </w:r>
      <w:r w:rsidR="00360329">
        <w:rPr>
          <w:rFonts w:cs="Times New Roman"/>
          <w:b/>
          <w:bCs/>
          <w:lang w:eastAsia="pt-PT"/>
        </w:rPr>
        <w:instrText xml:space="preserve"> SEQ Gráfico \* ARABIC \s 1 </w:instrText>
      </w:r>
      <w:r w:rsidR="00360329">
        <w:rPr>
          <w:rFonts w:cs="Times New Roman"/>
          <w:b/>
          <w:bCs/>
          <w:lang w:eastAsia="pt-PT"/>
        </w:rPr>
        <w:fldChar w:fldCharType="separate"/>
      </w:r>
      <w:r w:rsidR="00380A6F">
        <w:rPr>
          <w:rFonts w:cs="Times New Roman"/>
          <w:b/>
          <w:bCs/>
          <w:noProof/>
          <w:lang w:eastAsia="pt-PT"/>
        </w:rPr>
        <w:t>7</w:t>
      </w:r>
      <w:r w:rsidR="00360329">
        <w:rPr>
          <w:rFonts w:cs="Times New Roman"/>
          <w:b/>
          <w:bCs/>
          <w:lang w:eastAsia="pt-PT"/>
        </w:rPr>
        <w:fldChar w:fldCharType="end"/>
      </w:r>
      <w:r w:rsidRPr="00AF7CDF">
        <w:rPr>
          <w:rFonts w:cs="Times New Roman"/>
          <w:b/>
          <w:bCs/>
          <w:lang w:eastAsia="pt-PT"/>
        </w:rPr>
        <w:t xml:space="preserve"> -</w:t>
      </w:r>
      <w:r w:rsidRPr="00AF7CDF">
        <w:rPr>
          <w:rFonts w:cs="Times New Roman"/>
          <w:lang w:eastAsia="pt-PT"/>
        </w:rPr>
        <w:t xml:space="preserve"> </w:t>
      </w:r>
      <w:r w:rsidRPr="000044C1">
        <w:rPr>
          <w:rFonts w:cs="Times New Roman"/>
          <w:lang w:eastAsia="pt-PT"/>
        </w:rPr>
        <w:t>Valores médios de ITM</w:t>
      </w:r>
      <w:r>
        <w:rPr>
          <w:rFonts w:cs="Times New Roman"/>
          <w:lang w:eastAsia="pt-PT"/>
        </w:rPr>
        <w:t>,</w:t>
      </w:r>
      <w:r w:rsidRPr="000044C1">
        <w:rPr>
          <w:rFonts w:cs="Times New Roman"/>
          <w:lang w:eastAsia="pt-PT"/>
        </w:rPr>
        <w:t xml:space="preserve"> por </w:t>
      </w:r>
      <w:r w:rsidR="00DA21BB">
        <w:rPr>
          <w:rFonts w:cs="Times New Roman"/>
          <w:lang w:eastAsia="pt-PT"/>
        </w:rPr>
        <w:t>percentagem de abstenção</w:t>
      </w:r>
      <w:r>
        <w:rPr>
          <w:rFonts w:cs="Times New Roman"/>
          <w:lang w:eastAsia="pt-PT"/>
        </w:rPr>
        <w:t>,</w:t>
      </w:r>
      <w:r w:rsidRPr="000044C1">
        <w:rPr>
          <w:rFonts w:cs="Times New Roman"/>
          <w:lang w:eastAsia="pt-PT"/>
        </w:rPr>
        <w:t xml:space="preserve"> por ano (2013-2017)</w:t>
      </w:r>
      <w:bookmarkEnd w:id="110"/>
    </w:p>
    <w:p w14:paraId="443BDAB1" w14:textId="35527823" w:rsidR="00AF7CDF" w:rsidRPr="00AF7CDF" w:rsidRDefault="00AF7CDF" w:rsidP="00DA21BB">
      <w:pPr>
        <w:spacing w:after="0" w:line="360" w:lineRule="auto"/>
        <w:jc w:val="center"/>
        <w:rPr>
          <w:rFonts w:cs="Times New Roman"/>
          <w:lang w:eastAsia="pt-PT"/>
        </w:rPr>
      </w:pPr>
      <w:r>
        <w:rPr>
          <w:noProof/>
        </w:rPr>
        <w:drawing>
          <wp:inline distT="0" distB="0" distL="0" distR="0" wp14:anchorId="37D7B520" wp14:editId="3C821366">
            <wp:extent cx="4572000" cy="2077200"/>
            <wp:effectExtent l="0" t="0" r="0" b="0"/>
            <wp:docPr id="34" name="Chart 34">
              <a:extLst xmlns:a="http://schemas.openxmlformats.org/drawingml/2006/main">
                <a:ext uri="{FF2B5EF4-FFF2-40B4-BE49-F238E27FC236}">
                  <a16:creationId xmlns:a16="http://schemas.microsoft.com/office/drawing/2014/main" id="{9399FEA9-B2C8-489B-B8D7-7582DC7CBF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bl>
      <w:tblPr>
        <w:tblStyle w:val="TabelacomGrelha"/>
        <w:tblpPr w:leftFromText="141" w:rightFromText="141" w:vertAnchor="text" w:horzAnchor="page" w:tblpX="4597" w:tblpY="-6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20" w:firstRow="1" w:lastRow="0" w:firstColumn="0" w:lastColumn="0" w:noHBand="1" w:noVBand="1"/>
      </w:tblPr>
      <w:tblGrid>
        <w:gridCol w:w="2099"/>
        <w:gridCol w:w="2042"/>
      </w:tblGrid>
      <w:tr w:rsidR="009C5227" w14:paraId="4A5AE235" w14:textId="77777777" w:rsidTr="009C5227">
        <w:trPr>
          <w:trHeight w:val="290"/>
        </w:trPr>
        <w:tc>
          <w:tcPr>
            <w:tcW w:w="2099" w:type="dxa"/>
          </w:tcPr>
          <w:p w14:paraId="7A2E51D9" w14:textId="77777777" w:rsidR="009C5227" w:rsidRDefault="009C5227" w:rsidP="009C5227">
            <w:pPr>
              <w:pStyle w:val="PargrafodaLista"/>
              <w:numPr>
                <w:ilvl w:val="0"/>
                <w:numId w:val="20"/>
              </w:numPr>
              <w:ind w:left="170" w:hanging="170"/>
            </w:pPr>
            <w:r w:rsidRPr="00BF2A52">
              <w:rPr>
                <w:sz w:val="20"/>
                <w:szCs w:val="20"/>
              </w:rPr>
              <w:t>0</w:t>
            </w:r>
            <w:r w:rsidRPr="00BF2A52">
              <w:rPr>
                <w:sz w:val="18"/>
                <w:szCs w:val="18"/>
              </w:rPr>
              <w:t xml:space="preserve"> </w:t>
            </w:r>
            <w:r>
              <w:rPr>
                <w:sz w:val="18"/>
                <w:szCs w:val="18"/>
              </w:rPr>
              <w:t>–</w:t>
            </w:r>
            <w:r w:rsidRPr="00BF2A52">
              <w:rPr>
                <w:sz w:val="18"/>
                <w:szCs w:val="18"/>
              </w:rPr>
              <w:t xml:space="preserve"> </w:t>
            </w:r>
            <w:r>
              <w:rPr>
                <w:sz w:val="18"/>
                <w:szCs w:val="18"/>
              </w:rPr>
              <w:t>PA &lt; MPA</w:t>
            </w:r>
          </w:p>
        </w:tc>
        <w:tc>
          <w:tcPr>
            <w:tcW w:w="2042" w:type="dxa"/>
          </w:tcPr>
          <w:p w14:paraId="5E06EA64" w14:textId="77777777" w:rsidR="009C5227" w:rsidRDefault="009C5227" w:rsidP="009C5227">
            <w:pPr>
              <w:pStyle w:val="PargrafodaLista"/>
              <w:numPr>
                <w:ilvl w:val="0"/>
                <w:numId w:val="25"/>
              </w:numPr>
              <w:ind w:left="128" w:hanging="128"/>
            </w:pPr>
            <w:r w:rsidRPr="00FE581A">
              <w:rPr>
                <w:sz w:val="20"/>
                <w:szCs w:val="20"/>
              </w:rPr>
              <w:t>1 –</w:t>
            </w:r>
            <w:r w:rsidRPr="00FE581A">
              <w:rPr>
                <w:sz w:val="28"/>
                <w:szCs w:val="24"/>
              </w:rPr>
              <w:t xml:space="preserve"> </w:t>
            </w:r>
            <w:r>
              <w:rPr>
                <w:sz w:val="18"/>
                <w:szCs w:val="18"/>
              </w:rPr>
              <w:t xml:space="preserve">PA </w:t>
            </w:r>
            <w:r>
              <w:rPr>
                <w:rFonts w:cs="Times New Roman"/>
                <w:sz w:val="18"/>
                <w:szCs w:val="18"/>
              </w:rPr>
              <w:t>≥</w:t>
            </w:r>
            <w:r>
              <w:rPr>
                <w:sz w:val="18"/>
                <w:szCs w:val="18"/>
              </w:rPr>
              <w:t xml:space="preserve"> MPA</w:t>
            </w:r>
          </w:p>
        </w:tc>
      </w:tr>
    </w:tbl>
    <w:p w14:paraId="31BE5471" w14:textId="77777777" w:rsidR="00316522" w:rsidRDefault="00316522" w:rsidP="00DA21BB">
      <w:pPr>
        <w:spacing w:after="0" w:line="360" w:lineRule="auto"/>
        <w:jc w:val="both"/>
        <w:rPr>
          <w:rFonts w:cs="Times New Roman"/>
          <w:lang w:eastAsia="pt-PT"/>
        </w:rPr>
      </w:pPr>
    </w:p>
    <w:p w14:paraId="2EF6FD76" w14:textId="64CEE266" w:rsidR="00316522" w:rsidRDefault="00316522" w:rsidP="00316522">
      <w:pPr>
        <w:spacing w:line="360" w:lineRule="auto"/>
        <w:jc w:val="both"/>
        <w:rPr>
          <w:rFonts w:cs="Times New Roman"/>
          <w:lang w:eastAsia="pt-PT"/>
        </w:rPr>
      </w:pPr>
      <w:r>
        <w:rPr>
          <w:rFonts w:cs="Times New Roman"/>
          <w:lang w:eastAsia="pt-PT"/>
        </w:rPr>
        <w:t xml:space="preserve">Por observação do gráfico, </w:t>
      </w:r>
      <w:r w:rsidR="00803EBB">
        <w:rPr>
          <w:rFonts w:cs="Times New Roman"/>
          <w:lang w:eastAsia="pt-PT"/>
        </w:rPr>
        <w:t>constata-se</w:t>
      </w:r>
      <w:r>
        <w:rPr>
          <w:rFonts w:cs="Times New Roman"/>
          <w:lang w:eastAsia="pt-PT"/>
        </w:rPr>
        <w:t xml:space="preserve"> nos primeiros 3 anos em estudo (2013 a 2105) os municípios que apresentam percentagens de abstenção superiores são mais transparentes, ou seja, apresentam maiores níveis de </w:t>
      </w:r>
      <w:r w:rsidR="00896081">
        <w:rPr>
          <w:rFonts w:cs="Times New Roman"/>
          <w:lang w:eastAsia="pt-PT"/>
        </w:rPr>
        <w:t>transparência</w:t>
      </w:r>
      <w:r>
        <w:rPr>
          <w:rFonts w:cs="Times New Roman"/>
          <w:lang w:eastAsia="pt-PT"/>
        </w:rPr>
        <w:t xml:space="preserve">. Contudo, nos anos seguintes, esta tendência alterou-se, e os municípios </w:t>
      </w:r>
      <w:r w:rsidR="00896081">
        <w:rPr>
          <w:rFonts w:cs="Times New Roman"/>
          <w:lang w:eastAsia="pt-PT"/>
        </w:rPr>
        <w:t xml:space="preserve">com percentagens de abstenção inferiores mostram-se mais transparentes. </w:t>
      </w:r>
    </w:p>
    <w:p w14:paraId="3772D014" w14:textId="59588407" w:rsidR="00BE3877" w:rsidRDefault="00896081" w:rsidP="00316522">
      <w:pPr>
        <w:spacing w:line="360" w:lineRule="auto"/>
        <w:jc w:val="both"/>
        <w:rPr>
          <w:rFonts w:cs="Times New Roman"/>
          <w:lang w:eastAsia="pt-PT"/>
        </w:rPr>
      </w:pPr>
      <w:r w:rsidRPr="00293A6B">
        <w:rPr>
          <w:rFonts w:cs="Times New Roman"/>
          <w:lang w:eastAsia="pt-PT"/>
        </w:rPr>
        <w:t xml:space="preserve">Em síntese, pela análise da estatística descritiva, </w:t>
      </w:r>
      <w:r w:rsidR="00BE3877" w:rsidRPr="00293A6B">
        <w:rPr>
          <w:rFonts w:cs="Times New Roman"/>
          <w:lang w:eastAsia="pt-PT"/>
        </w:rPr>
        <w:t xml:space="preserve">para </w:t>
      </w:r>
      <w:r w:rsidR="001B3678" w:rsidRPr="00293A6B">
        <w:rPr>
          <w:rFonts w:cs="Times New Roman"/>
          <w:lang w:eastAsia="pt-PT"/>
        </w:rPr>
        <w:t>a variável da ideologia do partido político, os municípios com ideologia de partido de esquerda apresentam maiores níveis de transparência, bem como, a variável competição política que também influencia o valor do ITM</w:t>
      </w:r>
      <w:r w:rsidR="00D00ABD">
        <w:rPr>
          <w:rFonts w:cs="Times New Roman"/>
          <w:lang w:eastAsia="pt-PT"/>
        </w:rPr>
        <w:t>. N</w:t>
      </w:r>
      <w:r w:rsidR="001B3678" w:rsidRPr="00293A6B">
        <w:rPr>
          <w:rFonts w:cs="Times New Roman"/>
          <w:lang w:eastAsia="pt-PT"/>
        </w:rPr>
        <w:t>este caso, municípios com forte competição política tendem a ser mais transparentes. Para</w:t>
      </w:r>
      <w:r w:rsidR="00BE3877" w:rsidRPr="00293A6B">
        <w:rPr>
          <w:rFonts w:cs="Times New Roman"/>
          <w:lang w:eastAsia="pt-PT"/>
        </w:rPr>
        <w:t xml:space="preserve"> as</w:t>
      </w:r>
      <w:r w:rsidR="001B3678" w:rsidRPr="00293A6B">
        <w:rPr>
          <w:rFonts w:cs="Times New Roman"/>
          <w:lang w:eastAsia="pt-PT"/>
        </w:rPr>
        <w:t xml:space="preserve"> variáveis </w:t>
      </w:r>
      <w:r w:rsidR="00C87D53">
        <w:rPr>
          <w:rFonts w:cs="Times New Roman"/>
          <w:lang w:eastAsia="pt-PT"/>
        </w:rPr>
        <w:t xml:space="preserve">como o </w:t>
      </w:r>
      <w:r w:rsidR="001B3678" w:rsidRPr="00293A6B">
        <w:rPr>
          <w:rFonts w:cs="Times New Roman"/>
          <w:lang w:eastAsia="pt-PT"/>
        </w:rPr>
        <w:t>valor do endividamento</w:t>
      </w:r>
      <w:r w:rsidR="00BE3877" w:rsidRPr="00293A6B">
        <w:rPr>
          <w:rFonts w:cs="Times New Roman"/>
          <w:lang w:eastAsia="pt-PT"/>
        </w:rPr>
        <w:t>,</w:t>
      </w:r>
      <w:r w:rsidR="001B3678" w:rsidRPr="00293A6B">
        <w:rPr>
          <w:rFonts w:cs="Times New Roman"/>
          <w:lang w:eastAsia="pt-PT"/>
        </w:rPr>
        <w:t xml:space="preserve"> taxa de desemprego</w:t>
      </w:r>
      <w:r w:rsidR="00BE3877" w:rsidRPr="00293A6B">
        <w:rPr>
          <w:rFonts w:cs="Times New Roman"/>
          <w:lang w:eastAsia="pt-PT"/>
        </w:rPr>
        <w:t xml:space="preserve"> e percentagem de abstenção</w:t>
      </w:r>
      <w:r w:rsidR="001B3678" w:rsidRPr="00293A6B">
        <w:rPr>
          <w:rFonts w:cs="Times New Roman"/>
          <w:lang w:eastAsia="pt-PT"/>
        </w:rPr>
        <w:t xml:space="preserve">, também se conseguiu observar que </w:t>
      </w:r>
      <w:r w:rsidR="00C87D53">
        <w:rPr>
          <w:rFonts w:cs="Times New Roman"/>
          <w:lang w:eastAsia="pt-PT"/>
        </w:rPr>
        <w:t xml:space="preserve">as mesmas </w:t>
      </w:r>
      <w:r w:rsidR="001B3678" w:rsidRPr="00293A6B">
        <w:rPr>
          <w:rFonts w:cs="Times New Roman"/>
          <w:lang w:eastAsia="pt-PT"/>
        </w:rPr>
        <w:t>influenciam os valores d</w:t>
      </w:r>
      <w:r w:rsidR="00D00ABD">
        <w:rPr>
          <w:rFonts w:cs="Times New Roman"/>
          <w:lang w:eastAsia="pt-PT"/>
        </w:rPr>
        <w:t>o</w:t>
      </w:r>
      <w:r w:rsidR="001B3678" w:rsidRPr="00293A6B">
        <w:rPr>
          <w:rFonts w:cs="Times New Roman"/>
          <w:lang w:eastAsia="pt-PT"/>
        </w:rPr>
        <w:t xml:space="preserve"> ITM dos municípios, sendo que municípios mais endividados tendem a ser mais transparentes</w:t>
      </w:r>
      <w:r w:rsidR="00D00ABD">
        <w:rPr>
          <w:rFonts w:cs="Times New Roman"/>
          <w:lang w:eastAsia="pt-PT"/>
        </w:rPr>
        <w:t>. Do mesmo modo,</w:t>
      </w:r>
      <w:r w:rsidR="00BE3877" w:rsidRPr="00293A6B">
        <w:rPr>
          <w:rFonts w:cs="Times New Roman"/>
          <w:lang w:eastAsia="pt-PT"/>
        </w:rPr>
        <w:t xml:space="preserve"> </w:t>
      </w:r>
      <w:r w:rsidR="001B3678" w:rsidRPr="00293A6B">
        <w:rPr>
          <w:rFonts w:cs="Times New Roman"/>
          <w:lang w:eastAsia="pt-PT"/>
        </w:rPr>
        <w:t>municípios com</w:t>
      </w:r>
      <w:r w:rsidR="00C87D53" w:rsidRPr="00C87D53">
        <w:rPr>
          <w:rFonts w:cs="Times New Roman"/>
          <w:lang w:eastAsia="pt-PT"/>
        </w:rPr>
        <w:t xml:space="preserve"> </w:t>
      </w:r>
      <w:r w:rsidR="00C87D53" w:rsidRPr="00293A6B">
        <w:rPr>
          <w:rFonts w:cs="Times New Roman"/>
          <w:lang w:eastAsia="pt-PT"/>
        </w:rPr>
        <w:t>elevadas</w:t>
      </w:r>
      <w:r w:rsidR="001B3678" w:rsidRPr="00293A6B">
        <w:rPr>
          <w:rFonts w:cs="Times New Roman"/>
          <w:lang w:eastAsia="pt-PT"/>
        </w:rPr>
        <w:t xml:space="preserve"> taxa</w:t>
      </w:r>
      <w:r w:rsidR="00C87D53">
        <w:rPr>
          <w:rFonts w:cs="Times New Roman"/>
          <w:lang w:eastAsia="pt-PT"/>
        </w:rPr>
        <w:t>s</w:t>
      </w:r>
      <w:r w:rsidR="001B3678" w:rsidRPr="00293A6B">
        <w:rPr>
          <w:rFonts w:cs="Times New Roman"/>
          <w:lang w:eastAsia="pt-PT"/>
        </w:rPr>
        <w:t xml:space="preserve"> de desemprego apresentam maiores níveis de </w:t>
      </w:r>
      <w:r w:rsidR="00D00ABD">
        <w:rPr>
          <w:rFonts w:cs="Times New Roman"/>
          <w:lang w:eastAsia="pt-PT"/>
        </w:rPr>
        <w:t>transparência</w:t>
      </w:r>
      <w:r w:rsidR="00BE3877">
        <w:rPr>
          <w:rFonts w:cs="Times New Roman"/>
          <w:lang w:eastAsia="pt-PT"/>
        </w:rPr>
        <w:t xml:space="preserve"> e municípios com elevadas percentagens de abstenção tendem a ser mais transparentes. Em relação à variável população residente constatou-se que os municípios médios e grandes apresentam maiores níveis de transparência. Por fim, no caso da</w:t>
      </w:r>
      <w:r w:rsidR="00D4024E">
        <w:rPr>
          <w:rFonts w:cs="Times New Roman"/>
          <w:lang w:eastAsia="pt-PT"/>
        </w:rPr>
        <w:t>s</w:t>
      </w:r>
      <w:r w:rsidR="00BE3877">
        <w:rPr>
          <w:rFonts w:cs="Times New Roman"/>
          <w:lang w:eastAsia="pt-PT"/>
        </w:rPr>
        <w:t xml:space="preserve"> variáve</w:t>
      </w:r>
      <w:r w:rsidR="00D4024E">
        <w:rPr>
          <w:rFonts w:cs="Times New Roman"/>
          <w:lang w:eastAsia="pt-PT"/>
        </w:rPr>
        <w:t>is</w:t>
      </w:r>
      <w:r w:rsidR="00BE3877">
        <w:rPr>
          <w:rFonts w:cs="Times New Roman"/>
          <w:lang w:eastAsia="pt-PT"/>
        </w:rPr>
        <w:t xml:space="preserve"> </w:t>
      </w:r>
      <w:r w:rsidR="00C87D53">
        <w:rPr>
          <w:rFonts w:cs="Times New Roman"/>
          <w:lang w:eastAsia="pt-PT"/>
        </w:rPr>
        <w:t xml:space="preserve">como </w:t>
      </w:r>
      <w:r w:rsidR="00BE3877">
        <w:rPr>
          <w:rFonts w:cs="Times New Roman"/>
          <w:lang w:eastAsia="pt-PT"/>
        </w:rPr>
        <w:t>taxa de população idosa</w:t>
      </w:r>
      <w:r w:rsidR="00377C87">
        <w:rPr>
          <w:rFonts w:cs="Times New Roman"/>
          <w:lang w:eastAsia="pt-PT"/>
        </w:rPr>
        <w:t xml:space="preserve"> </w:t>
      </w:r>
      <w:r w:rsidR="00D4024E">
        <w:rPr>
          <w:rFonts w:cs="Times New Roman"/>
          <w:lang w:eastAsia="pt-PT"/>
        </w:rPr>
        <w:t>e</w:t>
      </w:r>
      <w:r w:rsidR="00377C87">
        <w:rPr>
          <w:rFonts w:cs="Times New Roman"/>
          <w:lang w:eastAsia="pt-PT"/>
        </w:rPr>
        <w:t xml:space="preserve"> </w:t>
      </w:r>
      <w:r w:rsidR="00FA4C62">
        <w:rPr>
          <w:rFonts w:cs="Times New Roman"/>
          <w:lang w:eastAsia="pt-PT"/>
        </w:rPr>
        <w:t xml:space="preserve">despesa efetiva </w:t>
      </w:r>
      <w:r w:rsidR="00FA4C62" w:rsidRPr="00506E82">
        <w:rPr>
          <w:rFonts w:cs="Times New Roman"/>
          <w:i/>
          <w:iCs/>
          <w:lang w:eastAsia="pt-PT"/>
        </w:rPr>
        <w:t>per capita</w:t>
      </w:r>
      <w:r w:rsidR="00BE3877">
        <w:rPr>
          <w:rFonts w:cs="Times New Roman"/>
          <w:lang w:eastAsia="pt-PT"/>
        </w:rPr>
        <w:t>, verificou-se uma tendência para municípios com menores taxas de população idosa apresentarem níveis mais elevados de transparência</w:t>
      </w:r>
      <w:r w:rsidR="00377C87">
        <w:rPr>
          <w:rFonts w:cs="Times New Roman"/>
          <w:lang w:eastAsia="pt-PT"/>
        </w:rPr>
        <w:t xml:space="preserve"> e para municípios com menor</w:t>
      </w:r>
      <w:r w:rsidR="00D4024E">
        <w:rPr>
          <w:rFonts w:cs="Times New Roman"/>
          <w:lang w:eastAsia="pt-PT"/>
        </w:rPr>
        <w:t>es</w:t>
      </w:r>
      <w:r w:rsidR="00377C87">
        <w:rPr>
          <w:rFonts w:cs="Times New Roman"/>
          <w:lang w:eastAsia="pt-PT"/>
        </w:rPr>
        <w:t xml:space="preserve"> </w:t>
      </w:r>
      <w:r w:rsidR="000A23D0">
        <w:rPr>
          <w:rFonts w:cs="Times New Roman"/>
          <w:lang w:eastAsia="pt-PT"/>
        </w:rPr>
        <w:t xml:space="preserve">despesas efetivas </w:t>
      </w:r>
      <w:r w:rsidR="000A23D0" w:rsidRPr="00506E82">
        <w:rPr>
          <w:rFonts w:cs="Times New Roman"/>
          <w:i/>
          <w:iCs/>
          <w:lang w:eastAsia="pt-PT"/>
        </w:rPr>
        <w:t>per capita</w:t>
      </w:r>
      <w:r w:rsidR="00377C87">
        <w:rPr>
          <w:rFonts w:cs="Times New Roman"/>
          <w:lang w:eastAsia="pt-PT"/>
        </w:rPr>
        <w:t xml:space="preserve"> também apresentarem níveis de transparência mais elevados.</w:t>
      </w:r>
    </w:p>
    <w:p w14:paraId="334E4DF3" w14:textId="09D74AF8" w:rsidR="00FF3C2C" w:rsidRPr="00FF3C2C" w:rsidRDefault="005C151B" w:rsidP="00AF7303">
      <w:pPr>
        <w:pStyle w:val="Ttulo2"/>
        <w:numPr>
          <w:ilvl w:val="2"/>
          <w:numId w:val="2"/>
        </w:numPr>
        <w:spacing w:line="360" w:lineRule="auto"/>
        <w:rPr>
          <w:rFonts w:eastAsiaTheme="minorEastAsia"/>
          <w:sz w:val="24"/>
          <w:szCs w:val="24"/>
        </w:rPr>
      </w:pPr>
      <w:bookmarkStart w:id="111" w:name="_Toc66624211"/>
      <w:r>
        <w:rPr>
          <w:rFonts w:eastAsiaTheme="minorEastAsia"/>
          <w:sz w:val="24"/>
          <w:szCs w:val="24"/>
        </w:rPr>
        <w:lastRenderedPageBreak/>
        <w:t>Análise de distribuições</w:t>
      </w:r>
      <w:bookmarkEnd w:id="111"/>
    </w:p>
    <w:p w14:paraId="75A2E479" w14:textId="33CDE852" w:rsidR="006357FA" w:rsidRPr="006357FA" w:rsidRDefault="003E7A2E" w:rsidP="006E35B6">
      <w:pPr>
        <w:spacing w:before="240" w:line="360" w:lineRule="auto"/>
        <w:jc w:val="both"/>
        <w:rPr>
          <w:rFonts w:cs="Times New Roman"/>
        </w:rPr>
      </w:pPr>
      <w:bookmarkStart w:id="112" w:name="_Hlk57909305"/>
      <w:r>
        <w:rPr>
          <w:rFonts w:cs="Times New Roman"/>
        </w:rPr>
        <w:t xml:space="preserve">Por forma a </w:t>
      </w:r>
      <w:r w:rsidR="00BE4525">
        <w:rPr>
          <w:rFonts w:cs="Times New Roman"/>
        </w:rPr>
        <w:t>poder extrapolar os</w:t>
      </w:r>
      <w:r>
        <w:rPr>
          <w:rFonts w:cs="Times New Roman"/>
        </w:rPr>
        <w:t xml:space="preserve"> resultados </w:t>
      </w:r>
      <w:r w:rsidR="00637B0D">
        <w:rPr>
          <w:rFonts w:cs="Times New Roman"/>
        </w:rPr>
        <w:t xml:space="preserve">até agora </w:t>
      </w:r>
      <w:r>
        <w:rPr>
          <w:rFonts w:cs="Times New Roman"/>
        </w:rPr>
        <w:t>obtidos através da</w:t>
      </w:r>
      <w:r w:rsidR="00707E4C">
        <w:rPr>
          <w:rFonts w:cs="Times New Roman"/>
        </w:rPr>
        <w:t xml:space="preserve"> análise, via</w:t>
      </w:r>
      <w:r>
        <w:rPr>
          <w:rFonts w:cs="Times New Roman"/>
        </w:rPr>
        <w:t xml:space="preserve"> estatística descritiva, optou-se por </w:t>
      </w:r>
      <w:r w:rsidRPr="00453F87">
        <w:rPr>
          <w:rFonts w:cs="Times New Roman"/>
        </w:rPr>
        <w:t xml:space="preserve">proceder </w:t>
      </w:r>
      <w:r w:rsidR="00D4024E">
        <w:rPr>
          <w:rFonts w:cs="Times New Roman"/>
        </w:rPr>
        <w:t>à</w:t>
      </w:r>
      <w:r w:rsidR="00F12EB4" w:rsidRPr="00453F87">
        <w:rPr>
          <w:rFonts w:cs="Times New Roman"/>
        </w:rPr>
        <w:t xml:space="preserve"> inferência estatística</w:t>
      </w:r>
      <w:r w:rsidR="00F12EB4">
        <w:rPr>
          <w:rFonts w:cs="Times New Roman"/>
        </w:rPr>
        <w:t>, utilizando</w:t>
      </w:r>
      <w:r>
        <w:rPr>
          <w:rFonts w:cs="Times New Roman"/>
        </w:rPr>
        <w:t xml:space="preserve"> testes não – paramétricos</w:t>
      </w:r>
      <w:r w:rsidRPr="00D4024E">
        <w:rPr>
          <w:sz w:val="22"/>
          <w:szCs w:val="20"/>
          <w:vertAlign w:val="superscript"/>
        </w:rPr>
        <w:footnoteReference w:id="6"/>
      </w:r>
      <w:r w:rsidR="00D4024E">
        <w:rPr>
          <w:rFonts w:cs="Times New Roman"/>
        </w:rPr>
        <w:t>,</w:t>
      </w:r>
      <w:r w:rsidR="006357FA">
        <w:rPr>
          <w:rFonts w:cs="Times New Roman"/>
        </w:rPr>
        <w:t xml:space="preserve"> mais propriamente, o teste de </w:t>
      </w:r>
      <w:r w:rsidR="006357FA" w:rsidRPr="00497E1B">
        <w:rPr>
          <w:rFonts w:cs="Times New Roman"/>
        </w:rPr>
        <w:t>Mann-</w:t>
      </w:r>
      <w:proofErr w:type="spellStart"/>
      <w:r w:rsidR="006357FA" w:rsidRPr="00497E1B">
        <w:rPr>
          <w:rFonts w:cs="Times New Roman"/>
        </w:rPr>
        <w:t>Whitney</w:t>
      </w:r>
      <w:proofErr w:type="spellEnd"/>
      <w:r w:rsidR="00185234">
        <w:rPr>
          <w:rFonts w:cs="Times New Roman"/>
        </w:rPr>
        <w:t xml:space="preserve">. </w:t>
      </w:r>
      <w:r w:rsidR="006357FA" w:rsidRPr="006357FA">
        <w:rPr>
          <w:rFonts w:cs="Times New Roman"/>
        </w:rPr>
        <w:t xml:space="preserve">O teste de </w:t>
      </w:r>
      <w:r w:rsidR="006357FA" w:rsidRPr="00497E1B">
        <w:rPr>
          <w:rFonts w:cs="Times New Roman"/>
        </w:rPr>
        <w:t>Mann-</w:t>
      </w:r>
      <w:proofErr w:type="spellStart"/>
      <w:r w:rsidR="006357FA" w:rsidRPr="00497E1B">
        <w:rPr>
          <w:rFonts w:cs="Times New Roman"/>
        </w:rPr>
        <w:t>Whitney</w:t>
      </w:r>
      <w:proofErr w:type="spellEnd"/>
      <w:r w:rsidR="006357FA" w:rsidRPr="006357FA">
        <w:rPr>
          <w:rFonts w:cs="Times New Roman"/>
        </w:rPr>
        <w:t xml:space="preserve"> é o «teste não paramétrico adequado para compara</w:t>
      </w:r>
      <w:r w:rsidR="006E35B6">
        <w:rPr>
          <w:rFonts w:cs="Times New Roman"/>
        </w:rPr>
        <w:t>r</w:t>
      </w:r>
      <w:r w:rsidR="006357FA" w:rsidRPr="006357FA">
        <w:rPr>
          <w:rFonts w:cs="Times New Roman"/>
        </w:rPr>
        <w:t xml:space="preserve"> as funções de distribuição de uma variável, pelo menos ordinal, medida em duas amostrar independentes» (</w:t>
      </w:r>
      <w:proofErr w:type="spellStart"/>
      <w:r w:rsidR="006357FA" w:rsidRPr="006357FA">
        <w:rPr>
          <w:rFonts w:cs="Times New Roman"/>
        </w:rPr>
        <w:t>Marôco</w:t>
      </w:r>
      <w:proofErr w:type="spellEnd"/>
      <w:r w:rsidR="006357FA" w:rsidRPr="006357FA">
        <w:rPr>
          <w:rFonts w:cs="Times New Roman"/>
        </w:rPr>
        <w:t>, 2018, p.</w:t>
      </w:r>
      <w:r w:rsidR="00690CA0">
        <w:rPr>
          <w:rFonts w:cs="Times New Roman"/>
        </w:rPr>
        <w:t xml:space="preserve"> </w:t>
      </w:r>
      <w:r w:rsidR="006357FA" w:rsidRPr="006357FA">
        <w:rPr>
          <w:rFonts w:cs="Times New Roman"/>
        </w:rPr>
        <w:t xml:space="preserve">305). </w:t>
      </w:r>
    </w:p>
    <w:p w14:paraId="5B2F0174" w14:textId="05727AFA" w:rsidR="006357FA" w:rsidRDefault="006357FA" w:rsidP="006357FA">
      <w:pPr>
        <w:spacing w:line="360" w:lineRule="auto"/>
        <w:jc w:val="both"/>
        <w:rPr>
          <w:rFonts w:cs="Times New Roman"/>
        </w:rPr>
      </w:pPr>
      <w:r w:rsidRPr="006357FA">
        <w:rPr>
          <w:rFonts w:cs="Times New Roman"/>
        </w:rPr>
        <w:t xml:space="preserve">Segundo </w:t>
      </w:r>
      <w:proofErr w:type="spellStart"/>
      <w:r w:rsidRPr="006357FA">
        <w:rPr>
          <w:rFonts w:cs="Times New Roman"/>
        </w:rPr>
        <w:t>Marôco</w:t>
      </w:r>
      <w:proofErr w:type="spellEnd"/>
      <w:r w:rsidRPr="006357FA">
        <w:rPr>
          <w:rFonts w:cs="Times New Roman"/>
        </w:rPr>
        <w:t xml:space="preserve"> (2018), estas hipótese</w:t>
      </w:r>
      <w:r w:rsidR="00690CA0">
        <w:rPr>
          <w:rFonts w:cs="Times New Roman"/>
        </w:rPr>
        <w:t>s</w:t>
      </w:r>
      <w:r w:rsidRPr="006357FA">
        <w:rPr>
          <w:rFonts w:cs="Times New Roman"/>
        </w:rPr>
        <w:t xml:space="preserve"> podem, também, ser escritas em função das medianas populacionais. Contudo, apenas são consideradas válidas as conclusões quando as funções de distribuição das duas populações em estudo são idênticas. É possível ter duas amostras com mesma mediana, e, mesmo assim, o teste de </w:t>
      </w:r>
      <w:r w:rsidRPr="00497E1B">
        <w:rPr>
          <w:rFonts w:cs="Times New Roman"/>
        </w:rPr>
        <w:t>Mann-</w:t>
      </w:r>
      <w:proofErr w:type="spellStart"/>
      <w:r w:rsidRPr="00497E1B">
        <w:rPr>
          <w:rFonts w:cs="Times New Roman"/>
        </w:rPr>
        <w:t>Whitney</w:t>
      </w:r>
      <w:proofErr w:type="spellEnd"/>
      <w:r w:rsidRPr="006357FA">
        <w:rPr>
          <w:rFonts w:cs="Times New Roman"/>
        </w:rPr>
        <w:t xml:space="preserve"> concluir que existem diferenças estatisticamente significativas entre as duas populações. Nestes casos, não se considera que haja incoerência nos resultados pois, este mesmo teste, é um teste de distribuição e no qual só se recorre ao teste em função das medianas quando, os resultados obtidos na distribuição foram idênticos.</w:t>
      </w:r>
    </w:p>
    <w:p w14:paraId="5A570395" w14:textId="663E2A0C" w:rsidR="00F533AC" w:rsidRDefault="00A0317F" w:rsidP="00F533AC">
      <w:pPr>
        <w:spacing w:line="360" w:lineRule="auto"/>
        <w:jc w:val="both"/>
        <w:rPr>
          <w:rFonts w:cs="Times New Roman"/>
        </w:rPr>
      </w:pPr>
      <w:r w:rsidRPr="00D7126D">
        <w:rPr>
          <w:rFonts w:cs="Times New Roman"/>
        </w:rPr>
        <w:t>Note-se que a escolha do teste</w:t>
      </w:r>
      <w:r w:rsidR="00E175A2" w:rsidRPr="00D7126D">
        <w:rPr>
          <w:rFonts w:cs="Times New Roman"/>
        </w:rPr>
        <w:t xml:space="preserve"> não paramétrico </w:t>
      </w:r>
      <w:r w:rsidRPr="00D7126D">
        <w:rPr>
          <w:rFonts w:cs="Times New Roman"/>
        </w:rPr>
        <w:t xml:space="preserve">de </w:t>
      </w:r>
      <w:r w:rsidR="00E175A2" w:rsidRPr="00497E1B">
        <w:rPr>
          <w:rFonts w:cs="Times New Roman"/>
        </w:rPr>
        <w:t>Mann-</w:t>
      </w:r>
      <w:proofErr w:type="spellStart"/>
      <w:r w:rsidR="00E175A2" w:rsidRPr="00497E1B">
        <w:rPr>
          <w:rFonts w:cs="Times New Roman"/>
        </w:rPr>
        <w:t>Whitney</w:t>
      </w:r>
      <w:proofErr w:type="spellEnd"/>
      <w:r w:rsidR="00E175A2" w:rsidRPr="00D7126D">
        <w:rPr>
          <w:rFonts w:cs="Times New Roman"/>
        </w:rPr>
        <w:t xml:space="preserve"> </w:t>
      </w:r>
      <w:r w:rsidR="00DE2227" w:rsidRPr="00D7126D">
        <w:rPr>
          <w:rFonts w:cs="Times New Roman"/>
        </w:rPr>
        <w:t>acontece pelo facto de se ter verificado que a</w:t>
      </w:r>
      <w:r w:rsidR="00021D2F">
        <w:rPr>
          <w:rFonts w:cs="Times New Roman"/>
        </w:rPr>
        <w:t>s</w:t>
      </w:r>
      <w:r w:rsidR="00DE2227" w:rsidRPr="00D7126D">
        <w:rPr>
          <w:rFonts w:cs="Times New Roman"/>
        </w:rPr>
        <w:t xml:space="preserve"> distribuiç</w:t>
      </w:r>
      <w:r w:rsidR="00021D2F">
        <w:rPr>
          <w:rFonts w:cs="Times New Roman"/>
        </w:rPr>
        <w:t>ões</w:t>
      </w:r>
      <w:r w:rsidR="00DE2227" w:rsidRPr="00D7126D">
        <w:rPr>
          <w:rFonts w:cs="Times New Roman"/>
        </w:rPr>
        <w:t xml:space="preserve"> </w:t>
      </w:r>
      <w:r w:rsidR="00021D2F">
        <w:rPr>
          <w:rFonts w:cs="Times New Roman"/>
        </w:rPr>
        <w:t xml:space="preserve">das variáveis em estudo </w:t>
      </w:r>
      <w:r w:rsidR="00DE2227" w:rsidRPr="00D7126D">
        <w:rPr>
          <w:rFonts w:cs="Times New Roman"/>
        </w:rPr>
        <w:t>não era</w:t>
      </w:r>
      <w:r w:rsidR="00690CA0">
        <w:rPr>
          <w:rFonts w:cs="Times New Roman"/>
        </w:rPr>
        <w:t>m</w:t>
      </w:r>
      <w:r w:rsidR="00DE2227" w:rsidRPr="00D7126D">
        <w:rPr>
          <w:rFonts w:cs="Times New Roman"/>
        </w:rPr>
        <w:t xml:space="preserve"> norma</w:t>
      </w:r>
      <w:r w:rsidR="00690CA0">
        <w:rPr>
          <w:rFonts w:cs="Times New Roman"/>
        </w:rPr>
        <w:t>is</w:t>
      </w:r>
      <w:r w:rsidR="007F2248" w:rsidRPr="00896081">
        <w:rPr>
          <w:rFonts w:cs="Times New Roman"/>
        </w:rPr>
        <w:t xml:space="preserve">, </w:t>
      </w:r>
      <w:r w:rsidR="00896081" w:rsidRPr="00896081">
        <w:rPr>
          <w:rFonts w:cs="Times New Roman"/>
        </w:rPr>
        <w:t xml:space="preserve">como apresentado no </w:t>
      </w:r>
      <w:r w:rsidR="00BC38F6" w:rsidRPr="00BC38F6">
        <w:rPr>
          <w:rFonts w:cs="Times New Roman"/>
        </w:rPr>
        <w:t xml:space="preserve">Apêndice </w:t>
      </w:r>
      <w:r w:rsidR="005C151B">
        <w:rPr>
          <w:rFonts w:cs="Times New Roman"/>
        </w:rPr>
        <w:t>3</w:t>
      </w:r>
      <w:r w:rsidR="007F2248">
        <w:rPr>
          <w:rFonts w:cs="Times New Roman"/>
        </w:rPr>
        <w:t xml:space="preserve">, </w:t>
      </w:r>
      <w:r w:rsidR="00DE2227" w:rsidRPr="00D7126D">
        <w:rPr>
          <w:rFonts w:cs="Times New Roman"/>
        </w:rPr>
        <w:t>e</w:t>
      </w:r>
      <w:r w:rsidR="00690CA0">
        <w:rPr>
          <w:rFonts w:cs="Times New Roman"/>
        </w:rPr>
        <w:t>,</w:t>
      </w:r>
      <w:r w:rsidR="00DE2227" w:rsidRPr="00D7126D">
        <w:rPr>
          <w:rFonts w:cs="Times New Roman"/>
        </w:rPr>
        <w:t xml:space="preserve"> por isso</w:t>
      </w:r>
      <w:r w:rsidR="00690CA0">
        <w:rPr>
          <w:rFonts w:cs="Times New Roman"/>
        </w:rPr>
        <w:t>,</w:t>
      </w:r>
      <w:r w:rsidR="00DE2227" w:rsidRPr="00D7126D">
        <w:rPr>
          <w:rFonts w:cs="Times New Roman"/>
        </w:rPr>
        <w:t xml:space="preserve"> não ser possível </w:t>
      </w:r>
      <w:r w:rsidR="00BE1B7F" w:rsidRPr="00D7126D">
        <w:rPr>
          <w:rFonts w:cs="Times New Roman"/>
        </w:rPr>
        <w:t>realizar um teste paramétrico para a</w:t>
      </w:r>
      <w:r w:rsidR="00C4235B">
        <w:rPr>
          <w:rFonts w:cs="Times New Roman"/>
        </w:rPr>
        <w:t>s</w:t>
      </w:r>
      <w:r w:rsidR="00BE1B7F" w:rsidRPr="00D7126D">
        <w:rPr>
          <w:rFonts w:cs="Times New Roman"/>
        </w:rPr>
        <w:t xml:space="preserve"> </w:t>
      </w:r>
      <w:r w:rsidR="00BE1B7F" w:rsidRPr="00896081">
        <w:rPr>
          <w:rFonts w:cs="Times New Roman"/>
        </w:rPr>
        <w:t>diferença</w:t>
      </w:r>
      <w:r w:rsidR="00C4235B" w:rsidRPr="00896081">
        <w:rPr>
          <w:rFonts w:cs="Times New Roman"/>
        </w:rPr>
        <w:t>s</w:t>
      </w:r>
      <w:r w:rsidR="00BE1B7F" w:rsidRPr="00896081">
        <w:rPr>
          <w:rFonts w:cs="Times New Roman"/>
        </w:rPr>
        <w:t xml:space="preserve"> de médias d</w:t>
      </w:r>
      <w:r w:rsidR="00FD49B0" w:rsidRPr="00896081">
        <w:rPr>
          <w:rFonts w:cs="Times New Roman"/>
        </w:rPr>
        <w:t>o ITM</w:t>
      </w:r>
      <w:r w:rsidR="005351DE" w:rsidRPr="00896081">
        <w:rPr>
          <w:rFonts w:cs="Times New Roman"/>
        </w:rPr>
        <w:t xml:space="preserve"> por </w:t>
      </w:r>
      <w:r w:rsidR="008A208E" w:rsidRPr="00896081">
        <w:rPr>
          <w:rFonts w:cs="Times New Roman"/>
        </w:rPr>
        <w:t>grupos</w:t>
      </w:r>
      <w:r w:rsidR="005351DE" w:rsidRPr="00896081">
        <w:rPr>
          <w:rFonts w:cs="Times New Roman"/>
        </w:rPr>
        <w:t xml:space="preserve"> </w:t>
      </w:r>
      <w:r w:rsidR="00322B0F" w:rsidRPr="00896081">
        <w:rPr>
          <w:rFonts w:cs="Times New Roman"/>
        </w:rPr>
        <w:t>com</w:t>
      </w:r>
      <w:r w:rsidR="00896081" w:rsidRPr="00896081">
        <w:rPr>
          <w:rFonts w:cs="Times New Roman"/>
        </w:rPr>
        <w:t xml:space="preserve"> </w:t>
      </w:r>
      <w:bookmarkStart w:id="113" w:name="_Hlk57910043"/>
      <w:r w:rsidR="00A5625E">
        <w:rPr>
          <w:rFonts w:cs="Times New Roman"/>
        </w:rPr>
        <w:t>todas as variáveis em estudo</w:t>
      </w:r>
      <w:r w:rsidR="000E2549">
        <w:rPr>
          <w:rFonts w:cs="Times New Roman"/>
        </w:rPr>
        <w:t>.</w:t>
      </w:r>
    </w:p>
    <w:p w14:paraId="09978F70" w14:textId="77777777" w:rsidR="007751CB" w:rsidRDefault="007751CB" w:rsidP="007751CB">
      <w:pPr>
        <w:spacing w:line="360" w:lineRule="auto"/>
        <w:jc w:val="both"/>
        <w:rPr>
          <w:rFonts w:cs="Times New Roman"/>
        </w:rPr>
      </w:pPr>
      <w:r>
        <w:rPr>
          <w:rFonts w:cs="Times New Roman"/>
        </w:rPr>
        <w:t>Para o efeito, a primeira variável de agrupamento foi a ideologia do partido como definida anteriormente (1 – ideologia do partido político de esquerda e 0 – ideologia do partido político de direita) e o que pretendemos comparar é o comportamento do ITM.</w:t>
      </w:r>
    </w:p>
    <w:p w14:paraId="166661FB" w14:textId="77777777" w:rsidR="007751CB" w:rsidRPr="006357FA" w:rsidRDefault="007751CB" w:rsidP="007751CB">
      <w:pPr>
        <w:spacing w:line="360" w:lineRule="auto"/>
        <w:jc w:val="both"/>
        <w:rPr>
          <w:rFonts w:cs="Times New Roman"/>
        </w:rPr>
      </w:pPr>
      <w:r w:rsidRPr="006357FA">
        <w:rPr>
          <w:rFonts w:cs="Times New Roman"/>
        </w:rPr>
        <w:t xml:space="preserve">A hipótese estatística do teste de </w:t>
      </w:r>
      <w:r w:rsidRPr="00497E1B">
        <w:rPr>
          <w:rFonts w:cs="Times New Roman"/>
        </w:rPr>
        <w:t>Mann-</w:t>
      </w:r>
      <w:proofErr w:type="spellStart"/>
      <w:r w:rsidRPr="00497E1B">
        <w:rPr>
          <w:rFonts w:cs="Times New Roman"/>
        </w:rPr>
        <w:t>Whitney</w:t>
      </w:r>
      <w:proofErr w:type="spellEnd"/>
      <w:r w:rsidRPr="006357FA">
        <w:rPr>
          <w:rFonts w:cs="Times New Roman"/>
        </w:rPr>
        <w:t xml:space="preserve"> é:</w:t>
      </w:r>
    </w:p>
    <w:p w14:paraId="70C986B0" w14:textId="77777777" w:rsidR="007751CB" w:rsidRPr="00C808BF" w:rsidRDefault="0043154B" w:rsidP="007751CB">
      <w:pPr>
        <w:pStyle w:val="PargrafodaLista"/>
        <w:numPr>
          <w:ilvl w:val="0"/>
          <w:numId w:val="29"/>
        </w:numPr>
        <w:spacing w:line="360" w:lineRule="auto"/>
        <w:rPr>
          <w:rFonts w:cs="Times New Roman"/>
        </w:rPr>
      </w:pPr>
      <m:oMath>
        <m:sSub>
          <m:sSubPr>
            <m:ctrlPr>
              <w:rPr>
                <w:rFonts w:ascii="Cambria Math" w:hAnsi="Cambria Math" w:cs="Times New Roman"/>
              </w:rPr>
            </m:ctrlPr>
          </m:sSubPr>
          <m:e>
            <m:r>
              <w:rPr>
                <w:rFonts w:ascii="Cambria Math" w:hAnsi="Cambria Math" w:cs="Times New Roman"/>
              </w:rPr>
              <m:t>H</m:t>
            </m:r>
          </m:e>
          <m:sub>
            <m:r>
              <m:rPr>
                <m:sty m:val="p"/>
              </m:rPr>
              <w:rPr>
                <w:rFonts w:ascii="Cambria Math" w:hAnsi="Cambria Math" w:cs="Times New Roman"/>
              </w:rPr>
              <m:t>0</m:t>
            </m:r>
          </m:sub>
        </m:sSub>
        <m:r>
          <m:rPr>
            <m:sty m:val="p"/>
          </m:rPr>
          <w:rPr>
            <w:rFonts w:ascii="Cambria Math" w:hAnsi="Cambria Math" w:cs="Times New Roman"/>
          </w:rPr>
          <m:t xml:space="preserve">: </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1</m:t>
            </m:r>
          </m:sub>
        </m:sSub>
        <m:d>
          <m:dPr>
            <m:ctrlPr>
              <w:rPr>
                <w:rFonts w:ascii="Cambria Math" w:hAnsi="Cambria Math" w:cs="Times New Roman"/>
              </w:rPr>
            </m:ctrlPr>
          </m:dPr>
          <m:e>
            <m:r>
              <w:rPr>
                <w:rFonts w:ascii="Cambria Math" w:hAnsi="Cambria Math" w:cs="Times New Roman"/>
              </w:rPr>
              <m:t>Y</m:t>
            </m:r>
          </m:e>
        </m:d>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2</m:t>
            </m:r>
          </m:sub>
        </m:sSub>
        <m:r>
          <m:rPr>
            <m:sty m:val="p"/>
          </m:rPr>
          <w:rPr>
            <w:rFonts w:ascii="Cambria Math" w:hAnsi="Cambria Math" w:cs="Times New Roman"/>
          </w:rPr>
          <m:t>(</m:t>
        </m:r>
        <m:r>
          <w:rPr>
            <w:rFonts w:ascii="Cambria Math" w:hAnsi="Cambria Math" w:cs="Times New Roman"/>
          </w:rPr>
          <m:t>Y</m:t>
        </m:r>
        <m:r>
          <m:rPr>
            <m:sty m:val="p"/>
          </m:rPr>
          <w:rPr>
            <w:rFonts w:ascii="Cambria Math" w:hAnsi="Cambria Math" w:cs="Times New Roman"/>
          </w:rPr>
          <m:t>)</m:t>
        </m:r>
      </m:oMath>
      <w:r w:rsidR="007751CB" w:rsidRPr="00C808BF">
        <w:rPr>
          <w:rFonts w:cs="Times New Roman"/>
        </w:rPr>
        <w:t xml:space="preserve"> vs </w:t>
      </w:r>
      <m:oMath>
        <m:sSub>
          <m:sSubPr>
            <m:ctrlPr>
              <w:rPr>
                <w:rFonts w:ascii="Cambria Math" w:hAnsi="Cambria Math" w:cs="Times New Roman"/>
              </w:rPr>
            </m:ctrlPr>
          </m:sSubPr>
          <m:e>
            <m:r>
              <w:rPr>
                <w:rFonts w:ascii="Cambria Math" w:hAnsi="Cambria Math" w:cs="Times New Roman"/>
              </w:rPr>
              <m:t>H</m:t>
            </m:r>
          </m:e>
          <m:sub>
            <m:r>
              <m:rPr>
                <m:sty m:val="p"/>
              </m:rPr>
              <w:rPr>
                <w:rFonts w:ascii="Cambria Math" w:hAnsi="Cambria Math" w:cs="Times New Roman"/>
              </w:rPr>
              <m:t>1</m:t>
            </m:r>
          </m:sub>
        </m:sSub>
        <m:r>
          <m:rPr>
            <m:sty m:val="p"/>
          </m:rPr>
          <w:rPr>
            <w:rFonts w:ascii="Cambria Math" w:hAnsi="Cambria Math" w:cs="Times New Roman"/>
          </w:rPr>
          <m:t xml:space="preserve">: </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1</m:t>
            </m:r>
          </m:sub>
        </m:sSub>
        <m:d>
          <m:dPr>
            <m:ctrlPr>
              <w:rPr>
                <w:rFonts w:ascii="Cambria Math" w:hAnsi="Cambria Math" w:cs="Times New Roman"/>
              </w:rPr>
            </m:ctrlPr>
          </m:dPr>
          <m:e>
            <m:r>
              <w:rPr>
                <w:rFonts w:ascii="Cambria Math" w:hAnsi="Cambria Math" w:cs="Times New Roman"/>
              </w:rPr>
              <m:t>Y</m:t>
            </m:r>
          </m:e>
        </m:d>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2</m:t>
            </m:r>
          </m:sub>
        </m:sSub>
        <m:r>
          <m:rPr>
            <m:sty m:val="p"/>
          </m:rPr>
          <w:rPr>
            <w:rFonts w:ascii="Cambria Math" w:hAnsi="Cambria Math" w:cs="Times New Roman"/>
          </w:rPr>
          <m:t>(</m:t>
        </m:r>
        <m:r>
          <w:rPr>
            <w:rFonts w:ascii="Cambria Math" w:hAnsi="Cambria Math" w:cs="Times New Roman"/>
          </w:rPr>
          <m:t>Y</m:t>
        </m:r>
        <m:r>
          <m:rPr>
            <m:sty m:val="p"/>
          </m:rPr>
          <w:rPr>
            <w:rFonts w:ascii="Cambria Math" w:hAnsi="Cambria Math" w:cs="Times New Roman"/>
          </w:rPr>
          <m:t>)</m:t>
        </m:r>
      </m:oMath>
      <w:r w:rsidR="007751CB" w:rsidRPr="00C808BF">
        <w:rPr>
          <w:rFonts w:cs="Times New Roman"/>
        </w:rPr>
        <w:t>, para um teste bilateral</w:t>
      </w:r>
    </w:p>
    <w:p w14:paraId="7E410A17" w14:textId="56EBEF39" w:rsidR="007751CB" w:rsidRPr="006357FA" w:rsidRDefault="007751CB" w:rsidP="007751CB">
      <w:pPr>
        <w:spacing w:line="360" w:lineRule="auto"/>
        <w:jc w:val="both"/>
        <w:rPr>
          <w:rFonts w:cs="Times New Roman"/>
        </w:rPr>
      </w:pPr>
      <w:r w:rsidRPr="006357FA">
        <w:rPr>
          <w:rFonts w:cs="Times New Roman"/>
        </w:rPr>
        <w:t xml:space="preserve">Em que: </w:t>
      </w:r>
      <m:oMath>
        <m:sSub>
          <m:sSubPr>
            <m:ctrlPr>
              <w:rPr>
                <w:rFonts w:ascii="Cambria Math" w:hAnsi="Cambria Math" w:cs="Times New Roman"/>
              </w:rPr>
            </m:ctrlPr>
          </m:sSubPr>
          <m:e>
            <m:r>
              <w:rPr>
                <w:rFonts w:ascii="Cambria Math" w:hAnsi="Cambria Math" w:cs="Times New Roman"/>
              </w:rPr>
              <m:t>F</m:t>
            </m:r>
          </m:e>
          <m:sub>
            <m:r>
              <w:rPr>
                <w:rFonts w:ascii="Cambria Math" w:hAnsi="Cambria Math" w:cs="Times New Roman"/>
              </w:rPr>
              <m:t>i</m:t>
            </m:r>
          </m:sub>
        </m:sSub>
        <m:d>
          <m:dPr>
            <m:ctrlPr>
              <w:rPr>
                <w:rFonts w:ascii="Cambria Math" w:hAnsi="Cambria Math" w:cs="Times New Roman"/>
              </w:rPr>
            </m:ctrlPr>
          </m:dPr>
          <m:e>
            <m:r>
              <w:rPr>
                <w:rFonts w:ascii="Cambria Math" w:hAnsi="Cambria Math" w:cs="Times New Roman"/>
              </w:rPr>
              <m:t>Y</m:t>
            </m:r>
          </m:e>
        </m:d>
        <m:r>
          <w:rPr>
            <w:rFonts w:ascii="Cambria Math" w:hAnsi="Cambria Math" w:cs="Times New Roman"/>
          </w:rPr>
          <m:t xml:space="preserve">,  </m:t>
        </m:r>
        <m:r>
          <m:rPr>
            <m:sty m:val="p"/>
          </m:rPr>
          <w:rPr>
            <w:rFonts w:ascii="Cambria Math" w:hAnsi="Cambria Math" w:cs="Times New Roman"/>
          </w:rPr>
          <m:t>com</m:t>
        </m:r>
        <m:r>
          <w:rPr>
            <w:rFonts w:ascii="Cambria Math" w:hAnsi="Cambria Math" w:cs="Times New Roman"/>
          </w:rPr>
          <m:t xml:space="preserve"> i=1,2</m:t>
        </m:r>
      </m:oMath>
      <w:r w:rsidRPr="006357FA">
        <w:rPr>
          <w:rFonts w:cs="Times New Roman"/>
        </w:rPr>
        <w:t xml:space="preserve"> representa a função de distribuição da variável Y na população </w:t>
      </w:r>
      <w:r w:rsidRPr="006357FA">
        <w:rPr>
          <w:rFonts w:cs="Times New Roman"/>
          <w:i/>
          <w:iCs/>
        </w:rPr>
        <w:t>i</w:t>
      </w:r>
      <w:r>
        <w:rPr>
          <w:rFonts w:cs="Times New Roman"/>
          <w:i/>
          <w:iCs/>
        </w:rPr>
        <w:t xml:space="preserve">, </w:t>
      </w:r>
      <w:r>
        <w:rPr>
          <w:rFonts w:cs="Times New Roman"/>
        </w:rPr>
        <w:t>ideologia do partido político de esquerda e ideologia do partido político de direita</w:t>
      </w:r>
      <w:r w:rsidR="00DD7459">
        <w:rPr>
          <w:rFonts w:cs="Times New Roman"/>
        </w:rPr>
        <w:t>.</w:t>
      </w:r>
      <w:r>
        <w:rPr>
          <w:rFonts w:cs="Times New Roman"/>
          <w:i/>
          <w:iCs/>
        </w:rPr>
        <w:t xml:space="preserve"> </w:t>
      </w:r>
    </w:p>
    <w:p w14:paraId="202D13D0" w14:textId="77777777" w:rsidR="007751CB" w:rsidRDefault="007751CB" w:rsidP="007751CB">
      <w:pPr>
        <w:spacing w:line="360" w:lineRule="auto"/>
        <w:jc w:val="both"/>
        <w:rPr>
          <w:rFonts w:cs="Times New Roman"/>
        </w:rPr>
      </w:pPr>
      <w:r>
        <w:rPr>
          <w:rFonts w:cs="Times New Roman"/>
        </w:rPr>
        <w:lastRenderedPageBreak/>
        <w:t>As hipóteses estatísticas formuladas foram:</w:t>
      </w:r>
    </w:p>
    <w:p w14:paraId="7C5DC4FC" w14:textId="49EDC48E" w:rsidR="007751CB" w:rsidRPr="006357FA" w:rsidRDefault="0043154B" w:rsidP="007751CB">
      <w:pPr>
        <w:pStyle w:val="PargrafodaLista"/>
        <w:numPr>
          <w:ilvl w:val="0"/>
          <w:numId w:val="28"/>
        </w:numPr>
        <w:spacing w:line="360" w:lineRule="auto"/>
        <w:jc w:val="both"/>
        <w:rPr>
          <w:rFonts w:cs="Times New Roman"/>
        </w:rPr>
      </w:pPr>
      <m:oMath>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0</m:t>
            </m:r>
          </m:sub>
        </m:sSub>
      </m:oMath>
      <w:r w:rsidR="007751CB" w:rsidRPr="00FC4481">
        <w:rPr>
          <w:rFonts w:eastAsiaTheme="minorEastAsia" w:cs="Times New Roman"/>
        </w:rPr>
        <w:t xml:space="preserve">: A distribuição de ITM é semelhante nos municípios de </w:t>
      </w:r>
      <w:r w:rsidR="00376BD9">
        <w:rPr>
          <w:rFonts w:eastAsiaTheme="minorEastAsia" w:cs="Times New Roman"/>
        </w:rPr>
        <w:t>i</w:t>
      </w:r>
      <w:r w:rsidR="007751CB" w:rsidRPr="00FC4481">
        <w:rPr>
          <w:rFonts w:eastAsiaTheme="minorEastAsia" w:cs="Times New Roman"/>
        </w:rPr>
        <w:t xml:space="preserve">deologia do </w:t>
      </w:r>
      <w:r w:rsidR="00376BD9">
        <w:rPr>
          <w:rFonts w:eastAsiaTheme="minorEastAsia" w:cs="Times New Roman"/>
        </w:rPr>
        <w:t>p</w:t>
      </w:r>
      <w:r w:rsidR="007751CB" w:rsidRPr="00FC4481">
        <w:rPr>
          <w:rFonts w:eastAsiaTheme="minorEastAsia" w:cs="Times New Roman"/>
        </w:rPr>
        <w:t xml:space="preserve">artido </w:t>
      </w:r>
      <w:r w:rsidR="00376BD9">
        <w:rPr>
          <w:rFonts w:eastAsiaTheme="minorEastAsia" w:cs="Times New Roman"/>
        </w:rPr>
        <w:t>p</w:t>
      </w:r>
      <w:r w:rsidR="007751CB" w:rsidRPr="00FC4481">
        <w:rPr>
          <w:rFonts w:eastAsiaTheme="minorEastAsia" w:cs="Times New Roman"/>
        </w:rPr>
        <w:t xml:space="preserve">olítico de </w:t>
      </w:r>
      <w:r w:rsidR="00376BD9">
        <w:rPr>
          <w:rFonts w:eastAsiaTheme="minorEastAsia" w:cs="Times New Roman"/>
        </w:rPr>
        <w:t>e</w:t>
      </w:r>
      <w:r w:rsidR="007751CB" w:rsidRPr="00FC4481">
        <w:rPr>
          <w:rFonts w:eastAsiaTheme="minorEastAsia" w:cs="Times New Roman"/>
        </w:rPr>
        <w:t xml:space="preserve">squerda e nos municípios de </w:t>
      </w:r>
      <w:r w:rsidR="00376BD9">
        <w:rPr>
          <w:rFonts w:eastAsiaTheme="minorEastAsia" w:cs="Times New Roman"/>
        </w:rPr>
        <w:t>i</w:t>
      </w:r>
      <w:r w:rsidR="007751CB" w:rsidRPr="00FC4481">
        <w:rPr>
          <w:rFonts w:eastAsiaTheme="minorEastAsia" w:cs="Times New Roman"/>
        </w:rPr>
        <w:t xml:space="preserve">deologia do </w:t>
      </w:r>
      <w:r w:rsidR="00376BD9">
        <w:rPr>
          <w:rFonts w:eastAsiaTheme="minorEastAsia" w:cs="Times New Roman"/>
        </w:rPr>
        <w:t>p</w:t>
      </w:r>
      <w:r w:rsidR="007751CB" w:rsidRPr="00FC4481">
        <w:rPr>
          <w:rFonts w:eastAsiaTheme="minorEastAsia" w:cs="Times New Roman"/>
        </w:rPr>
        <w:t xml:space="preserve">artido </w:t>
      </w:r>
      <w:r w:rsidR="00376BD9">
        <w:rPr>
          <w:rFonts w:eastAsiaTheme="minorEastAsia" w:cs="Times New Roman"/>
        </w:rPr>
        <w:t>p</w:t>
      </w:r>
      <w:r w:rsidR="007751CB" w:rsidRPr="00FC4481">
        <w:rPr>
          <w:rFonts w:eastAsiaTheme="minorEastAsia" w:cs="Times New Roman"/>
        </w:rPr>
        <w:t xml:space="preserve">olítico de </w:t>
      </w:r>
      <w:r w:rsidR="00376BD9">
        <w:rPr>
          <w:rFonts w:eastAsiaTheme="minorEastAsia" w:cs="Times New Roman"/>
        </w:rPr>
        <w:t>d</w:t>
      </w:r>
      <w:r w:rsidR="007751CB" w:rsidRPr="00FC4481">
        <w:rPr>
          <w:rFonts w:eastAsiaTheme="minorEastAsia" w:cs="Times New Roman"/>
        </w:rPr>
        <w:t xml:space="preserve">ireita (IPP) </w:t>
      </w:r>
    </w:p>
    <w:p w14:paraId="345B011E" w14:textId="7E32F8B3" w:rsidR="007751CB" w:rsidRPr="00D7126D" w:rsidRDefault="0043154B" w:rsidP="007751CB">
      <w:pPr>
        <w:pStyle w:val="PargrafodaLista"/>
        <w:numPr>
          <w:ilvl w:val="0"/>
          <w:numId w:val="28"/>
        </w:numPr>
        <w:spacing w:line="360" w:lineRule="auto"/>
        <w:jc w:val="both"/>
        <w:rPr>
          <w:rFonts w:cs="Times New Roman"/>
        </w:rPr>
      </w:pPr>
      <m:oMath>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1</m:t>
            </m:r>
          </m:sub>
        </m:sSub>
      </m:oMath>
      <w:r w:rsidR="007751CB" w:rsidRPr="00FC4481">
        <w:rPr>
          <w:rFonts w:eastAsiaTheme="minorEastAsia" w:cs="Times New Roman"/>
        </w:rPr>
        <w:t xml:space="preserve">: A distribuição de ITM não é semelhante nos municípios de </w:t>
      </w:r>
      <w:r w:rsidR="00376BD9">
        <w:rPr>
          <w:rFonts w:eastAsiaTheme="minorEastAsia" w:cs="Times New Roman"/>
        </w:rPr>
        <w:t>i</w:t>
      </w:r>
      <w:r w:rsidR="007751CB" w:rsidRPr="00FC4481">
        <w:rPr>
          <w:rFonts w:eastAsiaTheme="minorEastAsia" w:cs="Times New Roman"/>
        </w:rPr>
        <w:t xml:space="preserve">deologia do </w:t>
      </w:r>
      <w:r w:rsidR="00376BD9">
        <w:rPr>
          <w:rFonts w:eastAsiaTheme="minorEastAsia" w:cs="Times New Roman"/>
        </w:rPr>
        <w:t>p</w:t>
      </w:r>
      <w:r w:rsidR="007751CB" w:rsidRPr="00FC4481">
        <w:rPr>
          <w:rFonts w:eastAsiaTheme="minorEastAsia" w:cs="Times New Roman"/>
        </w:rPr>
        <w:t xml:space="preserve">artido </w:t>
      </w:r>
      <w:r w:rsidR="00376BD9">
        <w:rPr>
          <w:rFonts w:eastAsiaTheme="minorEastAsia" w:cs="Times New Roman"/>
        </w:rPr>
        <w:t>p</w:t>
      </w:r>
      <w:r w:rsidR="007751CB" w:rsidRPr="00FC4481">
        <w:rPr>
          <w:rFonts w:eastAsiaTheme="minorEastAsia" w:cs="Times New Roman"/>
        </w:rPr>
        <w:t xml:space="preserve">olítico de </w:t>
      </w:r>
      <w:r w:rsidR="00376BD9">
        <w:rPr>
          <w:rFonts w:eastAsiaTheme="minorEastAsia" w:cs="Times New Roman"/>
        </w:rPr>
        <w:t>e</w:t>
      </w:r>
      <w:r w:rsidR="007751CB" w:rsidRPr="00FC4481">
        <w:rPr>
          <w:rFonts w:eastAsiaTheme="minorEastAsia" w:cs="Times New Roman"/>
        </w:rPr>
        <w:t xml:space="preserve">squerda e nos municípios de </w:t>
      </w:r>
      <w:r w:rsidR="00376BD9">
        <w:rPr>
          <w:rFonts w:eastAsiaTheme="minorEastAsia" w:cs="Times New Roman"/>
        </w:rPr>
        <w:t>i</w:t>
      </w:r>
      <w:r w:rsidR="007751CB" w:rsidRPr="00FC4481">
        <w:rPr>
          <w:rFonts w:eastAsiaTheme="minorEastAsia" w:cs="Times New Roman"/>
        </w:rPr>
        <w:t xml:space="preserve">deologia do </w:t>
      </w:r>
      <w:r w:rsidR="00376BD9">
        <w:rPr>
          <w:rFonts w:eastAsiaTheme="minorEastAsia" w:cs="Times New Roman"/>
        </w:rPr>
        <w:t>p</w:t>
      </w:r>
      <w:r w:rsidR="007751CB" w:rsidRPr="00FC4481">
        <w:rPr>
          <w:rFonts w:eastAsiaTheme="minorEastAsia" w:cs="Times New Roman"/>
        </w:rPr>
        <w:t xml:space="preserve">artido </w:t>
      </w:r>
      <w:r w:rsidR="00376BD9">
        <w:rPr>
          <w:rFonts w:eastAsiaTheme="minorEastAsia" w:cs="Times New Roman"/>
        </w:rPr>
        <w:t>p</w:t>
      </w:r>
      <w:r w:rsidR="007751CB" w:rsidRPr="00FC4481">
        <w:rPr>
          <w:rFonts w:eastAsiaTheme="minorEastAsia" w:cs="Times New Roman"/>
        </w:rPr>
        <w:t xml:space="preserve">olítico de </w:t>
      </w:r>
      <w:r w:rsidR="00376BD9">
        <w:rPr>
          <w:rFonts w:eastAsiaTheme="minorEastAsia" w:cs="Times New Roman"/>
        </w:rPr>
        <w:t>d</w:t>
      </w:r>
      <w:r w:rsidR="007751CB" w:rsidRPr="00FC4481">
        <w:rPr>
          <w:rFonts w:eastAsiaTheme="minorEastAsia" w:cs="Times New Roman"/>
        </w:rPr>
        <w:t xml:space="preserve">ireita (IPP) </w:t>
      </w:r>
    </w:p>
    <w:p w14:paraId="2246A242" w14:textId="77777777" w:rsidR="007751CB" w:rsidRPr="006357FA" w:rsidRDefault="007751CB" w:rsidP="007751CB">
      <w:pPr>
        <w:spacing w:line="360" w:lineRule="auto"/>
        <w:jc w:val="both"/>
        <w:rPr>
          <w:rFonts w:cs="Times New Roman"/>
        </w:rPr>
      </w:pPr>
      <w:r>
        <w:rPr>
          <w:rFonts w:cs="Times New Roman"/>
        </w:rPr>
        <w:t xml:space="preserve">De seguida, com o intuito de comparar o comportamento do ITM, a variável de agrupamento foi a competição política (0 – municípios com fraca competição política e 1 – municípios com forte competição política), foi realizado o teste de </w:t>
      </w:r>
      <w:r w:rsidRPr="00497E1B">
        <w:rPr>
          <w:rFonts w:cs="Times New Roman"/>
        </w:rPr>
        <w:t>Mann-</w:t>
      </w:r>
      <w:proofErr w:type="spellStart"/>
      <w:r w:rsidRPr="00497E1B">
        <w:rPr>
          <w:rFonts w:cs="Times New Roman"/>
        </w:rPr>
        <w:t>Whitney</w:t>
      </w:r>
      <w:proofErr w:type="spellEnd"/>
      <w:r>
        <w:rPr>
          <w:rFonts w:cs="Times New Roman"/>
        </w:rPr>
        <w:t xml:space="preserve"> no qual a hipótese </w:t>
      </w:r>
      <w:r w:rsidRPr="006357FA">
        <w:rPr>
          <w:rFonts w:cs="Times New Roman"/>
        </w:rPr>
        <w:t xml:space="preserve">estatística do </w:t>
      </w:r>
      <w:r>
        <w:rPr>
          <w:rFonts w:cs="Times New Roman"/>
        </w:rPr>
        <w:t>mesmo</w:t>
      </w:r>
      <w:r w:rsidRPr="006357FA">
        <w:rPr>
          <w:rFonts w:cs="Times New Roman"/>
        </w:rPr>
        <w:t xml:space="preserve"> é:</w:t>
      </w:r>
    </w:p>
    <w:p w14:paraId="0ACB86F6" w14:textId="77777777" w:rsidR="007751CB" w:rsidRPr="00C808BF" w:rsidRDefault="0043154B" w:rsidP="007751CB">
      <w:pPr>
        <w:pStyle w:val="PargrafodaLista"/>
        <w:numPr>
          <w:ilvl w:val="0"/>
          <w:numId w:val="29"/>
        </w:numPr>
        <w:spacing w:line="360" w:lineRule="auto"/>
        <w:rPr>
          <w:rFonts w:cs="Times New Roman"/>
        </w:rPr>
      </w:pPr>
      <m:oMath>
        <m:sSub>
          <m:sSubPr>
            <m:ctrlPr>
              <w:rPr>
                <w:rFonts w:ascii="Cambria Math" w:hAnsi="Cambria Math" w:cs="Times New Roman"/>
              </w:rPr>
            </m:ctrlPr>
          </m:sSubPr>
          <m:e>
            <m:r>
              <w:rPr>
                <w:rFonts w:ascii="Cambria Math" w:hAnsi="Cambria Math" w:cs="Times New Roman"/>
              </w:rPr>
              <m:t>H</m:t>
            </m:r>
          </m:e>
          <m:sub>
            <m:r>
              <m:rPr>
                <m:sty m:val="p"/>
              </m:rPr>
              <w:rPr>
                <w:rFonts w:ascii="Cambria Math" w:hAnsi="Cambria Math" w:cs="Times New Roman"/>
              </w:rPr>
              <m:t>0</m:t>
            </m:r>
          </m:sub>
        </m:sSub>
        <m:r>
          <m:rPr>
            <m:sty m:val="p"/>
          </m:rPr>
          <w:rPr>
            <w:rFonts w:ascii="Cambria Math" w:hAnsi="Cambria Math" w:cs="Times New Roman"/>
          </w:rPr>
          <m:t xml:space="preserve">: </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1</m:t>
            </m:r>
          </m:sub>
        </m:sSub>
        <m:d>
          <m:dPr>
            <m:ctrlPr>
              <w:rPr>
                <w:rFonts w:ascii="Cambria Math" w:hAnsi="Cambria Math" w:cs="Times New Roman"/>
              </w:rPr>
            </m:ctrlPr>
          </m:dPr>
          <m:e>
            <m:r>
              <w:rPr>
                <w:rFonts w:ascii="Cambria Math" w:hAnsi="Cambria Math" w:cs="Times New Roman"/>
              </w:rPr>
              <m:t>Y</m:t>
            </m:r>
          </m:e>
        </m:d>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2</m:t>
            </m:r>
          </m:sub>
        </m:sSub>
        <m:r>
          <m:rPr>
            <m:sty m:val="p"/>
          </m:rPr>
          <w:rPr>
            <w:rFonts w:ascii="Cambria Math" w:hAnsi="Cambria Math" w:cs="Times New Roman"/>
          </w:rPr>
          <m:t>(</m:t>
        </m:r>
        <m:r>
          <w:rPr>
            <w:rFonts w:ascii="Cambria Math" w:hAnsi="Cambria Math" w:cs="Times New Roman"/>
          </w:rPr>
          <m:t>Y</m:t>
        </m:r>
        <m:r>
          <m:rPr>
            <m:sty m:val="p"/>
          </m:rPr>
          <w:rPr>
            <w:rFonts w:ascii="Cambria Math" w:hAnsi="Cambria Math" w:cs="Times New Roman"/>
          </w:rPr>
          <m:t>)</m:t>
        </m:r>
      </m:oMath>
      <w:r w:rsidR="007751CB" w:rsidRPr="00C808BF">
        <w:rPr>
          <w:rFonts w:cs="Times New Roman"/>
        </w:rPr>
        <w:t xml:space="preserve"> vs </w:t>
      </w:r>
      <m:oMath>
        <m:sSub>
          <m:sSubPr>
            <m:ctrlPr>
              <w:rPr>
                <w:rFonts w:ascii="Cambria Math" w:hAnsi="Cambria Math" w:cs="Times New Roman"/>
              </w:rPr>
            </m:ctrlPr>
          </m:sSubPr>
          <m:e>
            <m:r>
              <w:rPr>
                <w:rFonts w:ascii="Cambria Math" w:hAnsi="Cambria Math" w:cs="Times New Roman"/>
              </w:rPr>
              <m:t>H</m:t>
            </m:r>
          </m:e>
          <m:sub>
            <m:r>
              <m:rPr>
                <m:sty m:val="p"/>
              </m:rPr>
              <w:rPr>
                <w:rFonts w:ascii="Cambria Math" w:hAnsi="Cambria Math" w:cs="Times New Roman"/>
              </w:rPr>
              <m:t>1</m:t>
            </m:r>
          </m:sub>
        </m:sSub>
        <m:r>
          <m:rPr>
            <m:sty m:val="p"/>
          </m:rPr>
          <w:rPr>
            <w:rFonts w:ascii="Cambria Math" w:hAnsi="Cambria Math" w:cs="Times New Roman"/>
          </w:rPr>
          <m:t xml:space="preserve">: </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1</m:t>
            </m:r>
          </m:sub>
        </m:sSub>
        <m:d>
          <m:dPr>
            <m:ctrlPr>
              <w:rPr>
                <w:rFonts w:ascii="Cambria Math" w:hAnsi="Cambria Math" w:cs="Times New Roman"/>
              </w:rPr>
            </m:ctrlPr>
          </m:dPr>
          <m:e>
            <m:r>
              <w:rPr>
                <w:rFonts w:ascii="Cambria Math" w:hAnsi="Cambria Math" w:cs="Times New Roman"/>
              </w:rPr>
              <m:t>Y</m:t>
            </m:r>
          </m:e>
        </m:d>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2</m:t>
            </m:r>
          </m:sub>
        </m:sSub>
        <m:r>
          <m:rPr>
            <m:sty m:val="p"/>
          </m:rPr>
          <w:rPr>
            <w:rFonts w:ascii="Cambria Math" w:hAnsi="Cambria Math" w:cs="Times New Roman"/>
          </w:rPr>
          <m:t>(</m:t>
        </m:r>
        <m:r>
          <w:rPr>
            <w:rFonts w:ascii="Cambria Math" w:hAnsi="Cambria Math" w:cs="Times New Roman"/>
          </w:rPr>
          <m:t>Y</m:t>
        </m:r>
        <m:r>
          <m:rPr>
            <m:sty m:val="p"/>
          </m:rPr>
          <w:rPr>
            <w:rFonts w:ascii="Cambria Math" w:hAnsi="Cambria Math" w:cs="Times New Roman"/>
          </w:rPr>
          <m:t>)</m:t>
        </m:r>
      </m:oMath>
      <w:r w:rsidR="007751CB" w:rsidRPr="00C808BF">
        <w:rPr>
          <w:rFonts w:cs="Times New Roman"/>
        </w:rPr>
        <w:t>, para um teste bilateral</w:t>
      </w:r>
    </w:p>
    <w:p w14:paraId="3D053BB2" w14:textId="77777777" w:rsidR="007751CB" w:rsidRPr="006357FA" w:rsidRDefault="007751CB" w:rsidP="007751CB">
      <w:pPr>
        <w:spacing w:line="360" w:lineRule="auto"/>
        <w:jc w:val="both"/>
        <w:rPr>
          <w:rFonts w:cs="Times New Roman"/>
        </w:rPr>
      </w:pPr>
      <w:r w:rsidRPr="006357FA">
        <w:rPr>
          <w:rFonts w:cs="Times New Roman"/>
        </w:rPr>
        <w:t xml:space="preserve">Em que: </w:t>
      </w:r>
      <m:oMath>
        <m:sSub>
          <m:sSubPr>
            <m:ctrlPr>
              <w:rPr>
                <w:rFonts w:ascii="Cambria Math" w:hAnsi="Cambria Math" w:cs="Times New Roman"/>
              </w:rPr>
            </m:ctrlPr>
          </m:sSubPr>
          <m:e>
            <m:r>
              <w:rPr>
                <w:rFonts w:ascii="Cambria Math" w:hAnsi="Cambria Math" w:cs="Times New Roman"/>
              </w:rPr>
              <m:t>F</m:t>
            </m:r>
          </m:e>
          <m:sub>
            <m:r>
              <w:rPr>
                <w:rFonts w:ascii="Cambria Math" w:hAnsi="Cambria Math" w:cs="Times New Roman"/>
              </w:rPr>
              <m:t>i</m:t>
            </m:r>
          </m:sub>
        </m:sSub>
        <m:d>
          <m:dPr>
            <m:ctrlPr>
              <w:rPr>
                <w:rFonts w:ascii="Cambria Math" w:hAnsi="Cambria Math" w:cs="Times New Roman"/>
              </w:rPr>
            </m:ctrlPr>
          </m:dPr>
          <m:e>
            <m:r>
              <w:rPr>
                <w:rFonts w:ascii="Cambria Math" w:hAnsi="Cambria Math" w:cs="Times New Roman"/>
              </w:rPr>
              <m:t>Y</m:t>
            </m:r>
          </m:e>
        </m:d>
        <m:r>
          <w:rPr>
            <w:rFonts w:ascii="Cambria Math" w:hAnsi="Cambria Math" w:cs="Times New Roman"/>
          </w:rPr>
          <m:t xml:space="preserve">,  </m:t>
        </m:r>
        <m:r>
          <m:rPr>
            <m:sty m:val="p"/>
          </m:rPr>
          <w:rPr>
            <w:rFonts w:ascii="Cambria Math" w:hAnsi="Cambria Math" w:cs="Times New Roman"/>
          </w:rPr>
          <m:t>com</m:t>
        </m:r>
        <m:r>
          <w:rPr>
            <w:rFonts w:ascii="Cambria Math" w:hAnsi="Cambria Math" w:cs="Times New Roman"/>
          </w:rPr>
          <m:t xml:space="preserve"> i=1,2</m:t>
        </m:r>
      </m:oMath>
      <w:r w:rsidRPr="006357FA">
        <w:rPr>
          <w:rFonts w:cs="Times New Roman"/>
        </w:rPr>
        <w:t xml:space="preserve"> representa a função de distribuição da variável Y na população </w:t>
      </w:r>
      <w:r w:rsidRPr="006357FA">
        <w:rPr>
          <w:rFonts w:cs="Times New Roman"/>
          <w:i/>
          <w:iCs/>
        </w:rPr>
        <w:t>i</w:t>
      </w:r>
      <w:r>
        <w:rPr>
          <w:rFonts w:cs="Times New Roman"/>
          <w:i/>
          <w:iCs/>
        </w:rPr>
        <w:t xml:space="preserve">, </w:t>
      </w:r>
      <w:r>
        <w:rPr>
          <w:rFonts w:cs="Times New Roman"/>
        </w:rPr>
        <w:t>municípios com fraca competição política e municípios com forte competição política.</w:t>
      </w:r>
      <w:r>
        <w:rPr>
          <w:rFonts w:cs="Times New Roman"/>
          <w:i/>
          <w:iCs/>
        </w:rPr>
        <w:t xml:space="preserve"> </w:t>
      </w:r>
    </w:p>
    <w:p w14:paraId="0CCFFB93" w14:textId="77777777" w:rsidR="007751CB" w:rsidRDefault="007751CB" w:rsidP="007751CB">
      <w:pPr>
        <w:spacing w:before="240" w:line="360" w:lineRule="auto"/>
        <w:jc w:val="both"/>
        <w:rPr>
          <w:rFonts w:cs="Times New Roman"/>
        </w:rPr>
      </w:pPr>
      <w:r>
        <w:rPr>
          <w:rFonts w:cs="Times New Roman"/>
        </w:rPr>
        <w:t>Para o efeito, as hipóteses estatísticas são:</w:t>
      </w:r>
    </w:p>
    <w:p w14:paraId="21F2FD10" w14:textId="7CF5C3EF" w:rsidR="007751CB" w:rsidRPr="006357FA" w:rsidRDefault="0043154B" w:rsidP="007751CB">
      <w:pPr>
        <w:pStyle w:val="PargrafodaLista"/>
        <w:numPr>
          <w:ilvl w:val="0"/>
          <w:numId w:val="28"/>
        </w:numPr>
        <w:spacing w:line="360" w:lineRule="auto"/>
        <w:jc w:val="both"/>
        <w:rPr>
          <w:rFonts w:cs="Times New Roman"/>
        </w:rPr>
      </w:pPr>
      <m:oMath>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0</m:t>
            </m:r>
          </m:sub>
        </m:sSub>
      </m:oMath>
      <w:r w:rsidR="007751CB">
        <w:rPr>
          <w:rFonts w:eastAsiaTheme="minorEastAsia" w:cs="Times New Roman"/>
        </w:rPr>
        <w:t xml:space="preserve">: A distribuição de ITM é semelhante nos municípios de maior </w:t>
      </w:r>
      <w:r w:rsidR="00376BD9">
        <w:rPr>
          <w:rFonts w:eastAsiaTheme="minorEastAsia" w:cs="Times New Roman"/>
        </w:rPr>
        <w:t>c</w:t>
      </w:r>
      <w:r w:rsidR="007751CB">
        <w:rPr>
          <w:rFonts w:eastAsiaTheme="minorEastAsia" w:cs="Times New Roman"/>
        </w:rPr>
        <w:t xml:space="preserve">ompetição </w:t>
      </w:r>
      <w:r w:rsidR="00376BD9">
        <w:rPr>
          <w:rFonts w:eastAsiaTheme="minorEastAsia" w:cs="Times New Roman"/>
        </w:rPr>
        <w:t>p</w:t>
      </w:r>
      <w:r w:rsidR="007751CB">
        <w:rPr>
          <w:rFonts w:eastAsiaTheme="minorEastAsia" w:cs="Times New Roman"/>
        </w:rPr>
        <w:t xml:space="preserve">olítica e de menor </w:t>
      </w:r>
      <w:r w:rsidR="00376BD9">
        <w:rPr>
          <w:rFonts w:eastAsiaTheme="minorEastAsia" w:cs="Times New Roman"/>
        </w:rPr>
        <w:t>c</w:t>
      </w:r>
      <w:r w:rsidR="007751CB">
        <w:rPr>
          <w:rFonts w:eastAsiaTheme="minorEastAsia" w:cs="Times New Roman"/>
        </w:rPr>
        <w:t xml:space="preserve">ompetição </w:t>
      </w:r>
      <w:r w:rsidR="00376BD9">
        <w:rPr>
          <w:rFonts w:eastAsiaTheme="minorEastAsia" w:cs="Times New Roman"/>
        </w:rPr>
        <w:t>p</w:t>
      </w:r>
      <w:r w:rsidR="007751CB">
        <w:rPr>
          <w:rFonts w:eastAsiaTheme="minorEastAsia" w:cs="Times New Roman"/>
        </w:rPr>
        <w:t>olítica (</w:t>
      </w:r>
      <w:r w:rsidR="00376BD9">
        <w:rPr>
          <w:rFonts w:eastAsiaTheme="minorEastAsia" w:cs="Times New Roman"/>
        </w:rPr>
        <w:t>C</w:t>
      </w:r>
      <w:r w:rsidR="007751CB">
        <w:rPr>
          <w:rFonts w:eastAsiaTheme="minorEastAsia" w:cs="Times New Roman"/>
        </w:rPr>
        <w:t xml:space="preserve">CP) </w:t>
      </w:r>
    </w:p>
    <w:p w14:paraId="01E30D4F" w14:textId="7B6AAF12" w:rsidR="007751CB" w:rsidRPr="00316207" w:rsidRDefault="0043154B" w:rsidP="007751CB">
      <w:pPr>
        <w:pStyle w:val="PargrafodaLista"/>
        <w:numPr>
          <w:ilvl w:val="0"/>
          <w:numId w:val="28"/>
        </w:numPr>
        <w:spacing w:before="240" w:line="360" w:lineRule="auto"/>
        <w:jc w:val="both"/>
        <w:rPr>
          <w:rFonts w:cs="Times New Roman"/>
        </w:rPr>
      </w:pPr>
      <m:oMath>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1</m:t>
            </m:r>
          </m:sub>
        </m:sSub>
      </m:oMath>
      <w:r w:rsidR="007751CB" w:rsidRPr="00316207">
        <w:rPr>
          <w:rFonts w:eastAsiaTheme="minorEastAsia" w:cs="Times New Roman"/>
        </w:rPr>
        <w:t xml:space="preserve">: A distribuição de ITM não é semelhante nos municípios de maior </w:t>
      </w:r>
      <w:r w:rsidR="00376BD9">
        <w:rPr>
          <w:rFonts w:eastAsiaTheme="minorEastAsia" w:cs="Times New Roman"/>
        </w:rPr>
        <w:t>c</w:t>
      </w:r>
      <w:r w:rsidR="007751CB" w:rsidRPr="00316207">
        <w:rPr>
          <w:rFonts w:eastAsiaTheme="minorEastAsia" w:cs="Times New Roman"/>
        </w:rPr>
        <w:t xml:space="preserve">ompetição </w:t>
      </w:r>
      <w:r w:rsidR="00376BD9">
        <w:rPr>
          <w:rFonts w:eastAsiaTheme="minorEastAsia" w:cs="Times New Roman"/>
        </w:rPr>
        <w:t>p</w:t>
      </w:r>
      <w:r w:rsidR="007751CB" w:rsidRPr="00316207">
        <w:rPr>
          <w:rFonts w:eastAsiaTheme="minorEastAsia" w:cs="Times New Roman"/>
        </w:rPr>
        <w:t xml:space="preserve">olítica e de menor </w:t>
      </w:r>
      <w:r w:rsidR="00376BD9">
        <w:rPr>
          <w:rFonts w:eastAsiaTheme="minorEastAsia" w:cs="Times New Roman"/>
        </w:rPr>
        <w:t>c</w:t>
      </w:r>
      <w:r w:rsidR="007751CB" w:rsidRPr="00316207">
        <w:rPr>
          <w:rFonts w:eastAsiaTheme="minorEastAsia" w:cs="Times New Roman"/>
        </w:rPr>
        <w:t xml:space="preserve">ompetição </w:t>
      </w:r>
      <w:r w:rsidR="00376BD9">
        <w:rPr>
          <w:rFonts w:eastAsiaTheme="minorEastAsia" w:cs="Times New Roman"/>
        </w:rPr>
        <w:t>p</w:t>
      </w:r>
      <w:r w:rsidR="007751CB" w:rsidRPr="00316207">
        <w:rPr>
          <w:rFonts w:eastAsiaTheme="minorEastAsia" w:cs="Times New Roman"/>
        </w:rPr>
        <w:t>olítica (</w:t>
      </w:r>
      <w:r w:rsidR="00376BD9">
        <w:rPr>
          <w:rFonts w:eastAsiaTheme="minorEastAsia" w:cs="Times New Roman"/>
        </w:rPr>
        <w:t>C</w:t>
      </w:r>
      <w:r w:rsidR="007751CB" w:rsidRPr="00316207">
        <w:rPr>
          <w:rFonts w:eastAsiaTheme="minorEastAsia" w:cs="Times New Roman"/>
        </w:rPr>
        <w:t>CP)</w:t>
      </w:r>
    </w:p>
    <w:p w14:paraId="7E822F8A" w14:textId="6C991AE2" w:rsidR="007751CB" w:rsidRPr="006357FA" w:rsidRDefault="007751CB" w:rsidP="007751CB">
      <w:pPr>
        <w:spacing w:line="360" w:lineRule="auto"/>
        <w:jc w:val="both"/>
        <w:rPr>
          <w:rFonts w:cs="Times New Roman"/>
        </w:rPr>
      </w:pPr>
      <w:r>
        <w:rPr>
          <w:rFonts w:cs="Times New Roman"/>
        </w:rPr>
        <w:t xml:space="preserve">Para realizar o teste de </w:t>
      </w:r>
      <w:r w:rsidRPr="00497E1B">
        <w:rPr>
          <w:rFonts w:cs="Times New Roman"/>
        </w:rPr>
        <w:t>Mann-</w:t>
      </w:r>
      <w:proofErr w:type="spellStart"/>
      <w:r w:rsidRPr="00497E1B">
        <w:rPr>
          <w:rFonts w:cs="Times New Roman"/>
        </w:rPr>
        <w:t>Whitney</w:t>
      </w:r>
      <w:proofErr w:type="spellEnd"/>
      <w:r>
        <w:rPr>
          <w:rFonts w:cs="Times New Roman"/>
        </w:rPr>
        <w:t xml:space="preserve">, a terceira variável de agrupamento foi a </w:t>
      </w:r>
      <w:r w:rsidR="00A5625E">
        <w:rPr>
          <w:rFonts w:cs="Times New Roman"/>
        </w:rPr>
        <w:t xml:space="preserve">variável de endividamento construída com base na </w:t>
      </w:r>
      <w:r>
        <w:rPr>
          <w:rFonts w:cs="Times New Roman"/>
        </w:rPr>
        <w:t>média do valor de endividamento (0 – municípios menos endividados e 1 – municípios mais endividados) de forma a comparar o comportamento do ITM. Neste caso, a</w:t>
      </w:r>
      <w:r w:rsidRPr="006357FA">
        <w:rPr>
          <w:rFonts w:cs="Times New Roman"/>
        </w:rPr>
        <w:t xml:space="preserve"> hipótese estatística do teste de </w:t>
      </w:r>
      <w:r w:rsidRPr="00497E1B">
        <w:rPr>
          <w:rFonts w:cs="Times New Roman"/>
        </w:rPr>
        <w:t>Mann-</w:t>
      </w:r>
      <w:proofErr w:type="spellStart"/>
      <w:r w:rsidRPr="00497E1B">
        <w:rPr>
          <w:rFonts w:cs="Times New Roman"/>
        </w:rPr>
        <w:t>Whitney</w:t>
      </w:r>
      <w:proofErr w:type="spellEnd"/>
      <w:r w:rsidRPr="006357FA">
        <w:rPr>
          <w:rFonts w:cs="Times New Roman"/>
        </w:rPr>
        <w:t xml:space="preserve"> é:</w:t>
      </w:r>
    </w:p>
    <w:p w14:paraId="6366C8E7" w14:textId="77777777" w:rsidR="007751CB" w:rsidRPr="00C808BF" w:rsidRDefault="0043154B" w:rsidP="007751CB">
      <w:pPr>
        <w:pStyle w:val="PargrafodaLista"/>
        <w:numPr>
          <w:ilvl w:val="0"/>
          <w:numId w:val="29"/>
        </w:numPr>
        <w:spacing w:line="360" w:lineRule="auto"/>
        <w:rPr>
          <w:rFonts w:cs="Times New Roman"/>
        </w:rPr>
      </w:pPr>
      <m:oMath>
        <m:sSub>
          <m:sSubPr>
            <m:ctrlPr>
              <w:rPr>
                <w:rFonts w:ascii="Cambria Math" w:hAnsi="Cambria Math" w:cs="Times New Roman"/>
              </w:rPr>
            </m:ctrlPr>
          </m:sSubPr>
          <m:e>
            <m:r>
              <w:rPr>
                <w:rFonts w:ascii="Cambria Math" w:hAnsi="Cambria Math" w:cs="Times New Roman"/>
              </w:rPr>
              <m:t>H</m:t>
            </m:r>
          </m:e>
          <m:sub>
            <m:r>
              <m:rPr>
                <m:sty m:val="p"/>
              </m:rPr>
              <w:rPr>
                <w:rFonts w:ascii="Cambria Math" w:hAnsi="Cambria Math" w:cs="Times New Roman"/>
              </w:rPr>
              <m:t>0</m:t>
            </m:r>
          </m:sub>
        </m:sSub>
        <m:r>
          <m:rPr>
            <m:sty m:val="p"/>
          </m:rPr>
          <w:rPr>
            <w:rFonts w:ascii="Cambria Math" w:hAnsi="Cambria Math" w:cs="Times New Roman"/>
          </w:rPr>
          <m:t xml:space="preserve">: </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1</m:t>
            </m:r>
          </m:sub>
        </m:sSub>
        <m:d>
          <m:dPr>
            <m:ctrlPr>
              <w:rPr>
                <w:rFonts w:ascii="Cambria Math" w:hAnsi="Cambria Math" w:cs="Times New Roman"/>
              </w:rPr>
            </m:ctrlPr>
          </m:dPr>
          <m:e>
            <m:r>
              <w:rPr>
                <w:rFonts w:ascii="Cambria Math" w:hAnsi="Cambria Math" w:cs="Times New Roman"/>
              </w:rPr>
              <m:t>Y</m:t>
            </m:r>
          </m:e>
        </m:d>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2</m:t>
            </m:r>
          </m:sub>
        </m:sSub>
        <m:r>
          <m:rPr>
            <m:sty m:val="p"/>
          </m:rPr>
          <w:rPr>
            <w:rFonts w:ascii="Cambria Math" w:hAnsi="Cambria Math" w:cs="Times New Roman"/>
          </w:rPr>
          <m:t>(</m:t>
        </m:r>
        <m:r>
          <w:rPr>
            <w:rFonts w:ascii="Cambria Math" w:hAnsi="Cambria Math" w:cs="Times New Roman"/>
          </w:rPr>
          <m:t>Y</m:t>
        </m:r>
        <m:r>
          <m:rPr>
            <m:sty m:val="p"/>
          </m:rPr>
          <w:rPr>
            <w:rFonts w:ascii="Cambria Math" w:hAnsi="Cambria Math" w:cs="Times New Roman"/>
          </w:rPr>
          <m:t>)</m:t>
        </m:r>
      </m:oMath>
      <w:r w:rsidR="007751CB" w:rsidRPr="00C808BF">
        <w:rPr>
          <w:rFonts w:cs="Times New Roman"/>
        </w:rPr>
        <w:t xml:space="preserve"> vs </w:t>
      </w:r>
      <m:oMath>
        <m:sSub>
          <m:sSubPr>
            <m:ctrlPr>
              <w:rPr>
                <w:rFonts w:ascii="Cambria Math" w:hAnsi="Cambria Math" w:cs="Times New Roman"/>
              </w:rPr>
            </m:ctrlPr>
          </m:sSubPr>
          <m:e>
            <m:r>
              <w:rPr>
                <w:rFonts w:ascii="Cambria Math" w:hAnsi="Cambria Math" w:cs="Times New Roman"/>
              </w:rPr>
              <m:t>H</m:t>
            </m:r>
          </m:e>
          <m:sub>
            <m:r>
              <m:rPr>
                <m:sty m:val="p"/>
              </m:rPr>
              <w:rPr>
                <w:rFonts w:ascii="Cambria Math" w:hAnsi="Cambria Math" w:cs="Times New Roman"/>
              </w:rPr>
              <m:t>1</m:t>
            </m:r>
          </m:sub>
        </m:sSub>
        <m:r>
          <m:rPr>
            <m:sty m:val="p"/>
          </m:rPr>
          <w:rPr>
            <w:rFonts w:ascii="Cambria Math" w:hAnsi="Cambria Math" w:cs="Times New Roman"/>
          </w:rPr>
          <m:t xml:space="preserve">: </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1</m:t>
            </m:r>
          </m:sub>
        </m:sSub>
        <m:d>
          <m:dPr>
            <m:ctrlPr>
              <w:rPr>
                <w:rFonts w:ascii="Cambria Math" w:hAnsi="Cambria Math" w:cs="Times New Roman"/>
              </w:rPr>
            </m:ctrlPr>
          </m:dPr>
          <m:e>
            <m:r>
              <w:rPr>
                <w:rFonts w:ascii="Cambria Math" w:hAnsi="Cambria Math" w:cs="Times New Roman"/>
              </w:rPr>
              <m:t>Y</m:t>
            </m:r>
          </m:e>
        </m:d>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2</m:t>
            </m:r>
          </m:sub>
        </m:sSub>
        <m:r>
          <m:rPr>
            <m:sty m:val="p"/>
          </m:rPr>
          <w:rPr>
            <w:rFonts w:ascii="Cambria Math" w:hAnsi="Cambria Math" w:cs="Times New Roman"/>
          </w:rPr>
          <m:t>(</m:t>
        </m:r>
        <m:r>
          <w:rPr>
            <w:rFonts w:ascii="Cambria Math" w:hAnsi="Cambria Math" w:cs="Times New Roman"/>
          </w:rPr>
          <m:t>Y</m:t>
        </m:r>
        <m:r>
          <m:rPr>
            <m:sty m:val="p"/>
          </m:rPr>
          <w:rPr>
            <w:rFonts w:ascii="Cambria Math" w:hAnsi="Cambria Math" w:cs="Times New Roman"/>
          </w:rPr>
          <m:t>)</m:t>
        </m:r>
      </m:oMath>
      <w:r w:rsidR="007751CB" w:rsidRPr="00C808BF">
        <w:rPr>
          <w:rFonts w:cs="Times New Roman"/>
        </w:rPr>
        <w:t>, para um teste bilateral</w:t>
      </w:r>
    </w:p>
    <w:p w14:paraId="79363BED" w14:textId="77777777" w:rsidR="007751CB" w:rsidRDefault="007751CB" w:rsidP="007751CB">
      <w:pPr>
        <w:spacing w:line="360" w:lineRule="auto"/>
        <w:jc w:val="both"/>
        <w:rPr>
          <w:rFonts w:cs="Times New Roman"/>
          <w:i/>
          <w:iCs/>
        </w:rPr>
      </w:pPr>
      <w:r w:rsidRPr="006357FA">
        <w:rPr>
          <w:rFonts w:cs="Times New Roman"/>
        </w:rPr>
        <w:t xml:space="preserve">Em que: </w:t>
      </w:r>
      <m:oMath>
        <m:sSub>
          <m:sSubPr>
            <m:ctrlPr>
              <w:rPr>
                <w:rFonts w:ascii="Cambria Math" w:hAnsi="Cambria Math" w:cs="Times New Roman"/>
              </w:rPr>
            </m:ctrlPr>
          </m:sSubPr>
          <m:e>
            <m:r>
              <w:rPr>
                <w:rFonts w:ascii="Cambria Math" w:hAnsi="Cambria Math" w:cs="Times New Roman"/>
              </w:rPr>
              <m:t>F</m:t>
            </m:r>
          </m:e>
          <m:sub>
            <m:r>
              <w:rPr>
                <w:rFonts w:ascii="Cambria Math" w:hAnsi="Cambria Math" w:cs="Times New Roman"/>
              </w:rPr>
              <m:t>i</m:t>
            </m:r>
          </m:sub>
        </m:sSub>
        <m:d>
          <m:dPr>
            <m:ctrlPr>
              <w:rPr>
                <w:rFonts w:ascii="Cambria Math" w:hAnsi="Cambria Math" w:cs="Times New Roman"/>
              </w:rPr>
            </m:ctrlPr>
          </m:dPr>
          <m:e>
            <m:r>
              <w:rPr>
                <w:rFonts w:ascii="Cambria Math" w:hAnsi="Cambria Math" w:cs="Times New Roman"/>
              </w:rPr>
              <m:t>Y</m:t>
            </m:r>
          </m:e>
        </m:d>
        <m:r>
          <w:rPr>
            <w:rFonts w:ascii="Cambria Math" w:hAnsi="Cambria Math" w:cs="Times New Roman"/>
          </w:rPr>
          <m:t xml:space="preserve">,  </m:t>
        </m:r>
        <m:r>
          <m:rPr>
            <m:sty m:val="p"/>
          </m:rPr>
          <w:rPr>
            <w:rFonts w:ascii="Cambria Math" w:hAnsi="Cambria Math" w:cs="Times New Roman"/>
          </w:rPr>
          <m:t>com</m:t>
        </m:r>
        <m:r>
          <w:rPr>
            <w:rFonts w:ascii="Cambria Math" w:hAnsi="Cambria Math" w:cs="Times New Roman"/>
          </w:rPr>
          <m:t xml:space="preserve"> i=1,2</m:t>
        </m:r>
      </m:oMath>
      <w:r w:rsidRPr="006357FA">
        <w:rPr>
          <w:rFonts w:cs="Times New Roman"/>
        </w:rPr>
        <w:t xml:space="preserve"> representa a função de distribuição da variável Y na população </w:t>
      </w:r>
      <w:r w:rsidRPr="006357FA">
        <w:rPr>
          <w:rFonts w:cs="Times New Roman"/>
          <w:i/>
          <w:iCs/>
        </w:rPr>
        <w:t>i</w:t>
      </w:r>
      <w:r>
        <w:rPr>
          <w:rFonts w:cs="Times New Roman"/>
          <w:i/>
          <w:iCs/>
        </w:rPr>
        <w:t xml:space="preserve">, </w:t>
      </w:r>
      <w:r>
        <w:rPr>
          <w:rFonts w:cs="Times New Roman"/>
        </w:rPr>
        <w:t>municípios menos endividados e municípios mais endividados.</w:t>
      </w:r>
      <w:r>
        <w:rPr>
          <w:rFonts w:cs="Times New Roman"/>
          <w:i/>
          <w:iCs/>
        </w:rPr>
        <w:t xml:space="preserve"> </w:t>
      </w:r>
    </w:p>
    <w:p w14:paraId="30A5F686" w14:textId="77777777" w:rsidR="007751CB" w:rsidRDefault="007751CB" w:rsidP="007751CB">
      <w:pPr>
        <w:spacing w:before="240" w:line="360" w:lineRule="auto"/>
        <w:jc w:val="both"/>
        <w:rPr>
          <w:rFonts w:cs="Times New Roman"/>
        </w:rPr>
      </w:pPr>
      <w:r>
        <w:rPr>
          <w:rFonts w:cs="Times New Roman"/>
        </w:rPr>
        <w:t>As hipóteses alvo de estudo foram:</w:t>
      </w:r>
    </w:p>
    <w:p w14:paraId="69EF3D3B" w14:textId="77777777" w:rsidR="007751CB" w:rsidRPr="006357FA" w:rsidRDefault="0043154B" w:rsidP="007751CB">
      <w:pPr>
        <w:pStyle w:val="PargrafodaLista"/>
        <w:numPr>
          <w:ilvl w:val="0"/>
          <w:numId w:val="28"/>
        </w:numPr>
        <w:spacing w:line="360" w:lineRule="auto"/>
        <w:jc w:val="both"/>
        <w:rPr>
          <w:rFonts w:cs="Times New Roman"/>
        </w:rPr>
      </w:pPr>
      <m:oMath>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0</m:t>
            </m:r>
          </m:sub>
        </m:sSub>
      </m:oMath>
      <w:r w:rsidR="007751CB">
        <w:rPr>
          <w:rFonts w:eastAsiaTheme="minorEastAsia" w:cs="Times New Roman"/>
        </w:rPr>
        <w:t xml:space="preserve">: A distribuição de ITM é semelhante nos municípios mais endividados e nos municípios menos endividados (MVEnd) </w:t>
      </w:r>
    </w:p>
    <w:p w14:paraId="1A0CF660" w14:textId="759FD8F2" w:rsidR="007751CB" w:rsidRPr="00293A6B" w:rsidRDefault="0043154B" w:rsidP="007751CB">
      <w:pPr>
        <w:pStyle w:val="PargrafodaLista"/>
        <w:numPr>
          <w:ilvl w:val="0"/>
          <w:numId w:val="28"/>
        </w:numPr>
        <w:spacing w:line="360" w:lineRule="auto"/>
        <w:jc w:val="both"/>
        <w:rPr>
          <w:rFonts w:cs="Times New Roman"/>
        </w:rPr>
      </w:pPr>
      <m:oMath>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1</m:t>
            </m:r>
          </m:sub>
        </m:sSub>
      </m:oMath>
      <w:r w:rsidR="007751CB" w:rsidRPr="00155184">
        <w:rPr>
          <w:rFonts w:eastAsiaTheme="minorEastAsia" w:cs="Times New Roman"/>
        </w:rPr>
        <w:t xml:space="preserve">: A distribuição de ITM </w:t>
      </w:r>
      <w:r w:rsidR="007751CB">
        <w:rPr>
          <w:rFonts w:eastAsiaTheme="minorEastAsia" w:cs="Times New Roman"/>
        </w:rPr>
        <w:t xml:space="preserve">não é semelhante nos municípios mais endividados e nos municípios menos endividados (MVEnd) </w:t>
      </w:r>
    </w:p>
    <w:p w14:paraId="7B8CE955" w14:textId="2294D611" w:rsidR="00293A6B" w:rsidRDefault="00293A6B" w:rsidP="00293A6B">
      <w:pPr>
        <w:spacing w:line="360" w:lineRule="auto"/>
        <w:jc w:val="both"/>
        <w:rPr>
          <w:rFonts w:cs="Times New Roman"/>
        </w:rPr>
      </w:pPr>
      <w:r>
        <w:rPr>
          <w:rFonts w:cs="Times New Roman"/>
        </w:rPr>
        <w:t>De seguida, a variável de agrupamento foi a</w:t>
      </w:r>
      <w:r w:rsidR="00A5625E" w:rsidRPr="00A5625E">
        <w:rPr>
          <w:rFonts w:cs="Times New Roman"/>
        </w:rPr>
        <w:t xml:space="preserve"> </w:t>
      </w:r>
      <w:r w:rsidR="00A5625E">
        <w:rPr>
          <w:rFonts w:cs="Times New Roman"/>
        </w:rPr>
        <w:t xml:space="preserve">variável despesa efetiva </w:t>
      </w:r>
      <w:r w:rsidR="00A5625E" w:rsidRPr="00A5625E">
        <w:rPr>
          <w:rFonts w:cs="Times New Roman"/>
          <w:i/>
          <w:iCs/>
        </w:rPr>
        <w:t>per capita</w:t>
      </w:r>
      <w:r w:rsidR="00A5625E">
        <w:rPr>
          <w:rFonts w:cs="Times New Roman"/>
        </w:rPr>
        <w:t xml:space="preserve"> construída com base no valor médio</w:t>
      </w:r>
      <w:r w:rsidR="006950B5">
        <w:rPr>
          <w:rFonts w:cs="Times New Roman"/>
        </w:rPr>
        <w:t xml:space="preserve"> </w:t>
      </w:r>
      <w:r w:rsidR="00A5625E">
        <w:rPr>
          <w:rFonts w:cs="Times New Roman"/>
        </w:rPr>
        <w:t xml:space="preserve">dessa mesma variável </w:t>
      </w:r>
      <w:r>
        <w:rPr>
          <w:rFonts w:cs="Times New Roman"/>
        </w:rPr>
        <w:t xml:space="preserve">como definida anteriormente (1 – municípios com </w:t>
      </w:r>
      <w:r w:rsidR="000A23D0">
        <w:rPr>
          <w:rFonts w:eastAsiaTheme="minorEastAsia" w:cs="Times New Roman"/>
        </w:rPr>
        <w:t xml:space="preserve">despesas efetivas </w:t>
      </w:r>
      <w:r w:rsidR="000A23D0" w:rsidRPr="00506E82">
        <w:rPr>
          <w:rFonts w:eastAsiaTheme="minorEastAsia" w:cs="Times New Roman"/>
          <w:i/>
          <w:iCs/>
        </w:rPr>
        <w:t>per capita</w:t>
      </w:r>
      <w:r w:rsidR="000A23D0">
        <w:rPr>
          <w:rFonts w:eastAsiaTheme="minorEastAsia" w:cs="Times New Roman"/>
        </w:rPr>
        <w:t xml:space="preserve"> </w:t>
      </w:r>
      <w:r>
        <w:rPr>
          <w:rFonts w:cs="Times New Roman"/>
        </w:rPr>
        <w:t xml:space="preserve">elevada e 0 – municípios com </w:t>
      </w:r>
      <w:r w:rsidR="000A23D0">
        <w:rPr>
          <w:rFonts w:eastAsiaTheme="minorEastAsia" w:cs="Times New Roman"/>
        </w:rPr>
        <w:t xml:space="preserve">despesas efetivas </w:t>
      </w:r>
      <w:r w:rsidR="000A23D0" w:rsidRPr="00506E82">
        <w:rPr>
          <w:rFonts w:eastAsiaTheme="minorEastAsia" w:cs="Times New Roman"/>
          <w:i/>
          <w:iCs/>
        </w:rPr>
        <w:t>per capita</w:t>
      </w:r>
      <w:r w:rsidR="000A23D0">
        <w:rPr>
          <w:rFonts w:eastAsiaTheme="minorEastAsia" w:cs="Times New Roman"/>
        </w:rPr>
        <w:t xml:space="preserve"> </w:t>
      </w:r>
      <w:r>
        <w:rPr>
          <w:rFonts w:cs="Times New Roman"/>
        </w:rPr>
        <w:t>baixas) e o que pretendemos comparar é o comportamento do ITM.</w:t>
      </w:r>
    </w:p>
    <w:p w14:paraId="67E06A52" w14:textId="77777777" w:rsidR="00293A6B" w:rsidRPr="006357FA" w:rsidRDefault="00293A6B" w:rsidP="00293A6B">
      <w:pPr>
        <w:spacing w:line="360" w:lineRule="auto"/>
        <w:jc w:val="both"/>
        <w:rPr>
          <w:rFonts w:cs="Times New Roman"/>
        </w:rPr>
      </w:pPr>
      <w:r w:rsidRPr="006357FA">
        <w:rPr>
          <w:rFonts w:cs="Times New Roman"/>
        </w:rPr>
        <w:t xml:space="preserve">A hipótese estatística do teste de </w:t>
      </w:r>
      <w:r w:rsidRPr="00497E1B">
        <w:rPr>
          <w:rFonts w:cs="Times New Roman"/>
        </w:rPr>
        <w:t>Mann-</w:t>
      </w:r>
      <w:proofErr w:type="spellStart"/>
      <w:r w:rsidRPr="00497E1B">
        <w:rPr>
          <w:rFonts w:cs="Times New Roman"/>
        </w:rPr>
        <w:t>Whitney</w:t>
      </w:r>
      <w:proofErr w:type="spellEnd"/>
      <w:r w:rsidRPr="006357FA">
        <w:rPr>
          <w:rFonts w:cs="Times New Roman"/>
        </w:rPr>
        <w:t xml:space="preserve"> é:</w:t>
      </w:r>
    </w:p>
    <w:p w14:paraId="275BC327" w14:textId="77777777" w:rsidR="00293A6B" w:rsidRPr="00C808BF" w:rsidRDefault="0043154B" w:rsidP="00293A6B">
      <w:pPr>
        <w:pStyle w:val="PargrafodaLista"/>
        <w:numPr>
          <w:ilvl w:val="0"/>
          <w:numId w:val="29"/>
        </w:numPr>
        <w:spacing w:line="360" w:lineRule="auto"/>
        <w:rPr>
          <w:rFonts w:cs="Times New Roman"/>
        </w:rPr>
      </w:pPr>
      <m:oMath>
        <m:sSub>
          <m:sSubPr>
            <m:ctrlPr>
              <w:rPr>
                <w:rFonts w:ascii="Cambria Math" w:hAnsi="Cambria Math" w:cs="Times New Roman"/>
              </w:rPr>
            </m:ctrlPr>
          </m:sSubPr>
          <m:e>
            <m:r>
              <w:rPr>
                <w:rFonts w:ascii="Cambria Math" w:hAnsi="Cambria Math" w:cs="Times New Roman"/>
              </w:rPr>
              <m:t>H</m:t>
            </m:r>
          </m:e>
          <m:sub>
            <m:r>
              <m:rPr>
                <m:sty m:val="p"/>
              </m:rPr>
              <w:rPr>
                <w:rFonts w:ascii="Cambria Math" w:hAnsi="Cambria Math" w:cs="Times New Roman"/>
              </w:rPr>
              <m:t>0</m:t>
            </m:r>
          </m:sub>
        </m:sSub>
        <m:r>
          <m:rPr>
            <m:sty m:val="p"/>
          </m:rPr>
          <w:rPr>
            <w:rFonts w:ascii="Cambria Math" w:hAnsi="Cambria Math" w:cs="Times New Roman"/>
          </w:rPr>
          <m:t xml:space="preserve">: </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1</m:t>
            </m:r>
          </m:sub>
        </m:sSub>
        <m:d>
          <m:dPr>
            <m:ctrlPr>
              <w:rPr>
                <w:rFonts w:ascii="Cambria Math" w:hAnsi="Cambria Math" w:cs="Times New Roman"/>
              </w:rPr>
            </m:ctrlPr>
          </m:dPr>
          <m:e>
            <m:r>
              <w:rPr>
                <w:rFonts w:ascii="Cambria Math" w:hAnsi="Cambria Math" w:cs="Times New Roman"/>
              </w:rPr>
              <m:t>Y</m:t>
            </m:r>
          </m:e>
        </m:d>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2</m:t>
            </m:r>
          </m:sub>
        </m:sSub>
        <m:r>
          <m:rPr>
            <m:sty m:val="p"/>
          </m:rPr>
          <w:rPr>
            <w:rFonts w:ascii="Cambria Math" w:hAnsi="Cambria Math" w:cs="Times New Roman"/>
          </w:rPr>
          <m:t>(</m:t>
        </m:r>
        <m:r>
          <w:rPr>
            <w:rFonts w:ascii="Cambria Math" w:hAnsi="Cambria Math" w:cs="Times New Roman"/>
          </w:rPr>
          <m:t>Y</m:t>
        </m:r>
        <m:r>
          <m:rPr>
            <m:sty m:val="p"/>
          </m:rPr>
          <w:rPr>
            <w:rFonts w:ascii="Cambria Math" w:hAnsi="Cambria Math" w:cs="Times New Roman"/>
          </w:rPr>
          <m:t>)</m:t>
        </m:r>
      </m:oMath>
      <w:r w:rsidR="00293A6B" w:rsidRPr="00C808BF">
        <w:rPr>
          <w:rFonts w:cs="Times New Roman"/>
        </w:rPr>
        <w:t xml:space="preserve"> vs </w:t>
      </w:r>
      <m:oMath>
        <m:sSub>
          <m:sSubPr>
            <m:ctrlPr>
              <w:rPr>
                <w:rFonts w:ascii="Cambria Math" w:hAnsi="Cambria Math" w:cs="Times New Roman"/>
              </w:rPr>
            </m:ctrlPr>
          </m:sSubPr>
          <m:e>
            <m:r>
              <w:rPr>
                <w:rFonts w:ascii="Cambria Math" w:hAnsi="Cambria Math" w:cs="Times New Roman"/>
              </w:rPr>
              <m:t>H</m:t>
            </m:r>
          </m:e>
          <m:sub>
            <m:r>
              <m:rPr>
                <m:sty m:val="p"/>
              </m:rPr>
              <w:rPr>
                <w:rFonts w:ascii="Cambria Math" w:hAnsi="Cambria Math" w:cs="Times New Roman"/>
              </w:rPr>
              <m:t>1</m:t>
            </m:r>
          </m:sub>
        </m:sSub>
        <m:r>
          <m:rPr>
            <m:sty m:val="p"/>
          </m:rPr>
          <w:rPr>
            <w:rFonts w:ascii="Cambria Math" w:hAnsi="Cambria Math" w:cs="Times New Roman"/>
          </w:rPr>
          <m:t xml:space="preserve">: </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1</m:t>
            </m:r>
          </m:sub>
        </m:sSub>
        <m:d>
          <m:dPr>
            <m:ctrlPr>
              <w:rPr>
                <w:rFonts w:ascii="Cambria Math" w:hAnsi="Cambria Math" w:cs="Times New Roman"/>
              </w:rPr>
            </m:ctrlPr>
          </m:dPr>
          <m:e>
            <m:r>
              <w:rPr>
                <w:rFonts w:ascii="Cambria Math" w:hAnsi="Cambria Math" w:cs="Times New Roman"/>
              </w:rPr>
              <m:t>Y</m:t>
            </m:r>
          </m:e>
        </m:d>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2</m:t>
            </m:r>
          </m:sub>
        </m:sSub>
        <m:r>
          <m:rPr>
            <m:sty m:val="p"/>
          </m:rPr>
          <w:rPr>
            <w:rFonts w:ascii="Cambria Math" w:hAnsi="Cambria Math" w:cs="Times New Roman"/>
          </w:rPr>
          <m:t>(</m:t>
        </m:r>
        <m:r>
          <w:rPr>
            <w:rFonts w:ascii="Cambria Math" w:hAnsi="Cambria Math" w:cs="Times New Roman"/>
          </w:rPr>
          <m:t>Y</m:t>
        </m:r>
        <m:r>
          <m:rPr>
            <m:sty m:val="p"/>
          </m:rPr>
          <w:rPr>
            <w:rFonts w:ascii="Cambria Math" w:hAnsi="Cambria Math" w:cs="Times New Roman"/>
          </w:rPr>
          <m:t>)</m:t>
        </m:r>
      </m:oMath>
      <w:r w:rsidR="00293A6B" w:rsidRPr="00C808BF">
        <w:rPr>
          <w:rFonts w:cs="Times New Roman"/>
        </w:rPr>
        <w:t>, para um teste bilateral</w:t>
      </w:r>
    </w:p>
    <w:p w14:paraId="065A7036" w14:textId="67675038" w:rsidR="00293A6B" w:rsidRPr="006357FA" w:rsidRDefault="00293A6B" w:rsidP="00293A6B">
      <w:pPr>
        <w:spacing w:line="360" w:lineRule="auto"/>
        <w:jc w:val="both"/>
        <w:rPr>
          <w:rFonts w:cs="Times New Roman"/>
        </w:rPr>
      </w:pPr>
      <w:r w:rsidRPr="006357FA">
        <w:rPr>
          <w:rFonts w:cs="Times New Roman"/>
        </w:rPr>
        <w:t xml:space="preserve">Em que: </w:t>
      </w:r>
      <m:oMath>
        <m:sSub>
          <m:sSubPr>
            <m:ctrlPr>
              <w:rPr>
                <w:rFonts w:ascii="Cambria Math" w:hAnsi="Cambria Math" w:cs="Times New Roman"/>
              </w:rPr>
            </m:ctrlPr>
          </m:sSubPr>
          <m:e>
            <m:r>
              <w:rPr>
                <w:rFonts w:ascii="Cambria Math" w:hAnsi="Cambria Math" w:cs="Times New Roman"/>
              </w:rPr>
              <m:t>F</m:t>
            </m:r>
          </m:e>
          <m:sub>
            <m:r>
              <w:rPr>
                <w:rFonts w:ascii="Cambria Math" w:hAnsi="Cambria Math" w:cs="Times New Roman"/>
              </w:rPr>
              <m:t>i</m:t>
            </m:r>
          </m:sub>
        </m:sSub>
        <m:d>
          <m:dPr>
            <m:ctrlPr>
              <w:rPr>
                <w:rFonts w:ascii="Cambria Math" w:hAnsi="Cambria Math" w:cs="Times New Roman"/>
              </w:rPr>
            </m:ctrlPr>
          </m:dPr>
          <m:e>
            <m:r>
              <w:rPr>
                <w:rFonts w:ascii="Cambria Math" w:hAnsi="Cambria Math" w:cs="Times New Roman"/>
              </w:rPr>
              <m:t>Y</m:t>
            </m:r>
          </m:e>
        </m:d>
        <m:r>
          <w:rPr>
            <w:rFonts w:ascii="Cambria Math" w:hAnsi="Cambria Math" w:cs="Times New Roman"/>
          </w:rPr>
          <m:t xml:space="preserve">,  </m:t>
        </m:r>
        <m:r>
          <m:rPr>
            <m:sty m:val="p"/>
          </m:rPr>
          <w:rPr>
            <w:rFonts w:ascii="Cambria Math" w:hAnsi="Cambria Math" w:cs="Times New Roman"/>
          </w:rPr>
          <m:t>com</m:t>
        </m:r>
        <m:r>
          <w:rPr>
            <w:rFonts w:ascii="Cambria Math" w:hAnsi="Cambria Math" w:cs="Times New Roman"/>
          </w:rPr>
          <m:t xml:space="preserve"> i=1,2</m:t>
        </m:r>
      </m:oMath>
      <w:r w:rsidRPr="006357FA">
        <w:rPr>
          <w:rFonts w:cs="Times New Roman"/>
        </w:rPr>
        <w:t xml:space="preserve"> representa a função de distribuição da variável Y na população </w:t>
      </w:r>
      <w:r w:rsidRPr="006357FA">
        <w:rPr>
          <w:rFonts w:cs="Times New Roman"/>
          <w:i/>
          <w:iCs/>
        </w:rPr>
        <w:t>i</w:t>
      </w:r>
      <w:r>
        <w:rPr>
          <w:rFonts w:cs="Times New Roman"/>
          <w:i/>
          <w:iCs/>
        </w:rPr>
        <w:t xml:space="preserve">, </w:t>
      </w:r>
      <w:r>
        <w:rPr>
          <w:rFonts w:cs="Times New Roman"/>
        </w:rPr>
        <w:t xml:space="preserve">municípios com elevadas </w:t>
      </w:r>
      <w:r w:rsidR="000A23D0">
        <w:rPr>
          <w:rFonts w:eastAsiaTheme="minorEastAsia" w:cs="Times New Roman"/>
        </w:rPr>
        <w:t xml:space="preserve">despesas efetivas </w:t>
      </w:r>
      <w:r w:rsidR="000A23D0" w:rsidRPr="00506E82">
        <w:rPr>
          <w:rFonts w:eastAsiaTheme="minorEastAsia" w:cs="Times New Roman"/>
          <w:i/>
          <w:iCs/>
        </w:rPr>
        <w:t>per capita</w:t>
      </w:r>
      <w:r>
        <w:rPr>
          <w:rFonts w:cs="Times New Roman"/>
        </w:rPr>
        <w:t xml:space="preserve">, municípios com baixas </w:t>
      </w:r>
      <w:r w:rsidR="000A23D0">
        <w:rPr>
          <w:rFonts w:eastAsiaTheme="minorEastAsia" w:cs="Times New Roman"/>
        </w:rPr>
        <w:t xml:space="preserve">despesas efetivas </w:t>
      </w:r>
      <w:r w:rsidR="000A23D0" w:rsidRPr="00506E82">
        <w:rPr>
          <w:rFonts w:eastAsiaTheme="minorEastAsia" w:cs="Times New Roman"/>
          <w:i/>
          <w:iCs/>
        </w:rPr>
        <w:t>per capita</w:t>
      </w:r>
      <w:r>
        <w:rPr>
          <w:rFonts w:cs="Times New Roman"/>
        </w:rPr>
        <w:t>.</w:t>
      </w:r>
      <w:r>
        <w:rPr>
          <w:rFonts w:cs="Times New Roman"/>
          <w:i/>
          <w:iCs/>
        </w:rPr>
        <w:t xml:space="preserve"> </w:t>
      </w:r>
    </w:p>
    <w:p w14:paraId="568F6E34" w14:textId="77777777" w:rsidR="00293A6B" w:rsidRDefault="00293A6B" w:rsidP="00293A6B">
      <w:pPr>
        <w:spacing w:line="360" w:lineRule="auto"/>
        <w:jc w:val="both"/>
        <w:rPr>
          <w:rFonts w:cs="Times New Roman"/>
        </w:rPr>
      </w:pPr>
      <w:r>
        <w:rPr>
          <w:rFonts w:cs="Times New Roman"/>
        </w:rPr>
        <w:t>As hipóteses estatísticas formuladas foram:</w:t>
      </w:r>
    </w:p>
    <w:p w14:paraId="5783AFA2" w14:textId="652B9E8B" w:rsidR="00293A6B" w:rsidRPr="006357FA" w:rsidRDefault="0043154B" w:rsidP="00293A6B">
      <w:pPr>
        <w:pStyle w:val="PargrafodaLista"/>
        <w:numPr>
          <w:ilvl w:val="0"/>
          <w:numId w:val="28"/>
        </w:numPr>
        <w:spacing w:line="360" w:lineRule="auto"/>
        <w:jc w:val="both"/>
        <w:rPr>
          <w:rFonts w:cs="Times New Roman"/>
        </w:rPr>
      </w:pPr>
      <m:oMath>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0</m:t>
            </m:r>
          </m:sub>
        </m:sSub>
      </m:oMath>
      <w:r w:rsidR="00293A6B" w:rsidRPr="00FC4481">
        <w:rPr>
          <w:rFonts w:eastAsiaTheme="minorEastAsia" w:cs="Times New Roman"/>
        </w:rPr>
        <w:t>: A distribuição de ITM é se</w:t>
      </w:r>
      <w:proofErr w:type="spellStart"/>
      <w:r w:rsidR="00293A6B" w:rsidRPr="00FC4481">
        <w:rPr>
          <w:rFonts w:eastAsiaTheme="minorEastAsia" w:cs="Times New Roman"/>
        </w:rPr>
        <w:t>melhante</w:t>
      </w:r>
      <w:proofErr w:type="spellEnd"/>
      <w:r w:rsidR="00293A6B" w:rsidRPr="00FC4481">
        <w:rPr>
          <w:rFonts w:eastAsiaTheme="minorEastAsia" w:cs="Times New Roman"/>
        </w:rPr>
        <w:t xml:space="preserve"> nos municípios </w:t>
      </w:r>
      <w:r w:rsidR="00293A6B">
        <w:rPr>
          <w:rFonts w:eastAsiaTheme="minorEastAsia" w:cs="Times New Roman"/>
        </w:rPr>
        <w:t xml:space="preserve">com elevadas </w:t>
      </w:r>
      <w:r w:rsidR="000A23D0">
        <w:rPr>
          <w:rFonts w:eastAsiaTheme="minorEastAsia" w:cs="Times New Roman"/>
        </w:rPr>
        <w:t xml:space="preserve">despesas efetivas </w:t>
      </w:r>
      <w:r w:rsidR="000A23D0" w:rsidRPr="00506E82">
        <w:rPr>
          <w:rFonts w:eastAsiaTheme="minorEastAsia" w:cs="Times New Roman"/>
          <w:i/>
          <w:iCs/>
        </w:rPr>
        <w:t>per capita</w:t>
      </w:r>
      <w:r w:rsidR="00293A6B">
        <w:rPr>
          <w:rFonts w:eastAsiaTheme="minorEastAsia" w:cs="Times New Roman"/>
        </w:rPr>
        <w:t xml:space="preserve"> e municípios com baixas </w:t>
      </w:r>
      <w:r w:rsidR="000A23D0">
        <w:rPr>
          <w:rFonts w:eastAsiaTheme="minorEastAsia" w:cs="Times New Roman"/>
        </w:rPr>
        <w:t xml:space="preserve">despesas efetivas </w:t>
      </w:r>
      <w:r w:rsidR="000A23D0" w:rsidRPr="00506E82">
        <w:rPr>
          <w:rFonts w:eastAsiaTheme="minorEastAsia" w:cs="Times New Roman"/>
          <w:i/>
          <w:iCs/>
        </w:rPr>
        <w:t>per capita</w:t>
      </w:r>
      <w:r w:rsidR="00293A6B">
        <w:rPr>
          <w:rFonts w:eastAsiaTheme="minorEastAsia" w:cs="Times New Roman"/>
        </w:rPr>
        <w:t xml:space="preserve"> </w:t>
      </w:r>
      <w:r w:rsidR="00293A6B" w:rsidRPr="00FC4481">
        <w:rPr>
          <w:rFonts w:eastAsiaTheme="minorEastAsia" w:cs="Times New Roman"/>
        </w:rPr>
        <w:t>(</w:t>
      </w:r>
      <w:r w:rsidR="00137F6F">
        <w:rPr>
          <w:rFonts w:eastAsiaTheme="minorEastAsia" w:cs="Times New Roman"/>
        </w:rPr>
        <w:t>M</w:t>
      </w:r>
      <w:r w:rsidR="00293A6B">
        <w:rPr>
          <w:rFonts w:eastAsiaTheme="minorEastAsia" w:cs="Times New Roman"/>
        </w:rPr>
        <w:t>D</w:t>
      </w:r>
      <w:r w:rsidR="000A23D0">
        <w:rPr>
          <w:rFonts w:eastAsiaTheme="minorEastAsia" w:cs="Times New Roman"/>
        </w:rPr>
        <w:t>E</w:t>
      </w:r>
      <w:r w:rsidR="00293A6B" w:rsidRPr="00FC4481">
        <w:rPr>
          <w:rFonts w:eastAsiaTheme="minorEastAsia" w:cs="Times New Roman"/>
        </w:rPr>
        <w:t xml:space="preserve">) </w:t>
      </w:r>
    </w:p>
    <w:p w14:paraId="71F5C585" w14:textId="7EFD0BA5" w:rsidR="00293A6B" w:rsidRPr="00D7126D" w:rsidRDefault="0043154B" w:rsidP="00293A6B">
      <w:pPr>
        <w:pStyle w:val="PargrafodaLista"/>
        <w:numPr>
          <w:ilvl w:val="0"/>
          <w:numId w:val="28"/>
        </w:numPr>
        <w:spacing w:line="360" w:lineRule="auto"/>
        <w:jc w:val="both"/>
        <w:rPr>
          <w:rFonts w:cs="Times New Roman"/>
        </w:rPr>
      </w:pPr>
      <m:oMath>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1</m:t>
            </m:r>
          </m:sub>
        </m:sSub>
      </m:oMath>
      <w:r w:rsidR="00293A6B" w:rsidRPr="00FC4481">
        <w:rPr>
          <w:rFonts w:eastAsiaTheme="minorEastAsia" w:cs="Times New Roman"/>
        </w:rPr>
        <w:t>: A distr</w:t>
      </w:r>
      <w:proofErr w:type="spellStart"/>
      <w:r w:rsidR="00293A6B" w:rsidRPr="00FC4481">
        <w:rPr>
          <w:rFonts w:eastAsiaTheme="minorEastAsia" w:cs="Times New Roman"/>
        </w:rPr>
        <w:t>ibuição</w:t>
      </w:r>
      <w:proofErr w:type="spellEnd"/>
      <w:r w:rsidR="00293A6B" w:rsidRPr="00FC4481">
        <w:rPr>
          <w:rFonts w:eastAsiaTheme="minorEastAsia" w:cs="Times New Roman"/>
        </w:rPr>
        <w:t xml:space="preserve"> de ITM não é semelhante nos municípios </w:t>
      </w:r>
      <w:r w:rsidR="00293A6B">
        <w:rPr>
          <w:rFonts w:eastAsiaTheme="minorEastAsia" w:cs="Times New Roman"/>
        </w:rPr>
        <w:t xml:space="preserve">com elevadas </w:t>
      </w:r>
      <w:r w:rsidR="000A23D0">
        <w:rPr>
          <w:rFonts w:eastAsiaTheme="minorEastAsia" w:cs="Times New Roman"/>
        </w:rPr>
        <w:t xml:space="preserve">despesas efetivas </w:t>
      </w:r>
      <w:r w:rsidR="000A23D0" w:rsidRPr="00506E82">
        <w:rPr>
          <w:rFonts w:eastAsiaTheme="minorEastAsia" w:cs="Times New Roman"/>
          <w:i/>
          <w:iCs/>
        </w:rPr>
        <w:t>per capita</w:t>
      </w:r>
      <w:r w:rsidR="000A23D0">
        <w:rPr>
          <w:rFonts w:eastAsiaTheme="minorEastAsia" w:cs="Times New Roman"/>
        </w:rPr>
        <w:t xml:space="preserve"> </w:t>
      </w:r>
      <w:r w:rsidR="00293A6B">
        <w:rPr>
          <w:rFonts w:eastAsiaTheme="minorEastAsia" w:cs="Times New Roman"/>
        </w:rPr>
        <w:t xml:space="preserve">e municípios com baixas </w:t>
      </w:r>
      <w:r w:rsidR="000A23D0">
        <w:rPr>
          <w:rFonts w:eastAsiaTheme="minorEastAsia" w:cs="Times New Roman"/>
        </w:rPr>
        <w:t xml:space="preserve">despesas efetivas </w:t>
      </w:r>
      <w:r w:rsidR="000A23D0" w:rsidRPr="00506E82">
        <w:rPr>
          <w:rFonts w:eastAsiaTheme="minorEastAsia" w:cs="Times New Roman"/>
          <w:i/>
          <w:iCs/>
        </w:rPr>
        <w:t>per capita</w:t>
      </w:r>
      <w:r w:rsidR="000A23D0">
        <w:rPr>
          <w:rFonts w:eastAsiaTheme="minorEastAsia" w:cs="Times New Roman"/>
        </w:rPr>
        <w:t xml:space="preserve"> </w:t>
      </w:r>
      <w:r w:rsidR="00293A6B" w:rsidRPr="00FC4481">
        <w:rPr>
          <w:rFonts w:eastAsiaTheme="minorEastAsia" w:cs="Times New Roman"/>
        </w:rPr>
        <w:t>(</w:t>
      </w:r>
      <w:r w:rsidR="00137F6F">
        <w:rPr>
          <w:rFonts w:eastAsiaTheme="minorEastAsia" w:cs="Times New Roman"/>
        </w:rPr>
        <w:t>M</w:t>
      </w:r>
      <w:r w:rsidR="00293A6B">
        <w:rPr>
          <w:rFonts w:eastAsiaTheme="minorEastAsia" w:cs="Times New Roman"/>
        </w:rPr>
        <w:t>D</w:t>
      </w:r>
      <w:r w:rsidR="000A23D0">
        <w:rPr>
          <w:rFonts w:eastAsiaTheme="minorEastAsia" w:cs="Times New Roman"/>
        </w:rPr>
        <w:t>E</w:t>
      </w:r>
      <w:r w:rsidR="00293A6B" w:rsidRPr="00FC4481">
        <w:rPr>
          <w:rFonts w:eastAsiaTheme="minorEastAsia" w:cs="Times New Roman"/>
        </w:rPr>
        <w:t xml:space="preserve">) </w:t>
      </w:r>
    </w:p>
    <w:p w14:paraId="393A7AB6" w14:textId="057367EF" w:rsidR="006950B5" w:rsidRPr="006357FA" w:rsidRDefault="006950B5" w:rsidP="006950B5">
      <w:pPr>
        <w:spacing w:line="360" w:lineRule="auto"/>
        <w:jc w:val="both"/>
        <w:rPr>
          <w:rFonts w:cs="Times New Roman"/>
        </w:rPr>
      </w:pPr>
      <w:r>
        <w:rPr>
          <w:rFonts w:cs="Times New Roman"/>
        </w:rPr>
        <w:t xml:space="preserve">Para realizar o teste de </w:t>
      </w:r>
      <w:r w:rsidRPr="00497E1B">
        <w:rPr>
          <w:rFonts w:cs="Times New Roman"/>
        </w:rPr>
        <w:t>Mann-</w:t>
      </w:r>
      <w:proofErr w:type="spellStart"/>
      <w:r w:rsidRPr="00497E1B">
        <w:rPr>
          <w:rFonts w:cs="Times New Roman"/>
        </w:rPr>
        <w:t>Whitney</w:t>
      </w:r>
      <w:proofErr w:type="spellEnd"/>
      <w:r>
        <w:rPr>
          <w:rFonts w:cs="Times New Roman"/>
        </w:rPr>
        <w:t xml:space="preserve">, a seguinte variável de agrupamento </w:t>
      </w:r>
      <w:r w:rsidR="00A5625E">
        <w:rPr>
          <w:rFonts w:cs="Times New Roman"/>
        </w:rPr>
        <w:t xml:space="preserve">foi a variável taxa da população idosa construída com base na </w:t>
      </w:r>
      <w:r>
        <w:rPr>
          <w:rFonts w:cs="Times New Roman"/>
        </w:rPr>
        <w:t>média da taxa de população idosa (0 – municípios com menores taxas de população idosa e 1 – municípios com maiores taxas de população idosa) de forma a comparar o comportamento do ITM. Neste caso, a</w:t>
      </w:r>
      <w:r w:rsidRPr="006357FA">
        <w:rPr>
          <w:rFonts w:cs="Times New Roman"/>
        </w:rPr>
        <w:t xml:space="preserve"> hipótese estatística do teste de </w:t>
      </w:r>
      <w:r w:rsidRPr="00497E1B">
        <w:rPr>
          <w:rFonts w:cs="Times New Roman"/>
        </w:rPr>
        <w:t>Mann-</w:t>
      </w:r>
      <w:proofErr w:type="spellStart"/>
      <w:r w:rsidRPr="00497E1B">
        <w:rPr>
          <w:rFonts w:cs="Times New Roman"/>
        </w:rPr>
        <w:t>Whitney</w:t>
      </w:r>
      <w:proofErr w:type="spellEnd"/>
      <w:r w:rsidRPr="006357FA">
        <w:rPr>
          <w:rFonts w:cs="Times New Roman"/>
        </w:rPr>
        <w:t xml:space="preserve"> é:</w:t>
      </w:r>
    </w:p>
    <w:p w14:paraId="13827209" w14:textId="77777777" w:rsidR="006950B5" w:rsidRPr="00C808BF" w:rsidRDefault="0043154B" w:rsidP="006950B5">
      <w:pPr>
        <w:pStyle w:val="PargrafodaLista"/>
        <w:numPr>
          <w:ilvl w:val="0"/>
          <w:numId w:val="29"/>
        </w:numPr>
        <w:spacing w:line="360" w:lineRule="auto"/>
        <w:rPr>
          <w:rFonts w:cs="Times New Roman"/>
        </w:rPr>
      </w:pPr>
      <m:oMath>
        <m:sSub>
          <m:sSubPr>
            <m:ctrlPr>
              <w:rPr>
                <w:rFonts w:ascii="Cambria Math" w:hAnsi="Cambria Math" w:cs="Times New Roman"/>
              </w:rPr>
            </m:ctrlPr>
          </m:sSubPr>
          <m:e>
            <m:r>
              <w:rPr>
                <w:rFonts w:ascii="Cambria Math" w:hAnsi="Cambria Math" w:cs="Times New Roman"/>
              </w:rPr>
              <m:t>H</m:t>
            </m:r>
          </m:e>
          <m:sub>
            <m:r>
              <m:rPr>
                <m:sty m:val="p"/>
              </m:rPr>
              <w:rPr>
                <w:rFonts w:ascii="Cambria Math" w:hAnsi="Cambria Math" w:cs="Times New Roman"/>
              </w:rPr>
              <m:t>0</m:t>
            </m:r>
          </m:sub>
        </m:sSub>
        <m:r>
          <m:rPr>
            <m:sty m:val="p"/>
          </m:rPr>
          <w:rPr>
            <w:rFonts w:ascii="Cambria Math" w:hAnsi="Cambria Math" w:cs="Times New Roman"/>
          </w:rPr>
          <m:t xml:space="preserve">: </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1</m:t>
            </m:r>
          </m:sub>
        </m:sSub>
        <m:d>
          <m:dPr>
            <m:ctrlPr>
              <w:rPr>
                <w:rFonts w:ascii="Cambria Math" w:hAnsi="Cambria Math" w:cs="Times New Roman"/>
              </w:rPr>
            </m:ctrlPr>
          </m:dPr>
          <m:e>
            <m:r>
              <w:rPr>
                <w:rFonts w:ascii="Cambria Math" w:hAnsi="Cambria Math" w:cs="Times New Roman"/>
              </w:rPr>
              <m:t>Y</m:t>
            </m:r>
          </m:e>
        </m:d>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2</m:t>
            </m:r>
          </m:sub>
        </m:sSub>
        <m:r>
          <m:rPr>
            <m:sty m:val="p"/>
          </m:rPr>
          <w:rPr>
            <w:rFonts w:ascii="Cambria Math" w:hAnsi="Cambria Math" w:cs="Times New Roman"/>
          </w:rPr>
          <m:t>(</m:t>
        </m:r>
        <m:r>
          <w:rPr>
            <w:rFonts w:ascii="Cambria Math" w:hAnsi="Cambria Math" w:cs="Times New Roman"/>
          </w:rPr>
          <m:t>Y</m:t>
        </m:r>
        <m:r>
          <m:rPr>
            <m:sty m:val="p"/>
          </m:rPr>
          <w:rPr>
            <w:rFonts w:ascii="Cambria Math" w:hAnsi="Cambria Math" w:cs="Times New Roman"/>
          </w:rPr>
          <m:t>)</m:t>
        </m:r>
      </m:oMath>
      <w:r w:rsidR="006950B5" w:rsidRPr="00C808BF">
        <w:rPr>
          <w:rFonts w:cs="Times New Roman"/>
        </w:rPr>
        <w:t xml:space="preserve"> vs </w:t>
      </w:r>
      <m:oMath>
        <m:sSub>
          <m:sSubPr>
            <m:ctrlPr>
              <w:rPr>
                <w:rFonts w:ascii="Cambria Math" w:hAnsi="Cambria Math" w:cs="Times New Roman"/>
              </w:rPr>
            </m:ctrlPr>
          </m:sSubPr>
          <m:e>
            <m:r>
              <w:rPr>
                <w:rFonts w:ascii="Cambria Math" w:hAnsi="Cambria Math" w:cs="Times New Roman"/>
              </w:rPr>
              <m:t>H</m:t>
            </m:r>
          </m:e>
          <m:sub>
            <m:r>
              <m:rPr>
                <m:sty m:val="p"/>
              </m:rPr>
              <w:rPr>
                <w:rFonts w:ascii="Cambria Math" w:hAnsi="Cambria Math" w:cs="Times New Roman"/>
              </w:rPr>
              <m:t>1</m:t>
            </m:r>
          </m:sub>
        </m:sSub>
        <m:r>
          <m:rPr>
            <m:sty m:val="p"/>
          </m:rPr>
          <w:rPr>
            <w:rFonts w:ascii="Cambria Math" w:hAnsi="Cambria Math" w:cs="Times New Roman"/>
          </w:rPr>
          <m:t xml:space="preserve">: </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1</m:t>
            </m:r>
          </m:sub>
        </m:sSub>
        <m:d>
          <m:dPr>
            <m:ctrlPr>
              <w:rPr>
                <w:rFonts w:ascii="Cambria Math" w:hAnsi="Cambria Math" w:cs="Times New Roman"/>
              </w:rPr>
            </m:ctrlPr>
          </m:dPr>
          <m:e>
            <m:r>
              <w:rPr>
                <w:rFonts w:ascii="Cambria Math" w:hAnsi="Cambria Math" w:cs="Times New Roman"/>
              </w:rPr>
              <m:t>Y</m:t>
            </m:r>
          </m:e>
        </m:d>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2</m:t>
            </m:r>
          </m:sub>
        </m:sSub>
        <m:r>
          <m:rPr>
            <m:sty m:val="p"/>
          </m:rPr>
          <w:rPr>
            <w:rFonts w:ascii="Cambria Math" w:hAnsi="Cambria Math" w:cs="Times New Roman"/>
          </w:rPr>
          <m:t>(</m:t>
        </m:r>
        <m:r>
          <w:rPr>
            <w:rFonts w:ascii="Cambria Math" w:hAnsi="Cambria Math" w:cs="Times New Roman"/>
          </w:rPr>
          <m:t>Y</m:t>
        </m:r>
        <m:r>
          <m:rPr>
            <m:sty m:val="p"/>
          </m:rPr>
          <w:rPr>
            <w:rFonts w:ascii="Cambria Math" w:hAnsi="Cambria Math" w:cs="Times New Roman"/>
          </w:rPr>
          <m:t>)</m:t>
        </m:r>
      </m:oMath>
      <w:r w:rsidR="006950B5" w:rsidRPr="00C808BF">
        <w:rPr>
          <w:rFonts w:cs="Times New Roman"/>
        </w:rPr>
        <w:t>, para um teste bilateral</w:t>
      </w:r>
    </w:p>
    <w:p w14:paraId="0E5D758D" w14:textId="0750E7FE" w:rsidR="006950B5" w:rsidRDefault="006950B5" w:rsidP="006950B5">
      <w:pPr>
        <w:spacing w:line="360" w:lineRule="auto"/>
        <w:jc w:val="both"/>
        <w:rPr>
          <w:rFonts w:cs="Times New Roman"/>
          <w:i/>
          <w:iCs/>
        </w:rPr>
      </w:pPr>
      <w:r w:rsidRPr="006357FA">
        <w:rPr>
          <w:rFonts w:cs="Times New Roman"/>
        </w:rPr>
        <w:t xml:space="preserve">Em que: </w:t>
      </w:r>
      <m:oMath>
        <m:sSub>
          <m:sSubPr>
            <m:ctrlPr>
              <w:rPr>
                <w:rFonts w:ascii="Cambria Math" w:hAnsi="Cambria Math" w:cs="Times New Roman"/>
              </w:rPr>
            </m:ctrlPr>
          </m:sSubPr>
          <m:e>
            <m:r>
              <w:rPr>
                <w:rFonts w:ascii="Cambria Math" w:hAnsi="Cambria Math" w:cs="Times New Roman"/>
              </w:rPr>
              <m:t>F</m:t>
            </m:r>
          </m:e>
          <m:sub>
            <m:r>
              <w:rPr>
                <w:rFonts w:ascii="Cambria Math" w:hAnsi="Cambria Math" w:cs="Times New Roman"/>
              </w:rPr>
              <m:t>i</m:t>
            </m:r>
          </m:sub>
        </m:sSub>
        <m:d>
          <m:dPr>
            <m:ctrlPr>
              <w:rPr>
                <w:rFonts w:ascii="Cambria Math" w:hAnsi="Cambria Math" w:cs="Times New Roman"/>
              </w:rPr>
            </m:ctrlPr>
          </m:dPr>
          <m:e>
            <m:r>
              <w:rPr>
                <w:rFonts w:ascii="Cambria Math" w:hAnsi="Cambria Math" w:cs="Times New Roman"/>
              </w:rPr>
              <m:t>Y</m:t>
            </m:r>
          </m:e>
        </m:d>
        <m:r>
          <w:rPr>
            <w:rFonts w:ascii="Cambria Math" w:hAnsi="Cambria Math" w:cs="Times New Roman"/>
          </w:rPr>
          <m:t xml:space="preserve">,  </m:t>
        </m:r>
        <m:r>
          <m:rPr>
            <m:sty m:val="p"/>
          </m:rPr>
          <w:rPr>
            <w:rFonts w:ascii="Cambria Math" w:hAnsi="Cambria Math" w:cs="Times New Roman"/>
          </w:rPr>
          <m:t>com</m:t>
        </m:r>
        <m:r>
          <w:rPr>
            <w:rFonts w:ascii="Cambria Math" w:hAnsi="Cambria Math" w:cs="Times New Roman"/>
          </w:rPr>
          <m:t xml:space="preserve"> i=1,2</m:t>
        </m:r>
      </m:oMath>
      <w:r w:rsidRPr="006357FA">
        <w:rPr>
          <w:rFonts w:cs="Times New Roman"/>
        </w:rPr>
        <w:t xml:space="preserve"> representa a função de distribuição da variável Y na população </w:t>
      </w:r>
      <w:r w:rsidRPr="006357FA">
        <w:rPr>
          <w:rFonts w:cs="Times New Roman"/>
          <w:i/>
          <w:iCs/>
        </w:rPr>
        <w:t>i</w:t>
      </w:r>
      <w:r>
        <w:rPr>
          <w:rFonts w:cs="Times New Roman"/>
          <w:i/>
          <w:iCs/>
        </w:rPr>
        <w:t xml:space="preserve">, </w:t>
      </w:r>
      <w:r>
        <w:rPr>
          <w:rFonts w:cs="Times New Roman"/>
        </w:rPr>
        <w:t xml:space="preserve">municípios </w:t>
      </w:r>
      <w:r w:rsidR="006E6DE4">
        <w:rPr>
          <w:rFonts w:cs="Times New Roman"/>
        </w:rPr>
        <w:t>com elevadas taxas de população idosa e municípios com baixas taxas de população idosa</w:t>
      </w:r>
      <w:r>
        <w:rPr>
          <w:rFonts w:cs="Times New Roman"/>
        </w:rPr>
        <w:t>.</w:t>
      </w:r>
      <w:r>
        <w:rPr>
          <w:rFonts w:cs="Times New Roman"/>
          <w:i/>
          <w:iCs/>
        </w:rPr>
        <w:t xml:space="preserve"> </w:t>
      </w:r>
    </w:p>
    <w:p w14:paraId="32735121" w14:textId="77777777" w:rsidR="006950B5" w:rsidRDefault="006950B5" w:rsidP="006950B5">
      <w:pPr>
        <w:spacing w:before="240" w:line="360" w:lineRule="auto"/>
        <w:jc w:val="both"/>
        <w:rPr>
          <w:rFonts w:cs="Times New Roman"/>
        </w:rPr>
      </w:pPr>
      <w:r>
        <w:rPr>
          <w:rFonts w:cs="Times New Roman"/>
        </w:rPr>
        <w:lastRenderedPageBreak/>
        <w:t>As hipóteses alvo de estudo foram:</w:t>
      </w:r>
    </w:p>
    <w:p w14:paraId="0CFC2D97" w14:textId="61749501" w:rsidR="006950B5" w:rsidRPr="006357FA" w:rsidRDefault="0043154B" w:rsidP="006950B5">
      <w:pPr>
        <w:pStyle w:val="PargrafodaLista"/>
        <w:numPr>
          <w:ilvl w:val="0"/>
          <w:numId w:val="28"/>
        </w:numPr>
        <w:spacing w:line="360" w:lineRule="auto"/>
        <w:jc w:val="both"/>
        <w:rPr>
          <w:rFonts w:cs="Times New Roman"/>
        </w:rPr>
      </w:pPr>
      <m:oMath>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0</m:t>
            </m:r>
          </m:sub>
        </m:sSub>
      </m:oMath>
      <w:r w:rsidR="006950B5">
        <w:rPr>
          <w:rFonts w:eastAsiaTheme="minorEastAsia" w:cs="Times New Roman"/>
        </w:rPr>
        <w:t>: A distribuição de ITM é semelhante nos municípios com maiores taxas de população idosa e nos municípios com menores taxas de população idosa (</w:t>
      </w:r>
      <w:proofErr w:type="spellStart"/>
      <w:r w:rsidR="00DE5BE7">
        <w:rPr>
          <w:rFonts w:eastAsiaTheme="minorEastAsia" w:cs="Times New Roman"/>
        </w:rPr>
        <w:t>M</w:t>
      </w:r>
      <w:r w:rsidR="006950B5">
        <w:rPr>
          <w:rFonts w:eastAsiaTheme="minorEastAsia" w:cs="Times New Roman"/>
        </w:rPr>
        <w:t>TxPI</w:t>
      </w:r>
      <w:proofErr w:type="spellEnd"/>
      <w:r w:rsidR="006950B5">
        <w:rPr>
          <w:rFonts w:eastAsiaTheme="minorEastAsia" w:cs="Times New Roman"/>
        </w:rPr>
        <w:t xml:space="preserve">) </w:t>
      </w:r>
    </w:p>
    <w:p w14:paraId="416DC216" w14:textId="508543F8" w:rsidR="006950B5" w:rsidRPr="00293A6B" w:rsidRDefault="0043154B" w:rsidP="006950B5">
      <w:pPr>
        <w:pStyle w:val="PargrafodaLista"/>
        <w:numPr>
          <w:ilvl w:val="0"/>
          <w:numId w:val="28"/>
        </w:numPr>
        <w:spacing w:line="360" w:lineRule="auto"/>
        <w:jc w:val="both"/>
        <w:rPr>
          <w:rFonts w:cs="Times New Roman"/>
        </w:rPr>
      </w:pPr>
      <m:oMath>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1</m:t>
            </m:r>
          </m:sub>
        </m:sSub>
      </m:oMath>
      <w:r w:rsidR="006950B5" w:rsidRPr="00155184">
        <w:rPr>
          <w:rFonts w:eastAsiaTheme="minorEastAsia" w:cs="Times New Roman"/>
        </w:rPr>
        <w:t>: A d</w:t>
      </w:r>
      <w:proofErr w:type="spellStart"/>
      <w:r w:rsidR="006950B5" w:rsidRPr="00155184">
        <w:rPr>
          <w:rFonts w:eastAsiaTheme="minorEastAsia" w:cs="Times New Roman"/>
        </w:rPr>
        <w:t>istribuição</w:t>
      </w:r>
      <w:proofErr w:type="spellEnd"/>
      <w:r w:rsidR="006950B5" w:rsidRPr="00155184">
        <w:rPr>
          <w:rFonts w:eastAsiaTheme="minorEastAsia" w:cs="Times New Roman"/>
        </w:rPr>
        <w:t xml:space="preserve"> de ITM </w:t>
      </w:r>
      <w:r w:rsidR="006950B5">
        <w:rPr>
          <w:rFonts w:eastAsiaTheme="minorEastAsia" w:cs="Times New Roman"/>
        </w:rPr>
        <w:t>não é semelhante nos municípios com maiores taxas de população idosa e nos municípios com menores taxas de população idosa (</w:t>
      </w:r>
      <w:proofErr w:type="spellStart"/>
      <w:r w:rsidR="00DE5BE7">
        <w:rPr>
          <w:rFonts w:eastAsiaTheme="minorEastAsia" w:cs="Times New Roman"/>
        </w:rPr>
        <w:t>M</w:t>
      </w:r>
      <w:r w:rsidR="006950B5">
        <w:rPr>
          <w:rFonts w:eastAsiaTheme="minorEastAsia" w:cs="Times New Roman"/>
        </w:rPr>
        <w:t>TxPI</w:t>
      </w:r>
      <w:proofErr w:type="spellEnd"/>
      <w:r w:rsidR="006950B5">
        <w:rPr>
          <w:rFonts w:eastAsiaTheme="minorEastAsia" w:cs="Times New Roman"/>
        </w:rPr>
        <w:t xml:space="preserve">) </w:t>
      </w:r>
    </w:p>
    <w:p w14:paraId="23525ADB" w14:textId="7E20B5AF" w:rsidR="007751CB" w:rsidRDefault="006950B5" w:rsidP="00F533AC">
      <w:pPr>
        <w:spacing w:line="360" w:lineRule="auto"/>
        <w:jc w:val="both"/>
        <w:rPr>
          <w:rFonts w:cs="Times New Roman"/>
        </w:rPr>
      </w:pPr>
      <w:r>
        <w:rPr>
          <w:rFonts w:cs="Times New Roman"/>
        </w:rPr>
        <w:t xml:space="preserve">A seguinte </w:t>
      </w:r>
      <w:r w:rsidR="007751CB" w:rsidRPr="007751CB">
        <w:rPr>
          <w:rFonts w:cs="Times New Roman"/>
        </w:rPr>
        <w:t xml:space="preserve">variável de agrupamento </w:t>
      </w:r>
      <w:r w:rsidR="00A5625E">
        <w:rPr>
          <w:rFonts w:cs="Times New Roman"/>
        </w:rPr>
        <w:t>foi a variável de taxa de desemprego construída com base no valor médio</w:t>
      </w:r>
      <w:r w:rsidR="007751CB" w:rsidRPr="007751CB">
        <w:rPr>
          <w:rFonts w:cs="Times New Roman"/>
        </w:rPr>
        <w:t xml:space="preserve"> da taxa de desemprego que, como definido anteriormente, toma valor de 0 para municípios que apresentam taxas de desemprego inferior à média e 1 para municípios com taxas superiores à média e no qual, mais uma vez, o objetivo é confrontar o comportamento do ITM.  </w:t>
      </w:r>
    </w:p>
    <w:p w14:paraId="4F9C9F11" w14:textId="5FDAB7AF" w:rsidR="0049126A" w:rsidRDefault="0049126A" w:rsidP="00F533AC">
      <w:pPr>
        <w:spacing w:line="360" w:lineRule="auto"/>
        <w:jc w:val="both"/>
        <w:rPr>
          <w:rFonts w:cs="Times New Roman"/>
        </w:rPr>
      </w:pPr>
      <w:r>
        <w:rPr>
          <w:rFonts w:cs="Times New Roman"/>
        </w:rPr>
        <w:t xml:space="preserve">A hipótese estatística é: </w:t>
      </w:r>
    </w:p>
    <w:p w14:paraId="13F1D38A" w14:textId="77777777" w:rsidR="0049126A" w:rsidRPr="00C808BF" w:rsidRDefault="0043154B" w:rsidP="0049126A">
      <w:pPr>
        <w:pStyle w:val="PargrafodaLista"/>
        <w:numPr>
          <w:ilvl w:val="0"/>
          <w:numId w:val="29"/>
        </w:numPr>
        <w:spacing w:line="360" w:lineRule="auto"/>
        <w:rPr>
          <w:rFonts w:cs="Times New Roman"/>
        </w:rPr>
      </w:pPr>
      <m:oMath>
        <m:sSub>
          <m:sSubPr>
            <m:ctrlPr>
              <w:rPr>
                <w:rFonts w:ascii="Cambria Math" w:hAnsi="Cambria Math" w:cs="Times New Roman"/>
              </w:rPr>
            </m:ctrlPr>
          </m:sSubPr>
          <m:e>
            <m:r>
              <w:rPr>
                <w:rFonts w:ascii="Cambria Math" w:hAnsi="Cambria Math" w:cs="Times New Roman"/>
              </w:rPr>
              <m:t>H</m:t>
            </m:r>
          </m:e>
          <m:sub>
            <m:r>
              <m:rPr>
                <m:sty m:val="p"/>
              </m:rPr>
              <w:rPr>
                <w:rFonts w:ascii="Cambria Math" w:hAnsi="Cambria Math" w:cs="Times New Roman"/>
              </w:rPr>
              <m:t>0</m:t>
            </m:r>
          </m:sub>
        </m:sSub>
        <m:r>
          <m:rPr>
            <m:sty m:val="p"/>
          </m:rPr>
          <w:rPr>
            <w:rFonts w:ascii="Cambria Math" w:hAnsi="Cambria Math" w:cs="Times New Roman"/>
          </w:rPr>
          <m:t xml:space="preserve">: </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1</m:t>
            </m:r>
          </m:sub>
        </m:sSub>
        <m:d>
          <m:dPr>
            <m:ctrlPr>
              <w:rPr>
                <w:rFonts w:ascii="Cambria Math" w:hAnsi="Cambria Math" w:cs="Times New Roman"/>
              </w:rPr>
            </m:ctrlPr>
          </m:dPr>
          <m:e>
            <m:r>
              <w:rPr>
                <w:rFonts w:ascii="Cambria Math" w:hAnsi="Cambria Math" w:cs="Times New Roman"/>
              </w:rPr>
              <m:t>Y</m:t>
            </m:r>
          </m:e>
        </m:d>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2</m:t>
            </m:r>
          </m:sub>
        </m:sSub>
        <m:r>
          <m:rPr>
            <m:sty m:val="p"/>
          </m:rPr>
          <w:rPr>
            <w:rFonts w:ascii="Cambria Math" w:hAnsi="Cambria Math" w:cs="Times New Roman"/>
          </w:rPr>
          <m:t>(</m:t>
        </m:r>
        <m:r>
          <w:rPr>
            <w:rFonts w:ascii="Cambria Math" w:hAnsi="Cambria Math" w:cs="Times New Roman"/>
          </w:rPr>
          <m:t>Y</m:t>
        </m:r>
        <m:r>
          <m:rPr>
            <m:sty m:val="p"/>
          </m:rPr>
          <w:rPr>
            <w:rFonts w:ascii="Cambria Math" w:hAnsi="Cambria Math" w:cs="Times New Roman"/>
          </w:rPr>
          <m:t>)</m:t>
        </m:r>
      </m:oMath>
      <w:r w:rsidR="0049126A" w:rsidRPr="00C808BF">
        <w:rPr>
          <w:rFonts w:cs="Times New Roman"/>
        </w:rPr>
        <w:t xml:space="preserve"> vs </w:t>
      </w:r>
      <m:oMath>
        <m:sSub>
          <m:sSubPr>
            <m:ctrlPr>
              <w:rPr>
                <w:rFonts w:ascii="Cambria Math" w:hAnsi="Cambria Math" w:cs="Times New Roman"/>
              </w:rPr>
            </m:ctrlPr>
          </m:sSubPr>
          <m:e>
            <m:r>
              <w:rPr>
                <w:rFonts w:ascii="Cambria Math" w:hAnsi="Cambria Math" w:cs="Times New Roman"/>
              </w:rPr>
              <m:t>H</m:t>
            </m:r>
          </m:e>
          <m:sub>
            <m:r>
              <m:rPr>
                <m:sty m:val="p"/>
              </m:rPr>
              <w:rPr>
                <w:rFonts w:ascii="Cambria Math" w:hAnsi="Cambria Math" w:cs="Times New Roman"/>
              </w:rPr>
              <m:t>1</m:t>
            </m:r>
          </m:sub>
        </m:sSub>
        <m:r>
          <m:rPr>
            <m:sty m:val="p"/>
          </m:rPr>
          <w:rPr>
            <w:rFonts w:ascii="Cambria Math" w:hAnsi="Cambria Math" w:cs="Times New Roman"/>
          </w:rPr>
          <m:t xml:space="preserve">: </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1</m:t>
            </m:r>
          </m:sub>
        </m:sSub>
        <m:d>
          <m:dPr>
            <m:ctrlPr>
              <w:rPr>
                <w:rFonts w:ascii="Cambria Math" w:hAnsi="Cambria Math" w:cs="Times New Roman"/>
              </w:rPr>
            </m:ctrlPr>
          </m:dPr>
          <m:e>
            <m:r>
              <w:rPr>
                <w:rFonts w:ascii="Cambria Math" w:hAnsi="Cambria Math" w:cs="Times New Roman"/>
              </w:rPr>
              <m:t>Y</m:t>
            </m:r>
          </m:e>
        </m:d>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2</m:t>
            </m:r>
          </m:sub>
        </m:sSub>
        <m:r>
          <m:rPr>
            <m:sty m:val="p"/>
          </m:rPr>
          <w:rPr>
            <w:rFonts w:ascii="Cambria Math" w:hAnsi="Cambria Math" w:cs="Times New Roman"/>
          </w:rPr>
          <m:t>(</m:t>
        </m:r>
        <m:r>
          <w:rPr>
            <w:rFonts w:ascii="Cambria Math" w:hAnsi="Cambria Math" w:cs="Times New Roman"/>
          </w:rPr>
          <m:t>Y</m:t>
        </m:r>
        <m:r>
          <m:rPr>
            <m:sty m:val="p"/>
          </m:rPr>
          <w:rPr>
            <w:rFonts w:ascii="Cambria Math" w:hAnsi="Cambria Math" w:cs="Times New Roman"/>
          </w:rPr>
          <m:t>)</m:t>
        </m:r>
      </m:oMath>
      <w:r w:rsidR="0049126A" w:rsidRPr="00C808BF">
        <w:rPr>
          <w:rFonts w:cs="Times New Roman"/>
        </w:rPr>
        <w:t>, para um teste bilateral</w:t>
      </w:r>
    </w:p>
    <w:p w14:paraId="3F4D10DA" w14:textId="74F2D074" w:rsidR="0049126A" w:rsidRDefault="0049126A" w:rsidP="0049126A">
      <w:pPr>
        <w:spacing w:line="360" w:lineRule="auto"/>
        <w:jc w:val="both"/>
        <w:rPr>
          <w:rFonts w:cs="Times New Roman"/>
          <w:i/>
          <w:iCs/>
        </w:rPr>
      </w:pPr>
      <w:r w:rsidRPr="006357FA">
        <w:rPr>
          <w:rFonts w:cs="Times New Roman"/>
        </w:rPr>
        <w:t xml:space="preserve">Em que: </w:t>
      </w:r>
      <m:oMath>
        <m:sSub>
          <m:sSubPr>
            <m:ctrlPr>
              <w:rPr>
                <w:rFonts w:ascii="Cambria Math" w:hAnsi="Cambria Math" w:cs="Times New Roman"/>
              </w:rPr>
            </m:ctrlPr>
          </m:sSubPr>
          <m:e>
            <m:r>
              <w:rPr>
                <w:rFonts w:ascii="Cambria Math" w:hAnsi="Cambria Math" w:cs="Times New Roman"/>
              </w:rPr>
              <m:t>F</m:t>
            </m:r>
          </m:e>
          <m:sub>
            <m:r>
              <w:rPr>
                <w:rFonts w:ascii="Cambria Math" w:hAnsi="Cambria Math" w:cs="Times New Roman"/>
              </w:rPr>
              <m:t>i</m:t>
            </m:r>
          </m:sub>
        </m:sSub>
        <m:d>
          <m:dPr>
            <m:ctrlPr>
              <w:rPr>
                <w:rFonts w:ascii="Cambria Math" w:hAnsi="Cambria Math" w:cs="Times New Roman"/>
              </w:rPr>
            </m:ctrlPr>
          </m:dPr>
          <m:e>
            <m:r>
              <w:rPr>
                <w:rFonts w:ascii="Cambria Math" w:hAnsi="Cambria Math" w:cs="Times New Roman"/>
              </w:rPr>
              <m:t>Y</m:t>
            </m:r>
          </m:e>
        </m:d>
        <m:r>
          <w:rPr>
            <w:rFonts w:ascii="Cambria Math" w:hAnsi="Cambria Math" w:cs="Times New Roman"/>
          </w:rPr>
          <m:t xml:space="preserve">,  </m:t>
        </m:r>
        <m:r>
          <m:rPr>
            <m:sty m:val="p"/>
          </m:rPr>
          <w:rPr>
            <w:rFonts w:ascii="Cambria Math" w:hAnsi="Cambria Math" w:cs="Times New Roman"/>
          </w:rPr>
          <m:t>com</m:t>
        </m:r>
        <m:r>
          <w:rPr>
            <w:rFonts w:ascii="Cambria Math" w:hAnsi="Cambria Math" w:cs="Times New Roman"/>
          </w:rPr>
          <m:t xml:space="preserve"> i=1,2</m:t>
        </m:r>
      </m:oMath>
      <w:r w:rsidRPr="006357FA">
        <w:rPr>
          <w:rFonts w:cs="Times New Roman"/>
        </w:rPr>
        <w:t xml:space="preserve"> representa a função de distribuição da variável Y na população </w:t>
      </w:r>
      <w:r w:rsidRPr="006357FA">
        <w:rPr>
          <w:rFonts w:cs="Times New Roman"/>
          <w:i/>
          <w:iCs/>
        </w:rPr>
        <w:t>i</w:t>
      </w:r>
      <w:r>
        <w:rPr>
          <w:rFonts w:cs="Times New Roman"/>
          <w:i/>
          <w:iCs/>
        </w:rPr>
        <w:t xml:space="preserve">, </w:t>
      </w:r>
      <w:r>
        <w:rPr>
          <w:rFonts w:cs="Times New Roman"/>
        </w:rPr>
        <w:t xml:space="preserve">municípios </w:t>
      </w:r>
      <w:r w:rsidR="00DE5BE7">
        <w:rPr>
          <w:rFonts w:cs="Times New Roman"/>
        </w:rPr>
        <w:t>com menores taxas de desemprego</w:t>
      </w:r>
      <w:r>
        <w:rPr>
          <w:rFonts w:cs="Times New Roman"/>
        </w:rPr>
        <w:t xml:space="preserve"> e municípios com </w:t>
      </w:r>
      <w:r w:rsidR="00DE5BE7">
        <w:rPr>
          <w:rFonts w:cs="Times New Roman"/>
        </w:rPr>
        <w:t>maiores taxas de desemprego</w:t>
      </w:r>
      <w:r>
        <w:rPr>
          <w:rFonts w:cs="Times New Roman"/>
        </w:rPr>
        <w:t>.</w:t>
      </w:r>
      <w:r>
        <w:rPr>
          <w:rFonts w:cs="Times New Roman"/>
          <w:i/>
          <w:iCs/>
        </w:rPr>
        <w:t xml:space="preserve"> </w:t>
      </w:r>
    </w:p>
    <w:p w14:paraId="39B17A1E" w14:textId="1C31D868" w:rsidR="0049126A" w:rsidRDefault="0049126A" w:rsidP="0049126A">
      <w:pPr>
        <w:spacing w:line="360" w:lineRule="auto"/>
        <w:jc w:val="both"/>
        <w:rPr>
          <w:rFonts w:cs="Times New Roman"/>
        </w:rPr>
      </w:pPr>
      <w:r w:rsidRPr="0049126A">
        <w:rPr>
          <w:rFonts w:cs="Times New Roman"/>
        </w:rPr>
        <w:t>Para esta variável, as hipóteses formuladas foram:</w:t>
      </w:r>
    </w:p>
    <w:p w14:paraId="42266C1C" w14:textId="0B166047" w:rsidR="0049126A" w:rsidRPr="006357FA" w:rsidRDefault="0043154B" w:rsidP="0049126A">
      <w:pPr>
        <w:pStyle w:val="PargrafodaLista"/>
        <w:numPr>
          <w:ilvl w:val="0"/>
          <w:numId w:val="28"/>
        </w:numPr>
        <w:spacing w:line="360" w:lineRule="auto"/>
        <w:jc w:val="both"/>
        <w:rPr>
          <w:rFonts w:cs="Times New Roman"/>
        </w:rPr>
      </w:pPr>
      <m:oMath>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0</m:t>
            </m:r>
          </m:sub>
        </m:sSub>
      </m:oMath>
      <w:r w:rsidR="0049126A">
        <w:rPr>
          <w:rFonts w:eastAsiaTheme="minorEastAsia" w:cs="Times New Roman"/>
        </w:rPr>
        <w:t>: A dist</w:t>
      </w:r>
      <w:proofErr w:type="spellStart"/>
      <w:r w:rsidR="0049126A">
        <w:rPr>
          <w:rFonts w:eastAsiaTheme="minorEastAsia" w:cs="Times New Roman"/>
        </w:rPr>
        <w:t>ribuição</w:t>
      </w:r>
      <w:proofErr w:type="spellEnd"/>
      <w:r w:rsidR="0049126A">
        <w:rPr>
          <w:rFonts w:eastAsiaTheme="minorEastAsia" w:cs="Times New Roman"/>
        </w:rPr>
        <w:t xml:space="preserve"> de ITM é semelhante nos municípios com </w:t>
      </w:r>
      <w:r w:rsidR="00DE5BE7">
        <w:rPr>
          <w:rFonts w:eastAsiaTheme="minorEastAsia" w:cs="Times New Roman"/>
        </w:rPr>
        <w:t xml:space="preserve">menores taxas de desemprego e </w:t>
      </w:r>
      <w:r w:rsidR="0049126A">
        <w:rPr>
          <w:rFonts w:eastAsiaTheme="minorEastAsia" w:cs="Times New Roman"/>
        </w:rPr>
        <w:t xml:space="preserve">nos municípios com </w:t>
      </w:r>
      <w:r w:rsidR="00DE5BE7">
        <w:rPr>
          <w:rFonts w:eastAsiaTheme="minorEastAsia" w:cs="Times New Roman"/>
        </w:rPr>
        <w:t>maiores taxas de desemprego</w:t>
      </w:r>
      <w:r w:rsidR="0049126A">
        <w:rPr>
          <w:rFonts w:eastAsiaTheme="minorEastAsia" w:cs="Times New Roman"/>
        </w:rPr>
        <w:t xml:space="preserve"> (</w:t>
      </w:r>
      <w:proofErr w:type="spellStart"/>
      <w:r w:rsidR="00DE5BE7">
        <w:rPr>
          <w:rFonts w:eastAsiaTheme="minorEastAsia" w:cs="Times New Roman"/>
        </w:rPr>
        <w:t>M</w:t>
      </w:r>
      <w:r w:rsidR="0049126A">
        <w:rPr>
          <w:rFonts w:eastAsiaTheme="minorEastAsia" w:cs="Times New Roman"/>
        </w:rPr>
        <w:t>TxD</w:t>
      </w:r>
      <w:proofErr w:type="spellEnd"/>
      <w:r w:rsidR="0049126A">
        <w:rPr>
          <w:rFonts w:eastAsiaTheme="minorEastAsia" w:cs="Times New Roman"/>
        </w:rPr>
        <w:t xml:space="preserve">) </w:t>
      </w:r>
    </w:p>
    <w:p w14:paraId="3F47D796" w14:textId="74784235" w:rsidR="0049126A" w:rsidRPr="006E6DE4" w:rsidRDefault="0043154B" w:rsidP="008D349C">
      <w:pPr>
        <w:pStyle w:val="PargrafodaLista"/>
        <w:numPr>
          <w:ilvl w:val="0"/>
          <w:numId w:val="28"/>
        </w:numPr>
        <w:spacing w:line="360" w:lineRule="auto"/>
        <w:jc w:val="both"/>
        <w:rPr>
          <w:rFonts w:cs="Times New Roman"/>
        </w:rPr>
      </w:pPr>
      <m:oMath>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1</m:t>
            </m:r>
          </m:sub>
        </m:sSub>
      </m:oMath>
      <w:r w:rsidR="0049126A" w:rsidRPr="0049126A">
        <w:rPr>
          <w:rFonts w:eastAsiaTheme="minorEastAsia" w:cs="Times New Roman"/>
        </w:rPr>
        <w:t xml:space="preserve">: A distribuição de ITM não é semelhante </w:t>
      </w:r>
      <w:r w:rsidR="0049126A">
        <w:rPr>
          <w:rFonts w:eastAsiaTheme="minorEastAsia" w:cs="Times New Roman"/>
        </w:rPr>
        <w:t>nos municípios com</w:t>
      </w:r>
      <w:r w:rsidR="00DE5BE7">
        <w:rPr>
          <w:rFonts w:eastAsiaTheme="minorEastAsia" w:cs="Times New Roman"/>
        </w:rPr>
        <w:t xml:space="preserve"> menores</w:t>
      </w:r>
      <w:r w:rsidR="0049126A">
        <w:rPr>
          <w:rFonts w:eastAsiaTheme="minorEastAsia" w:cs="Times New Roman"/>
        </w:rPr>
        <w:t xml:space="preserve"> taxas de desemprego e nos municípios com </w:t>
      </w:r>
      <w:r w:rsidR="00DE5BE7">
        <w:rPr>
          <w:rFonts w:eastAsiaTheme="minorEastAsia" w:cs="Times New Roman"/>
        </w:rPr>
        <w:t xml:space="preserve">maiores </w:t>
      </w:r>
      <w:r w:rsidR="0049126A">
        <w:rPr>
          <w:rFonts w:eastAsiaTheme="minorEastAsia" w:cs="Times New Roman"/>
        </w:rPr>
        <w:t>taxas de desemprego (</w:t>
      </w:r>
      <w:proofErr w:type="spellStart"/>
      <w:r w:rsidR="00DE5BE7">
        <w:rPr>
          <w:rFonts w:eastAsiaTheme="minorEastAsia" w:cs="Times New Roman"/>
        </w:rPr>
        <w:t>M</w:t>
      </w:r>
      <w:r w:rsidR="0049126A">
        <w:rPr>
          <w:rFonts w:eastAsiaTheme="minorEastAsia" w:cs="Times New Roman"/>
        </w:rPr>
        <w:t>TxD</w:t>
      </w:r>
      <w:proofErr w:type="spellEnd"/>
      <w:r w:rsidR="0049126A">
        <w:rPr>
          <w:rFonts w:eastAsiaTheme="minorEastAsia" w:cs="Times New Roman"/>
        </w:rPr>
        <w:t>)</w:t>
      </w:r>
    </w:p>
    <w:p w14:paraId="54E23738" w14:textId="4A835068" w:rsidR="006E6DE4" w:rsidRPr="006357FA" w:rsidRDefault="006E6DE4" w:rsidP="006E6DE4">
      <w:pPr>
        <w:spacing w:line="360" w:lineRule="auto"/>
        <w:jc w:val="both"/>
        <w:rPr>
          <w:rFonts w:cs="Times New Roman"/>
        </w:rPr>
      </w:pPr>
      <w:r>
        <w:rPr>
          <w:rFonts w:cs="Times New Roman"/>
        </w:rPr>
        <w:t xml:space="preserve">Por fim, com o intuito de comparar o comportamento do ITM, a variável de agrupamento </w:t>
      </w:r>
      <w:r w:rsidR="00A5625E">
        <w:rPr>
          <w:rFonts w:cs="Times New Roman"/>
        </w:rPr>
        <w:t>foi a variável percentagem de abstenção construída com base na média dessa variável</w:t>
      </w:r>
      <w:r>
        <w:rPr>
          <w:rFonts w:cs="Times New Roman"/>
        </w:rPr>
        <w:t xml:space="preserve"> (0 – municípios com </w:t>
      </w:r>
      <w:r w:rsidR="00DE5BE7">
        <w:rPr>
          <w:rFonts w:cs="Times New Roman"/>
        </w:rPr>
        <w:t>menores percentagens de abstenção</w:t>
      </w:r>
      <w:r>
        <w:rPr>
          <w:rFonts w:cs="Times New Roman"/>
        </w:rPr>
        <w:t xml:space="preserve"> e 1 – municípios </w:t>
      </w:r>
      <w:r w:rsidR="00DE5BE7">
        <w:rPr>
          <w:rFonts w:cs="Times New Roman"/>
        </w:rPr>
        <w:t>com maiores percentagens de abstenção</w:t>
      </w:r>
      <w:r>
        <w:rPr>
          <w:rFonts w:cs="Times New Roman"/>
        </w:rPr>
        <w:t xml:space="preserve">), foi realizado o teste de </w:t>
      </w:r>
      <w:r w:rsidRPr="00C90AC5">
        <w:rPr>
          <w:rFonts w:cs="Times New Roman"/>
        </w:rPr>
        <w:t>Mann-</w:t>
      </w:r>
      <w:proofErr w:type="spellStart"/>
      <w:r w:rsidRPr="00C90AC5">
        <w:rPr>
          <w:rFonts w:cs="Times New Roman"/>
        </w:rPr>
        <w:t>Whitney</w:t>
      </w:r>
      <w:proofErr w:type="spellEnd"/>
      <w:r>
        <w:rPr>
          <w:rFonts w:cs="Times New Roman"/>
        </w:rPr>
        <w:t xml:space="preserve"> no qual a hipótese </w:t>
      </w:r>
      <w:r w:rsidRPr="006357FA">
        <w:rPr>
          <w:rFonts w:cs="Times New Roman"/>
        </w:rPr>
        <w:t xml:space="preserve">estatística do </w:t>
      </w:r>
      <w:r>
        <w:rPr>
          <w:rFonts w:cs="Times New Roman"/>
        </w:rPr>
        <w:t>mesmo</w:t>
      </w:r>
      <w:r w:rsidRPr="006357FA">
        <w:rPr>
          <w:rFonts w:cs="Times New Roman"/>
        </w:rPr>
        <w:t xml:space="preserve"> é:</w:t>
      </w:r>
    </w:p>
    <w:p w14:paraId="056D5476" w14:textId="77777777" w:rsidR="006E6DE4" w:rsidRPr="00C808BF" w:rsidRDefault="0043154B" w:rsidP="006E6DE4">
      <w:pPr>
        <w:pStyle w:val="PargrafodaLista"/>
        <w:numPr>
          <w:ilvl w:val="0"/>
          <w:numId w:val="29"/>
        </w:numPr>
        <w:spacing w:line="360" w:lineRule="auto"/>
        <w:rPr>
          <w:rFonts w:cs="Times New Roman"/>
        </w:rPr>
      </w:pPr>
      <m:oMath>
        <m:sSub>
          <m:sSubPr>
            <m:ctrlPr>
              <w:rPr>
                <w:rFonts w:ascii="Cambria Math" w:hAnsi="Cambria Math" w:cs="Times New Roman"/>
              </w:rPr>
            </m:ctrlPr>
          </m:sSubPr>
          <m:e>
            <m:r>
              <w:rPr>
                <w:rFonts w:ascii="Cambria Math" w:hAnsi="Cambria Math" w:cs="Times New Roman"/>
              </w:rPr>
              <m:t>H</m:t>
            </m:r>
          </m:e>
          <m:sub>
            <m:r>
              <m:rPr>
                <m:sty m:val="p"/>
              </m:rPr>
              <w:rPr>
                <w:rFonts w:ascii="Cambria Math" w:hAnsi="Cambria Math" w:cs="Times New Roman"/>
              </w:rPr>
              <m:t>0</m:t>
            </m:r>
          </m:sub>
        </m:sSub>
        <m:r>
          <m:rPr>
            <m:sty m:val="p"/>
          </m:rPr>
          <w:rPr>
            <w:rFonts w:ascii="Cambria Math" w:hAnsi="Cambria Math" w:cs="Times New Roman"/>
          </w:rPr>
          <m:t xml:space="preserve">: </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1</m:t>
            </m:r>
          </m:sub>
        </m:sSub>
        <m:d>
          <m:dPr>
            <m:ctrlPr>
              <w:rPr>
                <w:rFonts w:ascii="Cambria Math" w:hAnsi="Cambria Math" w:cs="Times New Roman"/>
              </w:rPr>
            </m:ctrlPr>
          </m:dPr>
          <m:e>
            <m:r>
              <w:rPr>
                <w:rFonts w:ascii="Cambria Math" w:hAnsi="Cambria Math" w:cs="Times New Roman"/>
              </w:rPr>
              <m:t>Y</m:t>
            </m:r>
          </m:e>
        </m:d>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2</m:t>
            </m:r>
          </m:sub>
        </m:sSub>
        <m:r>
          <m:rPr>
            <m:sty m:val="p"/>
          </m:rPr>
          <w:rPr>
            <w:rFonts w:ascii="Cambria Math" w:hAnsi="Cambria Math" w:cs="Times New Roman"/>
          </w:rPr>
          <m:t>(</m:t>
        </m:r>
        <m:r>
          <w:rPr>
            <w:rFonts w:ascii="Cambria Math" w:hAnsi="Cambria Math" w:cs="Times New Roman"/>
          </w:rPr>
          <m:t>Y</m:t>
        </m:r>
        <m:r>
          <m:rPr>
            <m:sty m:val="p"/>
          </m:rPr>
          <w:rPr>
            <w:rFonts w:ascii="Cambria Math" w:hAnsi="Cambria Math" w:cs="Times New Roman"/>
          </w:rPr>
          <m:t>)</m:t>
        </m:r>
      </m:oMath>
      <w:r w:rsidR="006E6DE4" w:rsidRPr="00C808BF">
        <w:rPr>
          <w:rFonts w:cs="Times New Roman"/>
        </w:rPr>
        <w:t xml:space="preserve"> vs </w:t>
      </w:r>
      <m:oMath>
        <m:sSub>
          <m:sSubPr>
            <m:ctrlPr>
              <w:rPr>
                <w:rFonts w:ascii="Cambria Math" w:hAnsi="Cambria Math" w:cs="Times New Roman"/>
              </w:rPr>
            </m:ctrlPr>
          </m:sSubPr>
          <m:e>
            <m:r>
              <w:rPr>
                <w:rFonts w:ascii="Cambria Math" w:hAnsi="Cambria Math" w:cs="Times New Roman"/>
              </w:rPr>
              <m:t>H</m:t>
            </m:r>
          </m:e>
          <m:sub>
            <m:r>
              <m:rPr>
                <m:sty m:val="p"/>
              </m:rPr>
              <w:rPr>
                <w:rFonts w:ascii="Cambria Math" w:hAnsi="Cambria Math" w:cs="Times New Roman"/>
              </w:rPr>
              <m:t>1</m:t>
            </m:r>
          </m:sub>
        </m:sSub>
        <m:r>
          <m:rPr>
            <m:sty m:val="p"/>
          </m:rPr>
          <w:rPr>
            <w:rFonts w:ascii="Cambria Math" w:hAnsi="Cambria Math" w:cs="Times New Roman"/>
          </w:rPr>
          <m:t xml:space="preserve">: </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1</m:t>
            </m:r>
          </m:sub>
        </m:sSub>
        <m:d>
          <m:dPr>
            <m:ctrlPr>
              <w:rPr>
                <w:rFonts w:ascii="Cambria Math" w:hAnsi="Cambria Math" w:cs="Times New Roman"/>
              </w:rPr>
            </m:ctrlPr>
          </m:dPr>
          <m:e>
            <m:r>
              <w:rPr>
                <w:rFonts w:ascii="Cambria Math" w:hAnsi="Cambria Math" w:cs="Times New Roman"/>
              </w:rPr>
              <m:t>Y</m:t>
            </m:r>
          </m:e>
        </m:d>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2</m:t>
            </m:r>
          </m:sub>
        </m:sSub>
        <m:r>
          <m:rPr>
            <m:sty m:val="p"/>
          </m:rPr>
          <w:rPr>
            <w:rFonts w:ascii="Cambria Math" w:hAnsi="Cambria Math" w:cs="Times New Roman"/>
          </w:rPr>
          <m:t>(</m:t>
        </m:r>
        <m:r>
          <w:rPr>
            <w:rFonts w:ascii="Cambria Math" w:hAnsi="Cambria Math" w:cs="Times New Roman"/>
          </w:rPr>
          <m:t>Y</m:t>
        </m:r>
        <m:r>
          <m:rPr>
            <m:sty m:val="p"/>
          </m:rPr>
          <w:rPr>
            <w:rFonts w:ascii="Cambria Math" w:hAnsi="Cambria Math" w:cs="Times New Roman"/>
          </w:rPr>
          <m:t>)</m:t>
        </m:r>
      </m:oMath>
      <w:r w:rsidR="006E6DE4" w:rsidRPr="00C808BF">
        <w:rPr>
          <w:rFonts w:cs="Times New Roman"/>
        </w:rPr>
        <w:t>, para um teste bilateral</w:t>
      </w:r>
    </w:p>
    <w:p w14:paraId="4E4DE2AC" w14:textId="6301E81C" w:rsidR="006E6DE4" w:rsidRPr="006357FA" w:rsidRDefault="006E6DE4" w:rsidP="006E6DE4">
      <w:pPr>
        <w:spacing w:line="360" w:lineRule="auto"/>
        <w:jc w:val="both"/>
        <w:rPr>
          <w:rFonts w:cs="Times New Roman"/>
        </w:rPr>
      </w:pPr>
      <w:r w:rsidRPr="006357FA">
        <w:rPr>
          <w:rFonts w:cs="Times New Roman"/>
        </w:rPr>
        <w:t xml:space="preserve">Em que: </w:t>
      </w:r>
      <m:oMath>
        <m:sSub>
          <m:sSubPr>
            <m:ctrlPr>
              <w:rPr>
                <w:rFonts w:ascii="Cambria Math" w:hAnsi="Cambria Math" w:cs="Times New Roman"/>
              </w:rPr>
            </m:ctrlPr>
          </m:sSubPr>
          <m:e>
            <m:r>
              <w:rPr>
                <w:rFonts w:ascii="Cambria Math" w:hAnsi="Cambria Math" w:cs="Times New Roman"/>
              </w:rPr>
              <m:t>F</m:t>
            </m:r>
          </m:e>
          <m:sub>
            <m:r>
              <w:rPr>
                <w:rFonts w:ascii="Cambria Math" w:hAnsi="Cambria Math" w:cs="Times New Roman"/>
              </w:rPr>
              <m:t>i</m:t>
            </m:r>
          </m:sub>
        </m:sSub>
        <m:d>
          <m:dPr>
            <m:ctrlPr>
              <w:rPr>
                <w:rFonts w:ascii="Cambria Math" w:hAnsi="Cambria Math" w:cs="Times New Roman"/>
              </w:rPr>
            </m:ctrlPr>
          </m:dPr>
          <m:e>
            <m:r>
              <w:rPr>
                <w:rFonts w:ascii="Cambria Math" w:hAnsi="Cambria Math" w:cs="Times New Roman"/>
              </w:rPr>
              <m:t>Y</m:t>
            </m:r>
          </m:e>
        </m:d>
        <m:r>
          <w:rPr>
            <w:rFonts w:ascii="Cambria Math" w:hAnsi="Cambria Math" w:cs="Times New Roman"/>
          </w:rPr>
          <m:t xml:space="preserve">,  </m:t>
        </m:r>
        <m:r>
          <m:rPr>
            <m:sty m:val="p"/>
          </m:rPr>
          <w:rPr>
            <w:rFonts w:ascii="Cambria Math" w:hAnsi="Cambria Math" w:cs="Times New Roman"/>
          </w:rPr>
          <m:t>com</m:t>
        </m:r>
        <m:r>
          <w:rPr>
            <w:rFonts w:ascii="Cambria Math" w:hAnsi="Cambria Math" w:cs="Times New Roman"/>
          </w:rPr>
          <m:t xml:space="preserve"> i=1,2</m:t>
        </m:r>
      </m:oMath>
      <w:r w:rsidRPr="006357FA">
        <w:rPr>
          <w:rFonts w:cs="Times New Roman"/>
        </w:rPr>
        <w:t xml:space="preserve"> representa a função de distribuição da variável Y na população </w:t>
      </w:r>
      <w:r w:rsidRPr="006357FA">
        <w:rPr>
          <w:rFonts w:cs="Times New Roman"/>
          <w:i/>
          <w:iCs/>
        </w:rPr>
        <w:t>i</w:t>
      </w:r>
      <w:r>
        <w:rPr>
          <w:rFonts w:cs="Times New Roman"/>
          <w:i/>
          <w:iCs/>
        </w:rPr>
        <w:t xml:space="preserve">, </w:t>
      </w:r>
      <w:r>
        <w:rPr>
          <w:rFonts w:cs="Times New Roman"/>
        </w:rPr>
        <w:t>municípios com elevadas percentagens de abstenção e municípios com baixas percentagens de abstenção.</w:t>
      </w:r>
      <w:r>
        <w:rPr>
          <w:rFonts w:cs="Times New Roman"/>
          <w:i/>
          <w:iCs/>
        </w:rPr>
        <w:t xml:space="preserve"> </w:t>
      </w:r>
    </w:p>
    <w:p w14:paraId="1CFDB5FB" w14:textId="77777777" w:rsidR="006E6DE4" w:rsidRDefault="006E6DE4" w:rsidP="006E6DE4">
      <w:pPr>
        <w:spacing w:before="240" w:line="360" w:lineRule="auto"/>
        <w:jc w:val="both"/>
        <w:rPr>
          <w:rFonts w:cs="Times New Roman"/>
        </w:rPr>
      </w:pPr>
      <w:r>
        <w:rPr>
          <w:rFonts w:cs="Times New Roman"/>
        </w:rPr>
        <w:lastRenderedPageBreak/>
        <w:t>Para o efeito, as hipóteses estatísticas são:</w:t>
      </w:r>
    </w:p>
    <w:p w14:paraId="4C3B1B53" w14:textId="4C181102" w:rsidR="006E6DE4" w:rsidRPr="006357FA" w:rsidRDefault="0043154B" w:rsidP="006E6DE4">
      <w:pPr>
        <w:pStyle w:val="PargrafodaLista"/>
        <w:numPr>
          <w:ilvl w:val="0"/>
          <w:numId w:val="28"/>
        </w:numPr>
        <w:spacing w:line="360" w:lineRule="auto"/>
        <w:jc w:val="both"/>
        <w:rPr>
          <w:rFonts w:cs="Times New Roman"/>
        </w:rPr>
      </w:pPr>
      <m:oMath>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0</m:t>
            </m:r>
          </m:sub>
        </m:sSub>
      </m:oMath>
      <w:r w:rsidR="006E6DE4">
        <w:rPr>
          <w:rFonts w:eastAsiaTheme="minorEastAsia" w:cs="Times New Roman"/>
        </w:rPr>
        <w:t>: A distribuição de ITM é semelhante nos municípios com maiores percentagens e abstenção e nos municípios com menores percentagens de abstenção (MPA)</w:t>
      </w:r>
    </w:p>
    <w:p w14:paraId="12942163" w14:textId="161F266B" w:rsidR="006E6DE4" w:rsidRPr="006E6DE4" w:rsidRDefault="0043154B" w:rsidP="006E6DE4">
      <w:pPr>
        <w:pStyle w:val="PargrafodaLista"/>
        <w:numPr>
          <w:ilvl w:val="0"/>
          <w:numId w:val="28"/>
        </w:numPr>
        <w:spacing w:before="240" w:line="360" w:lineRule="auto"/>
        <w:jc w:val="both"/>
        <w:rPr>
          <w:rFonts w:cs="Times New Roman"/>
        </w:rPr>
      </w:pPr>
      <m:oMath>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1</m:t>
            </m:r>
          </m:sub>
        </m:sSub>
      </m:oMath>
      <w:r w:rsidR="006E6DE4" w:rsidRPr="00316207">
        <w:rPr>
          <w:rFonts w:eastAsiaTheme="minorEastAsia" w:cs="Times New Roman"/>
        </w:rPr>
        <w:t xml:space="preserve">: A distribuição de ITM não é semelhante nos municípios </w:t>
      </w:r>
      <w:r w:rsidR="006E6DE4">
        <w:rPr>
          <w:rFonts w:eastAsiaTheme="minorEastAsia" w:cs="Times New Roman"/>
        </w:rPr>
        <w:t>com maiores percentagens e abstenção e nos municípios com menores percentagens de abstenção</w:t>
      </w:r>
      <w:r w:rsidR="006E6DE4" w:rsidRPr="00316207">
        <w:rPr>
          <w:rFonts w:eastAsiaTheme="minorEastAsia" w:cs="Times New Roman"/>
        </w:rPr>
        <w:t xml:space="preserve"> (</w:t>
      </w:r>
      <w:r w:rsidR="006E6DE4">
        <w:rPr>
          <w:rFonts w:eastAsiaTheme="minorEastAsia" w:cs="Times New Roman"/>
        </w:rPr>
        <w:t>MPA</w:t>
      </w:r>
      <w:r w:rsidR="006E6DE4" w:rsidRPr="006E6DE4">
        <w:rPr>
          <w:rFonts w:eastAsiaTheme="minorEastAsia" w:cs="Times New Roman"/>
        </w:rPr>
        <w:t>)</w:t>
      </w:r>
    </w:p>
    <w:p w14:paraId="0B65986E" w14:textId="54FC0F36" w:rsidR="0049126A" w:rsidRDefault="0049126A" w:rsidP="0049126A">
      <w:pPr>
        <w:spacing w:line="360" w:lineRule="auto"/>
        <w:jc w:val="both"/>
        <w:rPr>
          <w:rFonts w:cs="Times New Roman"/>
        </w:rPr>
      </w:pPr>
      <w:r w:rsidRPr="0049126A">
        <w:rPr>
          <w:rFonts w:cs="Times New Roman"/>
        </w:rPr>
        <w:t xml:space="preserve">Os resultados obtidos, com recurso ao </w:t>
      </w:r>
      <w:r w:rsidRPr="0049126A">
        <w:rPr>
          <w:rFonts w:cs="Times New Roman"/>
          <w:i/>
          <w:iCs/>
        </w:rPr>
        <w:t xml:space="preserve">package </w:t>
      </w:r>
      <w:r w:rsidRPr="0049126A">
        <w:rPr>
          <w:rFonts w:cs="Times New Roman"/>
        </w:rPr>
        <w:t>estatístico</w:t>
      </w:r>
      <w:r w:rsidRPr="0049126A">
        <w:rPr>
          <w:rFonts w:cs="Times New Roman"/>
          <w:i/>
          <w:iCs/>
        </w:rPr>
        <w:t xml:space="preserve"> SPSS</w:t>
      </w:r>
      <w:r w:rsidRPr="0049126A">
        <w:rPr>
          <w:rFonts w:cs="Times New Roman"/>
        </w:rPr>
        <w:t xml:space="preserve"> 26, para os 5 anos em estudo (2013-2017)</w:t>
      </w:r>
      <w:r>
        <w:rPr>
          <w:rFonts w:cs="Times New Roman"/>
        </w:rPr>
        <w:t xml:space="preserve"> são apresentados na Tabela 4.</w:t>
      </w:r>
      <w:r w:rsidR="00DE5BE7">
        <w:rPr>
          <w:rFonts w:cs="Times New Roman"/>
        </w:rPr>
        <w:t>12</w:t>
      </w:r>
      <w:r>
        <w:rPr>
          <w:rFonts w:cs="Times New Roman"/>
        </w:rPr>
        <w:t>.</w:t>
      </w:r>
    </w:p>
    <w:p w14:paraId="2B421049" w14:textId="231B4886" w:rsidR="0049126A" w:rsidRPr="0049126A" w:rsidRDefault="0049126A" w:rsidP="008C0C27">
      <w:pPr>
        <w:spacing w:after="60" w:line="240" w:lineRule="auto"/>
        <w:jc w:val="center"/>
        <w:rPr>
          <w:rFonts w:cs="Times New Roman"/>
        </w:rPr>
      </w:pPr>
      <w:bookmarkStart w:id="114" w:name="_Toc58853172"/>
      <w:bookmarkStart w:id="115" w:name="_Toc66624261"/>
      <w:r w:rsidRPr="0049126A">
        <w:rPr>
          <w:rFonts w:cs="Times New Roman"/>
          <w:b/>
          <w:bCs/>
        </w:rPr>
        <w:t xml:space="preserve">Tabela </w:t>
      </w:r>
      <w:r w:rsidR="00843BFC">
        <w:rPr>
          <w:rFonts w:cs="Times New Roman"/>
          <w:b/>
          <w:bCs/>
        </w:rPr>
        <w:fldChar w:fldCharType="begin"/>
      </w:r>
      <w:r w:rsidR="00843BFC">
        <w:rPr>
          <w:rFonts w:cs="Times New Roman"/>
          <w:b/>
          <w:bCs/>
        </w:rPr>
        <w:instrText xml:space="preserve"> STYLEREF 1 \s </w:instrText>
      </w:r>
      <w:r w:rsidR="00843BFC">
        <w:rPr>
          <w:rFonts w:cs="Times New Roman"/>
          <w:b/>
          <w:bCs/>
        </w:rPr>
        <w:fldChar w:fldCharType="separate"/>
      </w:r>
      <w:r w:rsidR="00380A6F">
        <w:rPr>
          <w:rFonts w:cs="Times New Roman"/>
          <w:b/>
          <w:bCs/>
          <w:noProof/>
        </w:rPr>
        <w:t>4</w:t>
      </w:r>
      <w:r w:rsidR="00843BFC">
        <w:rPr>
          <w:rFonts w:cs="Times New Roman"/>
          <w:b/>
          <w:bCs/>
        </w:rPr>
        <w:fldChar w:fldCharType="end"/>
      </w:r>
      <w:r w:rsidR="00843BFC">
        <w:rPr>
          <w:rFonts w:cs="Times New Roman"/>
          <w:b/>
          <w:bCs/>
        </w:rPr>
        <w:t>.</w:t>
      </w:r>
      <w:r w:rsidR="00843BFC">
        <w:rPr>
          <w:rFonts w:cs="Times New Roman"/>
          <w:b/>
          <w:bCs/>
        </w:rPr>
        <w:fldChar w:fldCharType="begin"/>
      </w:r>
      <w:r w:rsidR="00843BFC">
        <w:rPr>
          <w:rFonts w:cs="Times New Roman"/>
          <w:b/>
          <w:bCs/>
        </w:rPr>
        <w:instrText xml:space="preserve"> SEQ Tabela \* ARABIC \s 1 </w:instrText>
      </w:r>
      <w:r w:rsidR="00843BFC">
        <w:rPr>
          <w:rFonts w:cs="Times New Roman"/>
          <w:b/>
          <w:bCs/>
        </w:rPr>
        <w:fldChar w:fldCharType="separate"/>
      </w:r>
      <w:r w:rsidR="00380A6F">
        <w:rPr>
          <w:rFonts w:cs="Times New Roman"/>
          <w:b/>
          <w:bCs/>
          <w:noProof/>
        </w:rPr>
        <w:t>12</w:t>
      </w:r>
      <w:r w:rsidR="00843BFC">
        <w:rPr>
          <w:rFonts w:cs="Times New Roman"/>
          <w:b/>
          <w:bCs/>
        </w:rPr>
        <w:fldChar w:fldCharType="end"/>
      </w:r>
      <w:r w:rsidRPr="0049126A">
        <w:rPr>
          <w:rFonts w:cs="Times New Roman"/>
          <w:b/>
          <w:bCs/>
        </w:rPr>
        <w:t xml:space="preserve"> -</w:t>
      </w:r>
      <w:r w:rsidRPr="0049126A">
        <w:rPr>
          <w:rFonts w:cs="Times New Roman"/>
        </w:rPr>
        <w:t xml:space="preserve"> </w:t>
      </w:r>
      <w:r w:rsidRPr="00146E46">
        <w:rPr>
          <w:rFonts w:cs="Times New Roman"/>
        </w:rPr>
        <w:t xml:space="preserve">Estatística de teste de </w:t>
      </w:r>
      <w:r w:rsidRPr="00C90AC5">
        <w:rPr>
          <w:rFonts w:cs="Times New Roman"/>
        </w:rPr>
        <w:t>Mann-</w:t>
      </w:r>
      <w:proofErr w:type="spellStart"/>
      <w:r w:rsidRPr="00C90AC5">
        <w:rPr>
          <w:rFonts w:cs="Times New Roman"/>
        </w:rPr>
        <w:t>Whitney</w:t>
      </w:r>
      <w:proofErr w:type="spellEnd"/>
      <w:r w:rsidRPr="00146E46">
        <w:rPr>
          <w:rFonts w:cs="Times New Roman"/>
        </w:rPr>
        <w:t xml:space="preserve"> para o ITM com </w:t>
      </w:r>
      <w:r w:rsidR="00EA16C8">
        <w:rPr>
          <w:rFonts w:cs="Times New Roman"/>
        </w:rPr>
        <w:t>diferentes</w:t>
      </w:r>
      <w:r>
        <w:rPr>
          <w:rFonts w:cs="Times New Roman"/>
        </w:rPr>
        <w:t xml:space="preserve"> variáveis de agrupamento</w:t>
      </w:r>
      <w:bookmarkEnd w:id="114"/>
      <w:bookmarkEnd w:id="115"/>
    </w:p>
    <w:tbl>
      <w:tblPr>
        <w:tblStyle w:val="TabeladeLista6Colorida2"/>
        <w:tblW w:w="9781" w:type="dxa"/>
        <w:jc w:val="center"/>
        <w:tblLayout w:type="fixed"/>
        <w:tblLook w:val="04A0" w:firstRow="1" w:lastRow="0" w:firstColumn="1" w:lastColumn="0" w:noHBand="0" w:noVBand="1"/>
      </w:tblPr>
      <w:tblGrid>
        <w:gridCol w:w="2836"/>
        <w:gridCol w:w="1041"/>
        <w:gridCol w:w="876"/>
        <w:gridCol w:w="1041"/>
        <w:gridCol w:w="986"/>
        <w:gridCol w:w="1041"/>
        <w:gridCol w:w="876"/>
        <w:gridCol w:w="1084"/>
      </w:tblGrid>
      <w:tr w:rsidR="00A22875" w:rsidRPr="00A32816" w14:paraId="438C62F2" w14:textId="11ED0EC6" w:rsidTr="00312765">
        <w:trPr>
          <w:cnfStyle w:val="100000000000" w:firstRow="1" w:lastRow="0" w:firstColumn="0" w:lastColumn="0" w:oddVBand="0" w:evenVBand="0" w:oddHBand="0"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2836" w:type="dxa"/>
            <w:tcBorders>
              <w:top w:val="double" w:sz="4" w:space="0" w:color="auto"/>
            </w:tcBorders>
            <w:noWrap/>
            <w:hideMark/>
          </w:tcPr>
          <w:p w14:paraId="4257B187" w14:textId="789F8AED" w:rsidR="00A22875" w:rsidRPr="008C0C27" w:rsidRDefault="00A22875" w:rsidP="008D349C">
            <w:pPr>
              <w:spacing w:line="276" w:lineRule="auto"/>
              <w:rPr>
                <w:rFonts w:eastAsia="Times New Roman" w:cs="Times New Roman"/>
                <w:sz w:val="22"/>
                <w:lang w:eastAsia="pt-PT"/>
              </w:rPr>
            </w:pPr>
          </w:p>
        </w:tc>
        <w:tc>
          <w:tcPr>
            <w:tcW w:w="6945" w:type="dxa"/>
            <w:gridSpan w:val="7"/>
            <w:tcBorders>
              <w:top w:val="double" w:sz="4" w:space="0" w:color="auto"/>
            </w:tcBorders>
          </w:tcPr>
          <w:p w14:paraId="4E5C8A89" w14:textId="2DE18DE3" w:rsidR="00A22875" w:rsidRPr="008C0C27" w:rsidRDefault="00A22875" w:rsidP="008D349C">
            <w:pPr>
              <w:spacing w:line="276"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8C0C27">
              <w:rPr>
                <w:rFonts w:eastAsia="Times New Roman" w:cs="Times New Roman"/>
                <w:color w:val="000000"/>
                <w:sz w:val="22"/>
                <w:lang w:eastAsia="pt-PT"/>
              </w:rPr>
              <w:t>ITM</w:t>
            </w:r>
          </w:p>
        </w:tc>
      </w:tr>
      <w:tr w:rsidR="00A22875" w:rsidRPr="00A32816" w14:paraId="743E4919" w14:textId="4F3B83FC" w:rsidTr="00312765">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2836" w:type="dxa"/>
            <w:shd w:val="clear" w:color="auto" w:fill="E7E6E6" w:themeFill="background2"/>
            <w:noWrap/>
            <w:hideMark/>
          </w:tcPr>
          <w:p w14:paraId="7BBCB102" w14:textId="302DC1EC" w:rsidR="00A22875" w:rsidRPr="008C0C27" w:rsidRDefault="00A22875" w:rsidP="00312765">
            <w:pPr>
              <w:spacing w:line="276" w:lineRule="auto"/>
              <w:jc w:val="right"/>
              <w:rPr>
                <w:rFonts w:eastAsia="Times New Roman" w:cs="Times New Roman"/>
                <w:color w:val="000000"/>
                <w:sz w:val="22"/>
                <w:lang w:eastAsia="pt-PT"/>
              </w:rPr>
            </w:pPr>
            <w:r w:rsidRPr="008C0C27">
              <w:rPr>
                <w:rFonts w:eastAsia="Times New Roman" w:cs="Times New Roman"/>
                <w:color w:val="000000"/>
                <w:sz w:val="22"/>
                <w:lang w:eastAsia="pt-PT"/>
              </w:rPr>
              <w:t>Variável de agrupamento</w:t>
            </w:r>
          </w:p>
        </w:tc>
        <w:tc>
          <w:tcPr>
            <w:tcW w:w="1041" w:type="dxa"/>
            <w:shd w:val="clear" w:color="auto" w:fill="E7E6E6" w:themeFill="background2"/>
            <w:noWrap/>
            <w:hideMark/>
          </w:tcPr>
          <w:p w14:paraId="10DF846D" w14:textId="77777777" w:rsidR="00A22875" w:rsidRPr="008C0C27" w:rsidRDefault="00A22875" w:rsidP="008D349C">
            <w:pPr>
              <w:spacing w:line="276"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8C0C27">
              <w:rPr>
                <w:rFonts w:eastAsia="Times New Roman" w:cs="Times New Roman"/>
                <w:color w:val="000000"/>
                <w:sz w:val="22"/>
                <w:lang w:eastAsia="pt-PT"/>
              </w:rPr>
              <w:t>IPP</w:t>
            </w:r>
          </w:p>
        </w:tc>
        <w:tc>
          <w:tcPr>
            <w:tcW w:w="876" w:type="dxa"/>
            <w:shd w:val="clear" w:color="auto" w:fill="E7E6E6" w:themeFill="background2"/>
            <w:noWrap/>
            <w:hideMark/>
          </w:tcPr>
          <w:p w14:paraId="69E8163F" w14:textId="2DC40C6B" w:rsidR="00A22875" w:rsidRPr="008C0C27" w:rsidRDefault="00376BD9" w:rsidP="008D349C">
            <w:pPr>
              <w:spacing w:line="276"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Pr>
                <w:rFonts w:eastAsia="Times New Roman" w:cs="Times New Roman"/>
                <w:color w:val="000000"/>
                <w:sz w:val="22"/>
                <w:lang w:eastAsia="pt-PT"/>
              </w:rPr>
              <w:t>C</w:t>
            </w:r>
            <w:r w:rsidR="00A22875" w:rsidRPr="008C0C27">
              <w:rPr>
                <w:rFonts w:eastAsia="Times New Roman" w:cs="Times New Roman"/>
                <w:color w:val="000000"/>
                <w:sz w:val="22"/>
                <w:lang w:eastAsia="pt-PT"/>
              </w:rPr>
              <w:t>CP</w:t>
            </w:r>
          </w:p>
        </w:tc>
        <w:tc>
          <w:tcPr>
            <w:tcW w:w="1041" w:type="dxa"/>
            <w:shd w:val="clear" w:color="auto" w:fill="E7E6E6" w:themeFill="background2"/>
            <w:noWrap/>
            <w:hideMark/>
          </w:tcPr>
          <w:p w14:paraId="07AA6820" w14:textId="77777777" w:rsidR="00A22875" w:rsidRPr="008C0C27" w:rsidRDefault="00A22875" w:rsidP="008D349C">
            <w:pPr>
              <w:spacing w:line="276"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8C0C27">
              <w:rPr>
                <w:rFonts w:eastAsia="Times New Roman" w:cs="Times New Roman"/>
                <w:color w:val="000000"/>
                <w:sz w:val="22"/>
                <w:lang w:eastAsia="pt-PT"/>
              </w:rPr>
              <w:t>MVEnd</w:t>
            </w:r>
          </w:p>
        </w:tc>
        <w:tc>
          <w:tcPr>
            <w:tcW w:w="986" w:type="dxa"/>
            <w:shd w:val="clear" w:color="auto" w:fill="E7E6E6" w:themeFill="background2"/>
          </w:tcPr>
          <w:p w14:paraId="3772616D" w14:textId="59310C10" w:rsidR="00A22875" w:rsidRPr="008C0C27" w:rsidRDefault="00137F6F" w:rsidP="008D349C">
            <w:pPr>
              <w:spacing w:line="276"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Pr>
                <w:rFonts w:eastAsia="Times New Roman" w:cs="Times New Roman"/>
                <w:color w:val="000000"/>
                <w:sz w:val="22"/>
                <w:lang w:eastAsia="pt-PT"/>
              </w:rPr>
              <w:t>M</w:t>
            </w:r>
            <w:r w:rsidR="00A22875">
              <w:rPr>
                <w:rFonts w:eastAsia="Times New Roman" w:cs="Times New Roman"/>
                <w:color w:val="000000"/>
                <w:sz w:val="22"/>
                <w:lang w:eastAsia="pt-PT"/>
              </w:rPr>
              <w:t>D</w:t>
            </w:r>
            <w:r w:rsidR="000A23D0">
              <w:rPr>
                <w:rFonts w:eastAsia="Times New Roman" w:cs="Times New Roman"/>
                <w:color w:val="000000"/>
                <w:sz w:val="22"/>
                <w:lang w:eastAsia="pt-PT"/>
              </w:rPr>
              <w:t>E</w:t>
            </w:r>
          </w:p>
        </w:tc>
        <w:tc>
          <w:tcPr>
            <w:tcW w:w="1041" w:type="dxa"/>
            <w:shd w:val="clear" w:color="auto" w:fill="E7E6E6" w:themeFill="background2"/>
          </w:tcPr>
          <w:p w14:paraId="051FD119" w14:textId="37A87449" w:rsidR="00A22875" w:rsidRPr="008C0C27" w:rsidRDefault="00A22875" w:rsidP="008D349C">
            <w:pPr>
              <w:spacing w:line="276"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proofErr w:type="spellStart"/>
            <w:r>
              <w:rPr>
                <w:rFonts w:eastAsia="Times New Roman" w:cs="Times New Roman"/>
                <w:color w:val="000000"/>
                <w:sz w:val="22"/>
                <w:lang w:eastAsia="pt-PT"/>
              </w:rPr>
              <w:t>MTxPI</w:t>
            </w:r>
            <w:proofErr w:type="spellEnd"/>
          </w:p>
        </w:tc>
        <w:tc>
          <w:tcPr>
            <w:tcW w:w="876" w:type="dxa"/>
            <w:shd w:val="clear" w:color="auto" w:fill="E7E6E6" w:themeFill="background2"/>
            <w:noWrap/>
            <w:hideMark/>
          </w:tcPr>
          <w:p w14:paraId="2F69430E" w14:textId="424C532E" w:rsidR="00A22875" w:rsidRPr="008C0C27" w:rsidRDefault="00A22875" w:rsidP="008D349C">
            <w:pPr>
              <w:spacing w:line="276"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proofErr w:type="spellStart"/>
            <w:r w:rsidRPr="008C0C27">
              <w:rPr>
                <w:rFonts w:eastAsia="Times New Roman" w:cs="Times New Roman"/>
                <w:color w:val="000000"/>
                <w:sz w:val="22"/>
                <w:lang w:eastAsia="pt-PT"/>
              </w:rPr>
              <w:t>CTxD</w:t>
            </w:r>
            <w:proofErr w:type="spellEnd"/>
          </w:p>
        </w:tc>
        <w:tc>
          <w:tcPr>
            <w:tcW w:w="1084" w:type="dxa"/>
            <w:shd w:val="clear" w:color="auto" w:fill="E7E6E6" w:themeFill="background2"/>
          </w:tcPr>
          <w:p w14:paraId="394328B3" w14:textId="57A00F8D" w:rsidR="00A22875" w:rsidRPr="008C0C27" w:rsidRDefault="00A22875" w:rsidP="008D349C">
            <w:pPr>
              <w:spacing w:line="276"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Pr>
                <w:rFonts w:eastAsia="Times New Roman" w:cs="Times New Roman"/>
                <w:color w:val="000000"/>
                <w:sz w:val="22"/>
                <w:lang w:eastAsia="pt-PT"/>
              </w:rPr>
              <w:t>MPA</w:t>
            </w:r>
          </w:p>
        </w:tc>
      </w:tr>
      <w:tr w:rsidR="00137F6F" w:rsidRPr="00A32816" w14:paraId="22D66610" w14:textId="607D1FCF" w:rsidTr="00312765">
        <w:trPr>
          <w:trHeight w:val="371"/>
          <w:jc w:val="center"/>
        </w:trPr>
        <w:tc>
          <w:tcPr>
            <w:cnfStyle w:val="001000000000" w:firstRow="0" w:lastRow="0" w:firstColumn="1" w:lastColumn="0" w:oddVBand="0" w:evenVBand="0" w:oddHBand="0" w:evenHBand="0" w:firstRowFirstColumn="0" w:firstRowLastColumn="0" w:lastRowFirstColumn="0" w:lastRowLastColumn="0"/>
            <w:tcW w:w="2836" w:type="dxa"/>
            <w:noWrap/>
            <w:hideMark/>
          </w:tcPr>
          <w:p w14:paraId="14873C32" w14:textId="77777777" w:rsidR="00137F6F" w:rsidRPr="008C0C27" w:rsidRDefault="00137F6F" w:rsidP="00137F6F">
            <w:pPr>
              <w:spacing w:line="276" w:lineRule="auto"/>
              <w:rPr>
                <w:rFonts w:eastAsia="Times New Roman" w:cs="Times New Roman"/>
                <w:b w:val="0"/>
                <w:bCs w:val="0"/>
                <w:color w:val="000000"/>
                <w:sz w:val="22"/>
                <w:lang w:eastAsia="pt-PT"/>
              </w:rPr>
            </w:pPr>
            <w:r w:rsidRPr="008C0C27">
              <w:rPr>
                <w:rFonts w:eastAsia="Times New Roman" w:cs="Times New Roman"/>
                <w:b w:val="0"/>
                <w:bCs w:val="0"/>
                <w:color w:val="000000"/>
                <w:sz w:val="22"/>
                <w:lang w:eastAsia="pt-PT"/>
              </w:rPr>
              <w:t xml:space="preserve">U de </w:t>
            </w:r>
            <w:r w:rsidRPr="00C90AC5">
              <w:rPr>
                <w:rFonts w:eastAsia="Times New Roman" w:cs="Times New Roman"/>
                <w:b w:val="0"/>
                <w:bCs w:val="0"/>
                <w:color w:val="000000"/>
                <w:sz w:val="22"/>
                <w:lang w:eastAsia="pt-PT"/>
              </w:rPr>
              <w:t>Mann-</w:t>
            </w:r>
            <w:proofErr w:type="spellStart"/>
            <w:r w:rsidRPr="00C90AC5">
              <w:rPr>
                <w:rFonts w:eastAsia="Times New Roman" w:cs="Times New Roman"/>
                <w:b w:val="0"/>
                <w:bCs w:val="0"/>
                <w:color w:val="000000"/>
                <w:sz w:val="22"/>
                <w:lang w:eastAsia="pt-PT"/>
              </w:rPr>
              <w:t>Whitney</w:t>
            </w:r>
            <w:proofErr w:type="spellEnd"/>
          </w:p>
        </w:tc>
        <w:tc>
          <w:tcPr>
            <w:tcW w:w="1041" w:type="dxa"/>
            <w:noWrap/>
            <w:hideMark/>
          </w:tcPr>
          <w:p w14:paraId="231D043C" w14:textId="77777777" w:rsidR="00137F6F" w:rsidRPr="008C0C27" w:rsidRDefault="00137F6F" w:rsidP="00137F6F">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8C0C27">
              <w:rPr>
                <w:rFonts w:eastAsia="Times New Roman" w:cs="Times New Roman"/>
                <w:color w:val="000000"/>
                <w:sz w:val="22"/>
                <w:lang w:eastAsia="pt-PT"/>
              </w:rPr>
              <w:t>264634,5</w:t>
            </w:r>
          </w:p>
        </w:tc>
        <w:tc>
          <w:tcPr>
            <w:tcW w:w="876" w:type="dxa"/>
            <w:noWrap/>
            <w:hideMark/>
          </w:tcPr>
          <w:p w14:paraId="2B3842DF" w14:textId="77777777" w:rsidR="00137F6F" w:rsidRPr="008C0C27" w:rsidRDefault="00137F6F" w:rsidP="00137F6F">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8C0C27">
              <w:rPr>
                <w:rFonts w:eastAsia="Times New Roman" w:cs="Times New Roman"/>
                <w:color w:val="000000"/>
                <w:sz w:val="22"/>
                <w:lang w:eastAsia="pt-PT"/>
              </w:rPr>
              <w:t>193475</w:t>
            </w:r>
          </w:p>
        </w:tc>
        <w:tc>
          <w:tcPr>
            <w:tcW w:w="1041" w:type="dxa"/>
            <w:noWrap/>
            <w:hideMark/>
          </w:tcPr>
          <w:p w14:paraId="286A2D05" w14:textId="77777777" w:rsidR="00137F6F" w:rsidRPr="008C0C27" w:rsidRDefault="00137F6F" w:rsidP="00137F6F">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8C0C27">
              <w:rPr>
                <w:rFonts w:eastAsia="Times New Roman" w:cs="Times New Roman"/>
                <w:color w:val="000000"/>
                <w:sz w:val="22"/>
                <w:lang w:eastAsia="pt-PT"/>
              </w:rPr>
              <w:t>207753,5</w:t>
            </w:r>
          </w:p>
        </w:tc>
        <w:tc>
          <w:tcPr>
            <w:tcW w:w="986" w:type="dxa"/>
          </w:tcPr>
          <w:p w14:paraId="21E66454" w14:textId="7A756E7E" w:rsidR="00137F6F" w:rsidRPr="008C0C27" w:rsidRDefault="00137F6F" w:rsidP="00137F6F">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137F6F">
              <w:rPr>
                <w:rFonts w:eastAsia="Times New Roman" w:cs="Times New Roman"/>
                <w:color w:val="000000"/>
                <w:sz w:val="22"/>
                <w:lang w:eastAsia="pt-PT"/>
              </w:rPr>
              <w:t>230088</w:t>
            </w:r>
          </w:p>
        </w:tc>
        <w:tc>
          <w:tcPr>
            <w:tcW w:w="1041" w:type="dxa"/>
          </w:tcPr>
          <w:p w14:paraId="5474F56E" w14:textId="693113DD" w:rsidR="00137F6F" w:rsidRPr="008C0C27" w:rsidRDefault="00137F6F" w:rsidP="00137F6F">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DE5BE7">
              <w:rPr>
                <w:rFonts w:eastAsia="Times New Roman" w:cs="Times New Roman"/>
                <w:color w:val="000000"/>
                <w:sz w:val="22"/>
                <w:lang w:eastAsia="pt-PT"/>
              </w:rPr>
              <w:t>257025,5</w:t>
            </w:r>
          </w:p>
        </w:tc>
        <w:tc>
          <w:tcPr>
            <w:tcW w:w="876" w:type="dxa"/>
            <w:noWrap/>
            <w:hideMark/>
          </w:tcPr>
          <w:p w14:paraId="0C4DE1A6" w14:textId="30A56734" w:rsidR="00137F6F" w:rsidRPr="008C0C27" w:rsidRDefault="00137F6F" w:rsidP="00137F6F">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8C0C27">
              <w:rPr>
                <w:rFonts w:eastAsia="Times New Roman" w:cs="Times New Roman"/>
                <w:color w:val="000000"/>
                <w:sz w:val="22"/>
                <w:lang w:eastAsia="pt-PT"/>
              </w:rPr>
              <w:t>131349</w:t>
            </w:r>
          </w:p>
        </w:tc>
        <w:tc>
          <w:tcPr>
            <w:tcW w:w="1084" w:type="dxa"/>
          </w:tcPr>
          <w:p w14:paraId="3B3A3EA9" w14:textId="3BEBDFD0" w:rsidR="00137F6F" w:rsidRPr="008C0C27" w:rsidRDefault="00137F6F" w:rsidP="00137F6F">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DE5BE7">
              <w:rPr>
                <w:rFonts w:eastAsia="Times New Roman" w:cs="Times New Roman"/>
                <w:color w:val="000000"/>
                <w:sz w:val="22"/>
                <w:lang w:eastAsia="pt-PT"/>
              </w:rPr>
              <w:t>239670,5</w:t>
            </w:r>
          </w:p>
        </w:tc>
      </w:tr>
      <w:tr w:rsidR="00137F6F" w:rsidRPr="00A32816" w14:paraId="175097A5" w14:textId="4482B9E7" w:rsidTr="00312765">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836" w:type="dxa"/>
            <w:shd w:val="clear" w:color="auto" w:fill="E7E6E6" w:themeFill="background2"/>
            <w:noWrap/>
            <w:hideMark/>
          </w:tcPr>
          <w:p w14:paraId="1616359A" w14:textId="77777777" w:rsidR="00137F6F" w:rsidRPr="008C0C27" w:rsidRDefault="00137F6F" w:rsidP="00137F6F">
            <w:pPr>
              <w:spacing w:line="276" w:lineRule="auto"/>
              <w:rPr>
                <w:rFonts w:eastAsia="Times New Roman" w:cs="Times New Roman"/>
                <w:b w:val="0"/>
                <w:bCs w:val="0"/>
                <w:color w:val="000000"/>
                <w:sz w:val="22"/>
                <w:lang w:eastAsia="pt-PT"/>
              </w:rPr>
            </w:pPr>
            <w:proofErr w:type="spellStart"/>
            <w:r w:rsidRPr="00C90AC5">
              <w:rPr>
                <w:rFonts w:eastAsia="Times New Roman" w:cs="Times New Roman"/>
                <w:b w:val="0"/>
                <w:bCs w:val="0"/>
                <w:color w:val="000000"/>
                <w:sz w:val="22"/>
                <w:lang w:eastAsia="pt-PT"/>
              </w:rPr>
              <w:t>Wilcoxon</w:t>
            </w:r>
            <w:proofErr w:type="spellEnd"/>
            <w:r w:rsidRPr="008C0C27">
              <w:rPr>
                <w:rFonts w:eastAsia="Times New Roman" w:cs="Times New Roman"/>
                <w:b w:val="0"/>
                <w:bCs w:val="0"/>
                <w:color w:val="000000"/>
                <w:sz w:val="22"/>
                <w:lang w:eastAsia="pt-PT"/>
              </w:rPr>
              <w:t xml:space="preserve"> W</w:t>
            </w:r>
          </w:p>
        </w:tc>
        <w:tc>
          <w:tcPr>
            <w:tcW w:w="1041" w:type="dxa"/>
            <w:shd w:val="clear" w:color="auto" w:fill="E7E6E6" w:themeFill="background2"/>
            <w:noWrap/>
            <w:hideMark/>
          </w:tcPr>
          <w:p w14:paraId="6D131ADA" w14:textId="77777777" w:rsidR="00137F6F" w:rsidRPr="008C0C27" w:rsidRDefault="00137F6F" w:rsidP="00137F6F">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8C0C27">
              <w:rPr>
                <w:rFonts w:eastAsia="Times New Roman" w:cs="Times New Roman"/>
                <w:color w:val="000000"/>
                <w:sz w:val="22"/>
                <w:lang w:eastAsia="pt-PT"/>
              </w:rPr>
              <w:t>415060,5</w:t>
            </w:r>
          </w:p>
        </w:tc>
        <w:tc>
          <w:tcPr>
            <w:tcW w:w="876" w:type="dxa"/>
            <w:shd w:val="clear" w:color="auto" w:fill="E7E6E6" w:themeFill="background2"/>
            <w:noWrap/>
            <w:hideMark/>
          </w:tcPr>
          <w:p w14:paraId="10FA0918" w14:textId="77777777" w:rsidR="00137F6F" w:rsidRPr="008C0C27" w:rsidRDefault="00137F6F" w:rsidP="00137F6F">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8C0C27">
              <w:rPr>
                <w:rFonts w:eastAsia="Times New Roman" w:cs="Times New Roman"/>
                <w:color w:val="000000"/>
                <w:sz w:val="22"/>
                <w:lang w:eastAsia="pt-PT"/>
              </w:rPr>
              <w:t>244835</w:t>
            </w:r>
          </w:p>
        </w:tc>
        <w:tc>
          <w:tcPr>
            <w:tcW w:w="1041" w:type="dxa"/>
            <w:shd w:val="clear" w:color="auto" w:fill="E7E6E6" w:themeFill="background2"/>
            <w:noWrap/>
            <w:hideMark/>
          </w:tcPr>
          <w:p w14:paraId="633BA6C6" w14:textId="77777777" w:rsidR="00137F6F" w:rsidRPr="008C0C27" w:rsidRDefault="00137F6F" w:rsidP="00137F6F">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8C0C27">
              <w:rPr>
                <w:rFonts w:eastAsia="Times New Roman" w:cs="Times New Roman"/>
                <w:color w:val="000000"/>
                <w:sz w:val="22"/>
                <w:lang w:eastAsia="pt-PT"/>
              </w:rPr>
              <w:t>862693,5</w:t>
            </w:r>
          </w:p>
        </w:tc>
        <w:tc>
          <w:tcPr>
            <w:tcW w:w="986" w:type="dxa"/>
            <w:shd w:val="clear" w:color="auto" w:fill="E7E6E6" w:themeFill="background2"/>
          </w:tcPr>
          <w:p w14:paraId="095503E4" w14:textId="2BFA254D" w:rsidR="00137F6F" w:rsidRPr="008C0C27" w:rsidRDefault="00137F6F" w:rsidP="00137F6F">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137F6F">
              <w:rPr>
                <w:rFonts w:eastAsia="Times New Roman" w:cs="Times New Roman"/>
                <w:color w:val="000000"/>
                <w:sz w:val="22"/>
                <w:lang w:eastAsia="pt-PT"/>
              </w:rPr>
              <w:t>420124</w:t>
            </w:r>
          </w:p>
        </w:tc>
        <w:tc>
          <w:tcPr>
            <w:tcW w:w="1041" w:type="dxa"/>
            <w:shd w:val="clear" w:color="auto" w:fill="E7E6E6" w:themeFill="background2"/>
          </w:tcPr>
          <w:p w14:paraId="4354C613" w14:textId="6054F628" w:rsidR="00137F6F" w:rsidRPr="008C0C27" w:rsidRDefault="00137F6F" w:rsidP="00137F6F">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DE5BE7">
              <w:rPr>
                <w:rFonts w:eastAsia="Times New Roman" w:cs="Times New Roman"/>
                <w:color w:val="000000"/>
                <w:sz w:val="22"/>
                <w:lang w:eastAsia="pt-PT"/>
              </w:rPr>
              <w:t>520926,5</w:t>
            </w:r>
          </w:p>
        </w:tc>
        <w:tc>
          <w:tcPr>
            <w:tcW w:w="876" w:type="dxa"/>
            <w:shd w:val="clear" w:color="auto" w:fill="E7E6E6" w:themeFill="background2"/>
            <w:hideMark/>
          </w:tcPr>
          <w:p w14:paraId="0279D798" w14:textId="25F85800" w:rsidR="00137F6F" w:rsidRPr="008C0C27" w:rsidRDefault="00137F6F" w:rsidP="00137F6F">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8C0C27">
              <w:rPr>
                <w:rFonts w:eastAsia="Times New Roman" w:cs="Times New Roman"/>
                <w:color w:val="000000"/>
                <w:sz w:val="22"/>
                <w:lang w:eastAsia="pt-PT"/>
              </w:rPr>
              <w:t>932094</w:t>
            </w:r>
          </w:p>
        </w:tc>
        <w:tc>
          <w:tcPr>
            <w:tcW w:w="1084" w:type="dxa"/>
            <w:shd w:val="clear" w:color="auto" w:fill="E7E6E6" w:themeFill="background2"/>
          </w:tcPr>
          <w:p w14:paraId="6622AAF5" w14:textId="1062EEFC" w:rsidR="00137F6F" w:rsidRPr="008C0C27" w:rsidRDefault="00137F6F" w:rsidP="00137F6F">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DE5BE7">
              <w:rPr>
                <w:rFonts w:eastAsia="Times New Roman" w:cs="Times New Roman"/>
                <w:color w:val="000000"/>
                <w:sz w:val="22"/>
                <w:lang w:eastAsia="pt-PT"/>
              </w:rPr>
              <w:t>564891,5</w:t>
            </w:r>
          </w:p>
        </w:tc>
      </w:tr>
      <w:tr w:rsidR="00137F6F" w:rsidRPr="00A32816" w14:paraId="6B107AD0" w14:textId="5B056340" w:rsidTr="00312765">
        <w:trPr>
          <w:trHeight w:val="300"/>
          <w:jc w:val="center"/>
        </w:trPr>
        <w:tc>
          <w:tcPr>
            <w:cnfStyle w:val="001000000000" w:firstRow="0" w:lastRow="0" w:firstColumn="1" w:lastColumn="0" w:oddVBand="0" w:evenVBand="0" w:oddHBand="0" w:evenHBand="0" w:firstRowFirstColumn="0" w:firstRowLastColumn="0" w:lastRowFirstColumn="0" w:lastRowLastColumn="0"/>
            <w:tcW w:w="2836" w:type="dxa"/>
            <w:noWrap/>
            <w:hideMark/>
          </w:tcPr>
          <w:p w14:paraId="09D65BFB" w14:textId="77777777" w:rsidR="00137F6F" w:rsidRPr="008C0C27" w:rsidRDefault="00137F6F" w:rsidP="00137F6F">
            <w:pPr>
              <w:spacing w:line="276" w:lineRule="auto"/>
              <w:rPr>
                <w:rFonts w:eastAsia="Times New Roman" w:cs="Times New Roman"/>
                <w:b w:val="0"/>
                <w:bCs w:val="0"/>
                <w:color w:val="000000"/>
                <w:sz w:val="22"/>
                <w:lang w:eastAsia="pt-PT"/>
              </w:rPr>
            </w:pPr>
            <w:r w:rsidRPr="008C0C27">
              <w:rPr>
                <w:rFonts w:eastAsia="Times New Roman" w:cs="Times New Roman"/>
                <w:b w:val="0"/>
                <w:bCs w:val="0"/>
                <w:color w:val="000000"/>
                <w:sz w:val="22"/>
                <w:lang w:eastAsia="pt-PT"/>
              </w:rPr>
              <w:t>Z</w:t>
            </w:r>
          </w:p>
        </w:tc>
        <w:tc>
          <w:tcPr>
            <w:tcW w:w="1041" w:type="dxa"/>
            <w:noWrap/>
            <w:hideMark/>
          </w:tcPr>
          <w:p w14:paraId="7F9357CA" w14:textId="77777777" w:rsidR="00137F6F" w:rsidRPr="008C0C27" w:rsidRDefault="00137F6F" w:rsidP="00137F6F">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8C0C27">
              <w:rPr>
                <w:rFonts w:eastAsia="Times New Roman" w:cs="Times New Roman"/>
                <w:color w:val="000000"/>
                <w:sz w:val="22"/>
                <w:lang w:eastAsia="pt-PT"/>
              </w:rPr>
              <w:t>-0,859</w:t>
            </w:r>
          </w:p>
        </w:tc>
        <w:tc>
          <w:tcPr>
            <w:tcW w:w="876" w:type="dxa"/>
            <w:noWrap/>
            <w:hideMark/>
          </w:tcPr>
          <w:p w14:paraId="529BD5A5" w14:textId="77777777" w:rsidR="00137F6F" w:rsidRPr="008C0C27" w:rsidRDefault="00137F6F" w:rsidP="00137F6F">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8C0C27">
              <w:rPr>
                <w:rFonts w:eastAsia="Times New Roman" w:cs="Times New Roman"/>
                <w:color w:val="000000"/>
                <w:sz w:val="22"/>
                <w:lang w:eastAsia="pt-PT"/>
              </w:rPr>
              <w:t>-0,244</w:t>
            </w:r>
          </w:p>
        </w:tc>
        <w:tc>
          <w:tcPr>
            <w:tcW w:w="1041" w:type="dxa"/>
            <w:noWrap/>
            <w:hideMark/>
          </w:tcPr>
          <w:p w14:paraId="3F5FFF1F" w14:textId="77777777" w:rsidR="00137F6F" w:rsidRPr="008C0C27" w:rsidRDefault="00137F6F" w:rsidP="00137F6F">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8C0C27">
              <w:rPr>
                <w:rFonts w:eastAsia="Times New Roman" w:cs="Times New Roman"/>
                <w:color w:val="000000"/>
                <w:sz w:val="22"/>
                <w:lang w:eastAsia="pt-PT"/>
              </w:rPr>
              <w:t>-2,388</w:t>
            </w:r>
          </w:p>
        </w:tc>
        <w:tc>
          <w:tcPr>
            <w:tcW w:w="986" w:type="dxa"/>
          </w:tcPr>
          <w:p w14:paraId="472E5ECC" w14:textId="7DB0406C" w:rsidR="00137F6F" w:rsidRPr="008C0C27" w:rsidRDefault="00137F6F" w:rsidP="00137F6F">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137F6F">
              <w:rPr>
                <w:rFonts w:eastAsia="Times New Roman" w:cs="Times New Roman"/>
                <w:color w:val="000000"/>
                <w:sz w:val="22"/>
                <w:lang w:eastAsia="pt-PT"/>
              </w:rPr>
              <w:t>-6,375</w:t>
            </w:r>
          </w:p>
        </w:tc>
        <w:tc>
          <w:tcPr>
            <w:tcW w:w="1041" w:type="dxa"/>
          </w:tcPr>
          <w:p w14:paraId="739318D8" w14:textId="6526134B" w:rsidR="00137F6F" w:rsidRPr="008C0C27" w:rsidRDefault="00137F6F" w:rsidP="00137F6F">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DE5BE7">
              <w:rPr>
                <w:rFonts w:eastAsia="Times New Roman" w:cs="Times New Roman"/>
                <w:color w:val="000000"/>
                <w:sz w:val="22"/>
                <w:lang w:eastAsia="pt-PT"/>
              </w:rPr>
              <w:t>-4,414</w:t>
            </w:r>
          </w:p>
        </w:tc>
        <w:tc>
          <w:tcPr>
            <w:tcW w:w="876" w:type="dxa"/>
            <w:hideMark/>
          </w:tcPr>
          <w:p w14:paraId="60CB1C7B" w14:textId="263FAB15" w:rsidR="00137F6F" w:rsidRPr="008C0C27" w:rsidRDefault="00137F6F" w:rsidP="00137F6F">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8C0C27">
              <w:rPr>
                <w:rFonts w:eastAsia="Times New Roman" w:cs="Times New Roman"/>
                <w:color w:val="000000"/>
                <w:sz w:val="22"/>
                <w:lang w:eastAsia="pt-PT"/>
              </w:rPr>
              <w:t>-6,372</w:t>
            </w:r>
          </w:p>
        </w:tc>
        <w:tc>
          <w:tcPr>
            <w:tcW w:w="1084" w:type="dxa"/>
          </w:tcPr>
          <w:p w14:paraId="78BD7DD1" w14:textId="2DAC7586" w:rsidR="00137F6F" w:rsidRPr="008C0C27" w:rsidRDefault="00137F6F" w:rsidP="00137F6F">
            <w:pPr>
              <w:spacing w:line="276"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DE5BE7">
              <w:rPr>
                <w:rFonts w:eastAsia="Times New Roman" w:cs="Times New Roman"/>
                <w:color w:val="000000"/>
                <w:sz w:val="22"/>
                <w:lang w:eastAsia="pt-PT"/>
              </w:rPr>
              <w:t>-6,440</w:t>
            </w:r>
          </w:p>
        </w:tc>
      </w:tr>
      <w:tr w:rsidR="00137F6F" w:rsidRPr="00A32816" w14:paraId="4416553F" w14:textId="1890A687" w:rsidTr="00312765">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2836" w:type="dxa"/>
            <w:tcBorders>
              <w:bottom w:val="double" w:sz="4" w:space="0" w:color="auto"/>
            </w:tcBorders>
            <w:shd w:val="clear" w:color="auto" w:fill="E7E6E6" w:themeFill="background2"/>
            <w:noWrap/>
            <w:hideMark/>
          </w:tcPr>
          <w:p w14:paraId="72447F7C" w14:textId="3750FC8E" w:rsidR="00137F6F" w:rsidRPr="008C0C27" w:rsidRDefault="00137F6F" w:rsidP="00137F6F">
            <w:pPr>
              <w:spacing w:line="276" w:lineRule="auto"/>
              <w:rPr>
                <w:rFonts w:eastAsia="Times New Roman" w:cs="Times New Roman"/>
                <w:b w:val="0"/>
                <w:bCs w:val="0"/>
                <w:color w:val="000000"/>
                <w:sz w:val="22"/>
                <w:lang w:eastAsia="pt-PT"/>
              </w:rPr>
            </w:pPr>
            <w:r w:rsidRPr="008C0C27">
              <w:rPr>
                <w:rFonts w:eastAsia="Times New Roman" w:cs="Times New Roman"/>
                <w:b w:val="0"/>
                <w:bCs w:val="0"/>
                <w:color w:val="000000"/>
                <w:sz w:val="22"/>
                <w:lang w:eastAsia="pt-PT"/>
              </w:rPr>
              <w:t xml:space="preserve">Significância </w:t>
            </w:r>
            <w:proofErr w:type="spellStart"/>
            <w:r w:rsidRPr="008C0C27">
              <w:rPr>
                <w:rFonts w:eastAsia="Times New Roman" w:cs="Times New Roman"/>
                <w:b w:val="0"/>
                <w:bCs w:val="0"/>
                <w:color w:val="000000"/>
                <w:sz w:val="22"/>
                <w:lang w:eastAsia="pt-PT"/>
              </w:rPr>
              <w:t>Sig</w:t>
            </w:r>
            <w:proofErr w:type="spellEnd"/>
            <w:r w:rsidRPr="008C0C27">
              <w:rPr>
                <w:rFonts w:eastAsia="Times New Roman" w:cs="Times New Roman"/>
                <w:b w:val="0"/>
                <w:bCs w:val="0"/>
                <w:color w:val="000000"/>
                <w:sz w:val="22"/>
                <w:lang w:eastAsia="pt-PT"/>
              </w:rPr>
              <w:t>. (bilateral)</w:t>
            </w:r>
          </w:p>
        </w:tc>
        <w:tc>
          <w:tcPr>
            <w:tcW w:w="1041" w:type="dxa"/>
            <w:tcBorders>
              <w:bottom w:val="double" w:sz="4" w:space="0" w:color="auto"/>
            </w:tcBorders>
            <w:shd w:val="clear" w:color="auto" w:fill="E7E6E6" w:themeFill="background2"/>
            <w:noWrap/>
            <w:hideMark/>
          </w:tcPr>
          <w:p w14:paraId="48DBB70D" w14:textId="77777777" w:rsidR="00137F6F" w:rsidRPr="008C0C27" w:rsidRDefault="00137F6F" w:rsidP="00137F6F">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8C0C27">
              <w:rPr>
                <w:rFonts w:eastAsia="Times New Roman" w:cs="Times New Roman"/>
                <w:color w:val="000000"/>
                <w:sz w:val="22"/>
                <w:lang w:eastAsia="pt-PT"/>
              </w:rPr>
              <w:t>0,391</w:t>
            </w:r>
          </w:p>
        </w:tc>
        <w:tc>
          <w:tcPr>
            <w:tcW w:w="876" w:type="dxa"/>
            <w:tcBorders>
              <w:bottom w:val="double" w:sz="4" w:space="0" w:color="auto"/>
            </w:tcBorders>
            <w:shd w:val="clear" w:color="auto" w:fill="E7E6E6" w:themeFill="background2"/>
            <w:noWrap/>
            <w:hideMark/>
          </w:tcPr>
          <w:p w14:paraId="300A4311" w14:textId="77777777" w:rsidR="00137F6F" w:rsidRPr="008C0C27" w:rsidRDefault="00137F6F" w:rsidP="00137F6F">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8C0C27">
              <w:rPr>
                <w:rFonts w:eastAsia="Times New Roman" w:cs="Times New Roman"/>
                <w:color w:val="000000"/>
                <w:sz w:val="22"/>
                <w:lang w:eastAsia="pt-PT"/>
              </w:rPr>
              <w:t>0,808</w:t>
            </w:r>
          </w:p>
        </w:tc>
        <w:tc>
          <w:tcPr>
            <w:tcW w:w="1041" w:type="dxa"/>
            <w:tcBorders>
              <w:bottom w:val="double" w:sz="4" w:space="0" w:color="auto"/>
            </w:tcBorders>
            <w:shd w:val="clear" w:color="auto" w:fill="E7E6E6" w:themeFill="background2"/>
            <w:noWrap/>
            <w:hideMark/>
          </w:tcPr>
          <w:p w14:paraId="14BBB8BF" w14:textId="77777777" w:rsidR="00137F6F" w:rsidRPr="008C0C27" w:rsidRDefault="00137F6F" w:rsidP="00137F6F">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8C0C27">
              <w:rPr>
                <w:rFonts w:eastAsia="Times New Roman" w:cs="Times New Roman"/>
                <w:color w:val="000000"/>
                <w:sz w:val="22"/>
                <w:lang w:eastAsia="pt-PT"/>
              </w:rPr>
              <w:t>0,017</w:t>
            </w:r>
          </w:p>
        </w:tc>
        <w:tc>
          <w:tcPr>
            <w:tcW w:w="986" w:type="dxa"/>
            <w:tcBorders>
              <w:bottom w:val="double" w:sz="4" w:space="0" w:color="auto"/>
            </w:tcBorders>
            <w:shd w:val="clear" w:color="auto" w:fill="E7E6E6" w:themeFill="background2"/>
          </w:tcPr>
          <w:p w14:paraId="2C22AEE6" w14:textId="3675CD8B" w:rsidR="00137F6F" w:rsidRPr="008C0C27" w:rsidRDefault="00137F6F" w:rsidP="00137F6F">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Pr>
                <w:rFonts w:eastAsia="Times New Roman" w:cs="Times New Roman"/>
                <w:color w:val="000000"/>
                <w:sz w:val="22"/>
                <w:lang w:eastAsia="pt-PT"/>
              </w:rPr>
              <w:t>0</w:t>
            </w:r>
            <w:r w:rsidRPr="00137F6F">
              <w:rPr>
                <w:rFonts w:eastAsia="Times New Roman" w:cs="Times New Roman"/>
                <w:color w:val="000000"/>
                <w:sz w:val="22"/>
                <w:lang w:eastAsia="pt-PT"/>
              </w:rPr>
              <w:t>,000</w:t>
            </w:r>
          </w:p>
        </w:tc>
        <w:tc>
          <w:tcPr>
            <w:tcW w:w="1041" w:type="dxa"/>
            <w:tcBorders>
              <w:bottom w:val="double" w:sz="4" w:space="0" w:color="auto"/>
            </w:tcBorders>
            <w:shd w:val="clear" w:color="auto" w:fill="E7E6E6" w:themeFill="background2"/>
          </w:tcPr>
          <w:p w14:paraId="76BD0B5D" w14:textId="04118699" w:rsidR="00137F6F" w:rsidRPr="008C0C27" w:rsidRDefault="00137F6F" w:rsidP="00137F6F">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DE5BE7">
              <w:rPr>
                <w:rFonts w:eastAsia="Times New Roman" w:cs="Times New Roman"/>
                <w:color w:val="000000"/>
                <w:sz w:val="22"/>
                <w:lang w:eastAsia="pt-PT"/>
              </w:rPr>
              <w:t>0,000</w:t>
            </w:r>
          </w:p>
        </w:tc>
        <w:tc>
          <w:tcPr>
            <w:tcW w:w="876" w:type="dxa"/>
            <w:tcBorders>
              <w:bottom w:val="double" w:sz="4" w:space="0" w:color="auto"/>
            </w:tcBorders>
            <w:shd w:val="clear" w:color="auto" w:fill="E7E6E6" w:themeFill="background2"/>
            <w:noWrap/>
            <w:hideMark/>
          </w:tcPr>
          <w:p w14:paraId="00AB3B80" w14:textId="2ACC4D04" w:rsidR="00137F6F" w:rsidRPr="008C0C27" w:rsidRDefault="00137F6F" w:rsidP="00137F6F">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8C0C27">
              <w:rPr>
                <w:rFonts w:eastAsia="Times New Roman" w:cs="Times New Roman"/>
                <w:color w:val="000000"/>
                <w:sz w:val="22"/>
                <w:lang w:eastAsia="pt-PT"/>
              </w:rPr>
              <w:t>0</w:t>
            </w:r>
            <w:r>
              <w:rPr>
                <w:rFonts w:eastAsia="Times New Roman" w:cs="Times New Roman"/>
                <w:color w:val="000000"/>
                <w:sz w:val="22"/>
                <w:lang w:eastAsia="pt-PT"/>
              </w:rPr>
              <w:t>,000</w:t>
            </w:r>
          </w:p>
        </w:tc>
        <w:tc>
          <w:tcPr>
            <w:tcW w:w="1084" w:type="dxa"/>
            <w:tcBorders>
              <w:bottom w:val="double" w:sz="4" w:space="0" w:color="auto"/>
            </w:tcBorders>
            <w:shd w:val="clear" w:color="auto" w:fill="E7E6E6" w:themeFill="background2"/>
          </w:tcPr>
          <w:p w14:paraId="0051363B" w14:textId="5A9FA742" w:rsidR="00137F6F" w:rsidRPr="008C0C27" w:rsidRDefault="00137F6F" w:rsidP="00137F6F">
            <w:pPr>
              <w:spacing w:line="276"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DE5BE7">
              <w:rPr>
                <w:rFonts w:eastAsia="Times New Roman" w:cs="Times New Roman"/>
                <w:color w:val="000000"/>
                <w:sz w:val="22"/>
                <w:lang w:eastAsia="pt-PT"/>
              </w:rPr>
              <w:t>0,000</w:t>
            </w:r>
          </w:p>
        </w:tc>
      </w:tr>
    </w:tbl>
    <w:p w14:paraId="64C58C3D" w14:textId="21E7C64C" w:rsidR="0049126A" w:rsidRPr="007751CB" w:rsidRDefault="0049126A" w:rsidP="006118F8">
      <w:pPr>
        <w:spacing w:before="240" w:line="360" w:lineRule="auto"/>
        <w:jc w:val="both"/>
        <w:rPr>
          <w:rFonts w:cs="Times New Roman"/>
        </w:rPr>
      </w:pPr>
      <w:r w:rsidRPr="00316207">
        <w:rPr>
          <w:rFonts w:cs="Times New Roman"/>
        </w:rPr>
        <w:t xml:space="preserve">O teste de </w:t>
      </w:r>
      <w:r w:rsidRPr="00C90AC5">
        <w:rPr>
          <w:rFonts w:cs="Times New Roman"/>
        </w:rPr>
        <w:t>Mann-</w:t>
      </w:r>
      <w:proofErr w:type="spellStart"/>
      <w:r w:rsidRPr="00C90AC5">
        <w:rPr>
          <w:rFonts w:cs="Times New Roman"/>
        </w:rPr>
        <w:t>Whitney</w:t>
      </w:r>
      <w:proofErr w:type="spellEnd"/>
      <w:r>
        <w:rPr>
          <w:rFonts w:cs="Times New Roman"/>
        </w:rPr>
        <w:t>, para a variável de agrupamento ideologia do partido político</w:t>
      </w:r>
      <w:r w:rsidR="00FE0966">
        <w:rPr>
          <w:rFonts w:cs="Times New Roman"/>
        </w:rPr>
        <w:t xml:space="preserve"> (IPP)</w:t>
      </w:r>
      <w:r>
        <w:rPr>
          <w:rFonts w:cs="Times New Roman"/>
        </w:rPr>
        <w:t>,</w:t>
      </w:r>
      <w:r w:rsidRPr="00316207">
        <w:rPr>
          <w:rFonts w:cs="Times New Roman"/>
        </w:rPr>
        <w:t xml:space="preserve"> </w:t>
      </w:r>
      <w:r w:rsidR="00E205CB">
        <w:rPr>
          <w:rFonts w:cs="Times New Roman"/>
        </w:rPr>
        <w:t>leva</w:t>
      </w:r>
      <w:r w:rsidRPr="00316207">
        <w:rPr>
          <w:rFonts w:cs="Times New Roman"/>
        </w:rPr>
        <w:t xml:space="preserve">-nos </w:t>
      </w:r>
      <w:r w:rsidR="00E205CB">
        <w:rPr>
          <w:rFonts w:cs="Times New Roman"/>
        </w:rPr>
        <w:t xml:space="preserve">a </w:t>
      </w:r>
      <w:r w:rsidRPr="00316207">
        <w:rPr>
          <w:rFonts w:cs="Times New Roman"/>
        </w:rPr>
        <w:t>aceita</w:t>
      </w:r>
      <w:r w:rsidR="00E205CB">
        <w:rPr>
          <w:rFonts w:cs="Times New Roman"/>
        </w:rPr>
        <w:t>r</w:t>
      </w:r>
      <w:r w:rsidRPr="00316207">
        <w:rPr>
          <w:rFonts w:cs="Times New Roman"/>
        </w:rPr>
        <w:t xml:space="preserve"> a hipótese nula, ou seja, a distribuição de ITM nas categorias (1 e 0) de Ideologia do Partido Político é idêntica (</w:t>
      </w:r>
      <w:proofErr w:type="spellStart"/>
      <w:r w:rsidRPr="00316207">
        <w:rPr>
          <w:rFonts w:cs="Times New Roman"/>
          <w:i/>
          <w:iCs/>
        </w:rPr>
        <w:t>Sig</w:t>
      </w:r>
      <w:proofErr w:type="spellEnd"/>
      <w:r w:rsidRPr="00316207">
        <w:rPr>
          <w:rFonts w:cs="Times New Roman"/>
          <w:i/>
          <w:iCs/>
        </w:rPr>
        <w:t>.</w:t>
      </w:r>
      <w:r w:rsidRPr="00316207">
        <w:rPr>
          <w:rFonts w:cs="Times New Roman"/>
        </w:rPr>
        <w:t xml:space="preserve"> = 0,391 &gt; 0,05).</w:t>
      </w:r>
      <w:r w:rsidRPr="0049126A">
        <w:rPr>
          <w:rFonts w:cs="Times New Roman"/>
        </w:rPr>
        <w:t xml:space="preserve"> </w:t>
      </w:r>
      <w:r>
        <w:rPr>
          <w:rFonts w:cs="Times New Roman"/>
        </w:rPr>
        <w:t>Embora para os 5 anos em estudo haja ligeiras diferenças entre a distribuição dos municípios com ideologias diferentes para os valores de ITM essas diferenças não se mostram estatisticamente significativas, se pretendermos extrapolar os resultados para anos que não constem do nosso estudo.</w:t>
      </w:r>
      <w:r w:rsidR="00412237">
        <w:rPr>
          <w:rFonts w:cs="Times New Roman"/>
        </w:rPr>
        <w:t xml:space="preserve"> </w:t>
      </w:r>
    </w:p>
    <w:bookmarkEnd w:id="113"/>
    <w:p w14:paraId="266B41AF" w14:textId="15E384AB" w:rsidR="0049126A" w:rsidRDefault="00C5327C" w:rsidP="0049126A">
      <w:pPr>
        <w:spacing w:before="240" w:line="360" w:lineRule="auto"/>
        <w:jc w:val="both"/>
        <w:rPr>
          <w:rFonts w:cs="Times New Roman"/>
          <w:color w:val="FF0000"/>
        </w:rPr>
      </w:pPr>
      <w:r>
        <w:rPr>
          <w:rFonts w:cs="Times New Roman"/>
        </w:rPr>
        <w:t>Para a variável competição política</w:t>
      </w:r>
      <w:r w:rsidR="006678D7">
        <w:rPr>
          <w:rFonts w:cs="Times New Roman"/>
        </w:rPr>
        <w:t xml:space="preserve"> (</w:t>
      </w:r>
      <w:r w:rsidR="00376BD9">
        <w:rPr>
          <w:rFonts w:cs="Times New Roman"/>
        </w:rPr>
        <w:t>C</w:t>
      </w:r>
      <w:r w:rsidR="006678D7">
        <w:rPr>
          <w:rFonts w:cs="Times New Roman"/>
        </w:rPr>
        <w:t>CP), a</w:t>
      </w:r>
      <w:r w:rsidR="0049126A">
        <w:rPr>
          <w:rFonts w:cs="Times New Roman"/>
        </w:rPr>
        <w:t>través da Tabela 4.</w:t>
      </w:r>
      <w:r w:rsidR="00D956D6">
        <w:rPr>
          <w:rFonts w:cs="Times New Roman"/>
        </w:rPr>
        <w:t>12</w:t>
      </w:r>
      <w:r w:rsidR="0049126A">
        <w:rPr>
          <w:rFonts w:cs="Times New Roman"/>
        </w:rPr>
        <w:t xml:space="preserve">, </w:t>
      </w:r>
      <w:r w:rsidR="00B4646C">
        <w:rPr>
          <w:rFonts w:cs="Times New Roman"/>
        </w:rPr>
        <w:t>observa-se</w:t>
      </w:r>
      <w:r w:rsidR="0049126A">
        <w:rPr>
          <w:rFonts w:cs="Times New Roman"/>
        </w:rPr>
        <w:t xml:space="preserve"> que a distribuição de ITM é idêntica nas categorias</w:t>
      </w:r>
      <w:r w:rsidR="00924E8E">
        <w:rPr>
          <w:rFonts w:cs="Times New Roman"/>
        </w:rPr>
        <w:t xml:space="preserve"> (1 e 0)</w:t>
      </w:r>
      <w:r w:rsidR="0049126A">
        <w:rPr>
          <w:rFonts w:cs="Times New Roman"/>
        </w:rPr>
        <w:t xml:space="preserve"> de CP (</w:t>
      </w:r>
      <w:proofErr w:type="spellStart"/>
      <w:r w:rsidR="0049126A" w:rsidRPr="00DB4A68">
        <w:rPr>
          <w:rFonts w:cs="Times New Roman"/>
          <w:i/>
          <w:iCs/>
        </w:rPr>
        <w:t>Sig</w:t>
      </w:r>
      <w:proofErr w:type="spellEnd"/>
      <w:r w:rsidR="0049126A" w:rsidRPr="00DB4A68">
        <w:rPr>
          <w:rFonts w:cs="Times New Roman"/>
          <w:i/>
          <w:iCs/>
        </w:rPr>
        <w:t>.</w:t>
      </w:r>
      <w:r w:rsidR="0049126A">
        <w:rPr>
          <w:rFonts w:cs="Times New Roman"/>
        </w:rPr>
        <w:t xml:space="preserve"> = 0,808 &gt; 0,05), ou seja, </w:t>
      </w:r>
      <w:r w:rsidR="00E436F6">
        <w:rPr>
          <w:rFonts w:cs="Times New Roman"/>
        </w:rPr>
        <w:t xml:space="preserve">não existem evidências estatísticas suficientes para afirmar que municípios com </w:t>
      </w:r>
      <w:r w:rsidR="000375EE">
        <w:rPr>
          <w:rFonts w:cs="Times New Roman"/>
        </w:rPr>
        <w:t>maior</w:t>
      </w:r>
      <w:r w:rsidR="00E436F6">
        <w:rPr>
          <w:rFonts w:cs="Times New Roman"/>
        </w:rPr>
        <w:t xml:space="preserve"> competição política apresentam maiores níveis de transparência</w:t>
      </w:r>
      <w:r w:rsidR="00BD19DF">
        <w:rPr>
          <w:rFonts w:cs="Times New Roman"/>
        </w:rPr>
        <w:t xml:space="preserve"> que os municípios de menor competição </w:t>
      </w:r>
      <w:r w:rsidR="00A22875">
        <w:rPr>
          <w:rFonts w:cs="Times New Roman"/>
        </w:rPr>
        <w:t>política</w:t>
      </w:r>
      <w:r w:rsidR="00E436F6">
        <w:rPr>
          <w:rFonts w:cs="Times New Roman"/>
        </w:rPr>
        <w:t>, e vice-versa</w:t>
      </w:r>
      <w:r w:rsidR="0049126A">
        <w:rPr>
          <w:rFonts w:cs="Times New Roman"/>
        </w:rPr>
        <w:t xml:space="preserve">. Desta forma, o teste de </w:t>
      </w:r>
      <w:r w:rsidR="0049126A" w:rsidRPr="00C90AC5">
        <w:rPr>
          <w:rFonts w:cs="Times New Roman"/>
        </w:rPr>
        <w:t>Mann-</w:t>
      </w:r>
      <w:proofErr w:type="spellStart"/>
      <w:r w:rsidR="0049126A" w:rsidRPr="00C90AC5">
        <w:rPr>
          <w:rFonts w:cs="Times New Roman"/>
        </w:rPr>
        <w:t>Whitney</w:t>
      </w:r>
      <w:proofErr w:type="spellEnd"/>
      <w:r w:rsidR="0049126A">
        <w:rPr>
          <w:rFonts w:cs="Times New Roman"/>
        </w:rPr>
        <w:t xml:space="preserve"> diz-nos que</w:t>
      </w:r>
      <w:r w:rsidR="00361FAF">
        <w:rPr>
          <w:rFonts w:cs="Times New Roman"/>
        </w:rPr>
        <w:t xml:space="preserve"> não</w:t>
      </w:r>
      <w:r w:rsidR="0049126A">
        <w:rPr>
          <w:rFonts w:cs="Times New Roman"/>
        </w:rPr>
        <w:t xml:space="preserve"> </w:t>
      </w:r>
      <w:r w:rsidR="00B4646C">
        <w:rPr>
          <w:rFonts w:cs="Times New Roman"/>
        </w:rPr>
        <w:t>se deve</w:t>
      </w:r>
      <w:r w:rsidR="0049126A">
        <w:rPr>
          <w:rFonts w:cs="Times New Roman"/>
        </w:rPr>
        <w:t xml:space="preserve"> </w:t>
      </w:r>
      <w:r w:rsidR="00361FAF">
        <w:rPr>
          <w:rFonts w:cs="Times New Roman"/>
        </w:rPr>
        <w:t>rejeit</w:t>
      </w:r>
      <w:r w:rsidR="0049126A">
        <w:rPr>
          <w:rFonts w:cs="Times New Roman"/>
        </w:rPr>
        <w:t xml:space="preserve">ar a hipótese nula. </w:t>
      </w:r>
      <w:r w:rsidR="00326774">
        <w:rPr>
          <w:rFonts w:cs="Times New Roman"/>
        </w:rPr>
        <w:t xml:space="preserve">À semelhança da variável de agrupamento anteriormente analisada, também as diferenças dos valores do ITM numa distribuição dos municípios por categorias de competição política não se mostram estatisticamente significativas se extrapolarmos os resultados para anos que não sejam alvo de estudo no presente trabalho. </w:t>
      </w:r>
    </w:p>
    <w:p w14:paraId="24C6431A" w14:textId="74836D4A" w:rsidR="00EC0A67" w:rsidRDefault="0042329E" w:rsidP="00EC0A67">
      <w:pPr>
        <w:spacing w:before="240" w:line="360" w:lineRule="auto"/>
        <w:jc w:val="both"/>
        <w:rPr>
          <w:rFonts w:cs="Times New Roman"/>
        </w:rPr>
      </w:pPr>
      <w:r>
        <w:rPr>
          <w:rFonts w:cs="Times New Roman"/>
        </w:rPr>
        <w:lastRenderedPageBreak/>
        <w:t>Para a variável de agrupamento MVEnd</w:t>
      </w:r>
      <w:r w:rsidR="00EC289A">
        <w:rPr>
          <w:rFonts w:cs="Times New Roman"/>
        </w:rPr>
        <w:t xml:space="preserve">, </w:t>
      </w:r>
      <w:r>
        <w:rPr>
          <w:rFonts w:cs="Times New Roman"/>
        </w:rPr>
        <w:t>o</w:t>
      </w:r>
      <w:r w:rsidR="00EC0A67">
        <w:rPr>
          <w:rFonts w:cs="Times New Roman"/>
        </w:rPr>
        <w:t xml:space="preserve"> teste realizado </w:t>
      </w:r>
      <w:r w:rsidR="00D41916">
        <w:rPr>
          <w:rFonts w:cs="Times New Roman"/>
        </w:rPr>
        <w:t>leva</w:t>
      </w:r>
      <w:r w:rsidR="00EC0A67">
        <w:rPr>
          <w:rFonts w:cs="Times New Roman"/>
        </w:rPr>
        <w:t xml:space="preserve">-nos </w:t>
      </w:r>
      <w:r w:rsidR="00D41916">
        <w:rPr>
          <w:rFonts w:cs="Times New Roman"/>
        </w:rPr>
        <w:t>a</w:t>
      </w:r>
      <w:r w:rsidR="00EC0A67">
        <w:rPr>
          <w:rFonts w:cs="Times New Roman"/>
        </w:rPr>
        <w:t xml:space="preserve"> rejeitar a hipótese nula, uma vez que existem diferenças na distribuição do ITM por categorias</w:t>
      </w:r>
      <w:r w:rsidR="00924E8E">
        <w:rPr>
          <w:rFonts w:cs="Times New Roman"/>
        </w:rPr>
        <w:t xml:space="preserve"> (1 e 0)</w:t>
      </w:r>
      <w:r w:rsidR="00EC0A67">
        <w:rPr>
          <w:rFonts w:cs="Times New Roman"/>
        </w:rPr>
        <w:t xml:space="preserve"> da média do valor do endividamento (</w:t>
      </w:r>
      <w:proofErr w:type="spellStart"/>
      <w:r w:rsidR="00EC0A67" w:rsidRPr="00F25857">
        <w:rPr>
          <w:rFonts w:cs="Times New Roman"/>
          <w:i/>
          <w:iCs/>
        </w:rPr>
        <w:t>Sig</w:t>
      </w:r>
      <w:proofErr w:type="spellEnd"/>
      <w:r w:rsidR="00EC0A67" w:rsidRPr="00F25857">
        <w:rPr>
          <w:rFonts w:cs="Times New Roman"/>
          <w:i/>
          <w:iCs/>
        </w:rPr>
        <w:t>.</w:t>
      </w:r>
      <w:r w:rsidR="00EC0A67">
        <w:rPr>
          <w:rFonts w:cs="Times New Roman"/>
        </w:rPr>
        <w:t xml:space="preserve"> = 0,017 &lt; 0,05).</w:t>
      </w:r>
      <w:r w:rsidR="006415BC">
        <w:rPr>
          <w:rFonts w:cs="Times New Roman"/>
        </w:rPr>
        <w:t xml:space="preserve"> Por outras palavras, os valores de ITM dos municípios são influenciados pelo endividamento dos mesmos.</w:t>
      </w:r>
      <w:r w:rsidR="00EC0A67">
        <w:rPr>
          <w:rFonts w:cs="Times New Roman"/>
        </w:rPr>
        <w:t xml:space="preserve"> Neste caso, </w:t>
      </w:r>
      <w:r w:rsidR="00B4646C">
        <w:rPr>
          <w:rFonts w:cs="Times New Roman"/>
        </w:rPr>
        <w:t>pode-se</w:t>
      </w:r>
      <w:r w:rsidR="008274FF">
        <w:rPr>
          <w:rFonts w:cs="Times New Roman"/>
        </w:rPr>
        <w:t xml:space="preserve"> afirmar que </w:t>
      </w:r>
      <w:r w:rsidR="00EC0A67">
        <w:rPr>
          <w:rFonts w:cs="Times New Roman"/>
        </w:rPr>
        <w:t xml:space="preserve">as diferenças para os valores de ITM </w:t>
      </w:r>
      <w:r w:rsidR="00924E8E">
        <w:rPr>
          <w:rFonts w:cs="Times New Roman"/>
        </w:rPr>
        <w:t>n</w:t>
      </w:r>
      <w:r w:rsidR="00EC0A67">
        <w:rPr>
          <w:rFonts w:cs="Times New Roman"/>
        </w:rPr>
        <w:t>os municípios mais e menos endividados mostram-se estatisticamente significativas. Tal como verificado na estatística descritiva, os municípios com valores de endividamento superiores à média do valor de endividamento destacavam-se relativamente aos restantes. Desta forma, pode</w:t>
      </w:r>
      <w:r w:rsidR="00DB52EE">
        <w:rPr>
          <w:rFonts w:cs="Times New Roman"/>
        </w:rPr>
        <w:t xml:space="preserve"> afirmar-se </w:t>
      </w:r>
      <w:r w:rsidR="00EC0A67">
        <w:rPr>
          <w:rFonts w:cs="Times New Roman"/>
        </w:rPr>
        <w:t xml:space="preserve">que municípios com maiores níveis de endividamento apresentam maiores índices de transparência. </w:t>
      </w:r>
    </w:p>
    <w:p w14:paraId="21181526" w14:textId="310072C1" w:rsidR="00312765" w:rsidRDefault="00312765" w:rsidP="00EC0A67">
      <w:pPr>
        <w:spacing w:before="240" w:line="360" w:lineRule="auto"/>
        <w:jc w:val="both"/>
        <w:rPr>
          <w:rFonts w:cs="Times New Roman"/>
        </w:rPr>
      </w:pPr>
      <w:r w:rsidRPr="00316207">
        <w:rPr>
          <w:rFonts w:cs="Times New Roman"/>
        </w:rPr>
        <w:t xml:space="preserve">O teste de </w:t>
      </w:r>
      <w:r w:rsidRPr="00C90AC5">
        <w:rPr>
          <w:rFonts w:cs="Times New Roman"/>
        </w:rPr>
        <w:t>Mann-</w:t>
      </w:r>
      <w:proofErr w:type="spellStart"/>
      <w:r w:rsidRPr="00C90AC5">
        <w:rPr>
          <w:rFonts w:cs="Times New Roman"/>
        </w:rPr>
        <w:t>Whitney</w:t>
      </w:r>
      <w:proofErr w:type="spellEnd"/>
      <w:r>
        <w:rPr>
          <w:rFonts w:cs="Times New Roman"/>
        </w:rPr>
        <w:t xml:space="preserve">, para a variável de agrupamento </w:t>
      </w:r>
      <w:r w:rsidR="00137F6F">
        <w:rPr>
          <w:rFonts w:cs="Times New Roman"/>
        </w:rPr>
        <w:t>M</w:t>
      </w:r>
      <w:r>
        <w:rPr>
          <w:rFonts w:cs="Times New Roman"/>
        </w:rPr>
        <w:t>D</w:t>
      </w:r>
      <w:r w:rsidR="000A23D0">
        <w:rPr>
          <w:rFonts w:cs="Times New Roman"/>
        </w:rPr>
        <w:t>E</w:t>
      </w:r>
      <w:r>
        <w:rPr>
          <w:rFonts w:cs="Times New Roman"/>
        </w:rPr>
        <w:t>,</w:t>
      </w:r>
      <w:r w:rsidRPr="00316207">
        <w:rPr>
          <w:rFonts w:cs="Times New Roman"/>
        </w:rPr>
        <w:t xml:space="preserve"> </w:t>
      </w:r>
      <w:r>
        <w:rPr>
          <w:rFonts w:cs="Times New Roman"/>
        </w:rPr>
        <w:t>leva</w:t>
      </w:r>
      <w:r w:rsidRPr="00316207">
        <w:rPr>
          <w:rFonts w:cs="Times New Roman"/>
        </w:rPr>
        <w:t xml:space="preserve">-nos </w:t>
      </w:r>
      <w:r>
        <w:rPr>
          <w:rFonts w:cs="Times New Roman"/>
        </w:rPr>
        <w:t>a rejeitar</w:t>
      </w:r>
      <w:r w:rsidRPr="00316207">
        <w:rPr>
          <w:rFonts w:cs="Times New Roman"/>
        </w:rPr>
        <w:t xml:space="preserve"> a hipótese nula, ou seja, a distribuição de ITM nas categorias (1 e 0) </w:t>
      </w:r>
      <w:r>
        <w:rPr>
          <w:rFonts w:cs="Times New Roman"/>
        </w:rPr>
        <w:t xml:space="preserve">de </w:t>
      </w:r>
      <w:r w:rsidR="000A23D0">
        <w:rPr>
          <w:rFonts w:eastAsiaTheme="minorEastAsia" w:cs="Times New Roman"/>
        </w:rPr>
        <w:t xml:space="preserve">despesa efetiva </w:t>
      </w:r>
      <w:r w:rsidR="000A23D0" w:rsidRPr="00506E82">
        <w:rPr>
          <w:rFonts w:eastAsiaTheme="minorEastAsia" w:cs="Times New Roman"/>
          <w:i/>
          <w:iCs/>
        </w:rPr>
        <w:t>per capita</w:t>
      </w:r>
      <w:r w:rsidR="000A23D0">
        <w:rPr>
          <w:rFonts w:eastAsiaTheme="minorEastAsia" w:cs="Times New Roman"/>
        </w:rPr>
        <w:t xml:space="preserve"> </w:t>
      </w:r>
      <w:r>
        <w:rPr>
          <w:rFonts w:cs="Times New Roman"/>
        </w:rPr>
        <w:t>não são semelhantes</w:t>
      </w:r>
      <w:r w:rsidRPr="00316207">
        <w:rPr>
          <w:rFonts w:cs="Times New Roman"/>
        </w:rPr>
        <w:t xml:space="preserve"> (</w:t>
      </w:r>
      <w:proofErr w:type="spellStart"/>
      <w:r w:rsidRPr="00316207">
        <w:rPr>
          <w:rFonts w:cs="Times New Roman"/>
          <w:i/>
          <w:iCs/>
        </w:rPr>
        <w:t>Sig</w:t>
      </w:r>
      <w:proofErr w:type="spellEnd"/>
      <w:r w:rsidRPr="00316207">
        <w:rPr>
          <w:rFonts w:cs="Times New Roman"/>
          <w:i/>
          <w:iCs/>
        </w:rPr>
        <w:t>.</w:t>
      </w:r>
      <w:r w:rsidRPr="00316207">
        <w:rPr>
          <w:rFonts w:cs="Times New Roman"/>
        </w:rPr>
        <w:t xml:space="preserve"> = 0,</w:t>
      </w:r>
      <w:r>
        <w:rPr>
          <w:rFonts w:cs="Times New Roman"/>
        </w:rPr>
        <w:t>00</w:t>
      </w:r>
      <w:r w:rsidRPr="00316207">
        <w:rPr>
          <w:rFonts w:cs="Times New Roman"/>
        </w:rPr>
        <w:t xml:space="preserve"> </w:t>
      </w:r>
      <w:r>
        <w:rPr>
          <w:rFonts w:cs="Times New Roman"/>
        </w:rPr>
        <w:t>&lt;</w:t>
      </w:r>
      <w:r w:rsidRPr="00316207">
        <w:rPr>
          <w:rFonts w:cs="Times New Roman"/>
        </w:rPr>
        <w:t xml:space="preserve"> 0,05).</w:t>
      </w:r>
      <w:r w:rsidRPr="0049126A">
        <w:rPr>
          <w:rFonts w:cs="Times New Roman"/>
        </w:rPr>
        <w:t xml:space="preserve"> </w:t>
      </w:r>
      <w:r w:rsidR="00B4646C">
        <w:rPr>
          <w:rFonts w:cs="Times New Roman"/>
        </w:rPr>
        <w:t>Pode-se</w:t>
      </w:r>
      <w:r w:rsidR="00437729">
        <w:rPr>
          <w:rFonts w:cs="Times New Roman"/>
        </w:rPr>
        <w:t>,</w:t>
      </w:r>
      <w:r w:rsidR="00A35C0C">
        <w:rPr>
          <w:rFonts w:cs="Times New Roman"/>
        </w:rPr>
        <w:t xml:space="preserve"> por isso</w:t>
      </w:r>
      <w:r w:rsidR="00437729">
        <w:rPr>
          <w:rFonts w:cs="Times New Roman"/>
        </w:rPr>
        <w:t>,</w:t>
      </w:r>
      <w:r w:rsidR="004902C1">
        <w:rPr>
          <w:rFonts w:cs="Times New Roman"/>
        </w:rPr>
        <w:t xml:space="preserve"> afirmar que</w:t>
      </w:r>
      <w:r>
        <w:rPr>
          <w:rFonts w:cs="Times New Roman"/>
        </w:rPr>
        <w:t xml:space="preserve"> as diferenças para os valores de ITM nos municípios com menor e maior </w:t>
      </w:r>
      <w:r w:rsidR="000A23D0">
        <w:rPr>
          <w:rFonts w:eastAsiaTheme="minorEastAsia" w:cs="Times New Roman"/>
        </w:rPr>
        <w:t xml:space="preserve">despesa efetiva </w:t>
      </w:r>
      <w:r w:rsidR="000A23D0" w:rsidRPr="00506E82">
        <w:rPr>
          <w:rFonts w:eastAsiaTheme="minorEastAsia" w:cs="Times New Roman"/>
          <w:i/>
          <w:iCs/>
        </w:rPr>
        <w:t>per capita</w:t>
      </w:r>
      <w:r w:rsidR="000A23D0">
        <w:rPr>
          <w:rFonts w:eastAsiaTheme="minorEastAsia" w:cs="Times New Roman"/>
        </w:rPr>
        <w:t xml:space="preserve"> </w:t>
      </w:r>
      <w:r w:rsidR="004902C1">
        <w:rPr>
          <w:rFonts w:cs="Times New Roman"/>
        </w:rPr>
        <w:t>são</w:t>
      </w:r>
      <w:r w:rsidR="00D956D6">
        <w:rPr>
          <w:rFonts w:cs="Times New Roman"/>
        </w:rPr>
        <w:t xml:space="preserve"> estatisticamente significativas. Como observado no ponto 4.3.1, os municípios com menores </w:t>
      </w:r>
      <w:r w:rsidR="000A23D0">
        <w:rPr>
          <w:rFonts w:eastAsiaTheme="minorEastAsia" w:cs="Times New Roman"/>
        </w:rPr>
        <w:t xml:space="preserve">despesas efetivas </w:t>
      </w:r>
      <w:r w:rsidR="000A23D0" w:rsidRPr="00506E82">
        <w:rPr>
          <w:rFonts w:eastAsiaTheme="minorEastAsia" w:cs="Times New Roman"/>
          <w:i/>
          <w:iCs/>
        </w:rPr>
        <w:t>per capita</w:t>
      </w:r>
      <w:r w:rsidR="000A23D0">
        <w:rPr>
          <w:rFonts w:eastAsiaTheme="minorEastAsia" w:cs="Times New Roman"/>
        </w:rPr>
        <w:t xml:space="preserve"> </w:t>
      </w:r>
      <w:r w:rsidR="00C111E1">
        <w:rPr>
          <w:rFonts w:cs="Times New Roman"/>
        </w:rPr>
        <w:t>evidenciaram-se em relação aos restantes,</w:t>
      </w:r>
      <w:r w:rsidR="00D956D6">
        <w:rPr>
          <w:rFonts w:cs="Times New Roman"/>
        </w:rPr>
        <w:t xml:space="preserve"> apresenta</w:t>
      </w:r>
      <w:r w:rsidR="00C111E1">
        <w:rPr>
          <w:rFonts w:cs="Times New Roman"/>
        </w:rPr>
        <w:t>ndo</w:t>
      </w:r>
      <w:r w:rsidR="00D956D6">
        <w:rPr>
          <w:rFonts w:cs="Times New Roman"/>
        </w:rPr>
        <w:t xml:space="preserve"> </w:t>
      </w:r>
      <w:r w:rsidR="00C111E1">
        <w:rPr>
          <w:rFonts w:cs="Times New Roman"/>
        </w:rPr>
        <w:t>valores médios de ITM superiores</w:t>
      </w:r>
      <w:r w:rsidR="00D956D6">
        <w:rPr>
          <w:rFonts w:cs="Times New Roman"/>
        </w:rPr>
        <w:t xml:space="preserve">. </w:t>
      </w:r>
      <w:r>
        <w:rPr>
          <w:rFonts w:cs="Times New Roman"/>
        </w:rPr>
        <w:t xml:space="preserve"> </w:t>
      </w:r>
    </w:p>
    <w:p w14:paraId="6FDAFB24" w14:textId="5CB53102" w:rsidR="00312765" w:rsidRPr="00D956D6" w:rsidRDefault="00D956D6" w:rsidP="00326774">
      <w:pPr>
        <w:spacing w:before="240" w:line="360" w:lineRule="auto"/>
        <w:jc w:val="both"/>
        <w:rPr>
          <w:rFonts w:cs="Times New Roman"/>
          <w:color w:val="FF0000"/>
        </w:rPr>
      </w:pPr>
      <w:r>
        <w:rPr>
          <w:rFonts w:cs="Times New Roman"/>
        </w:rPr>
        <w:t xml:space="preserve">Para a variável de agrupamento </w:t>
      </w:r>
      <w:proofErr w:type="spellStart"/>
      <w:r>
        <w:rPr>
          <w:rFonts w:cs="Times New Roman"/>
        </w:rPr>
        <w:t>MTxPI</w:t>
      </w:r>
      <w:proofErr w:type="spellEnd"/>
      <w:r>
        <w:rPr>
          <w:rFonts w:cs="Times New Roman"/>
        </w:rPr>
        <w:t xml:space="preserve">, </w:t>
      </w:r>
      <w:r w:rsidR="00B4646C">
        <w:rPr>
          <w:rFonts w:cs="Times New Roman"/>
        </w:rPr>
        <w:t xml:space="preserve">observa-se </w:t>
      </w:r>
      <w:r>
        <w:rPr>
          <w:rFonts w:cs="Times New Roman"/>
        </w:rPr>
        <w:t>que a distribuição de ITM não é semelhante nas categorias (1 e 0) da taxa de população idosa (</w:t>
      </w:r>
      <w:proofErr w:type="spellStart"/>
      <w:r w:rsidRPr="00DB4A68">
        <w:rPr>
          <w:rFonts w:cs="Times New Roman"/>
          <w:i/>
          <w:iCs/>
        </w:rPr>
        <w:t>Sig</w:t>
      </w:r>
      <w:proofErr w:type="spellEnd"/>
      <w:r w:rsidRPr="00DB4A68">
        <w:rPr>
          <w:rFonts w:cs="Times New Roman"/>
          <w:i/>
          <w:iCs/>
        </w:rPr>
        <w:t>.</w:t>
      </w:r>
      <w:r>
        <w:rPr>
          <w:rFonts w:cs="Times New Roman"/>
        </w:rPr>
        <w:t xml:space="preserve"> = 0,00 &lt; 0,05), ou seja, existem evidências estatísticas suficientes para afirmar que municípios com maiores taxas de população idosa apresentam maiores níveis de transparência que os municípios com menores taxas de população idosa, e vice-versa. Desta forma, o</w:t>
      </w:r>
      <w:r w:rsidR="00347775">
        <w:rPr>
          <w:rFonts w:cs="Times New Roman"/>
        </w:rPr>
        <w:t>s resultados do</w:t>
      </w:r>
      <w:r>
        <w:rPr>
          <w:rFonts w:cs="Times New Roman"/>
        </w:rPr>
        <w:t xml:space="preserve"> teste de </w:t>
      </w:r>
      <w:r w:rsidRPr="00C90AC5">
        <w:rPr>
          <w:rFonts w:cs="Times New Roman"/>
        </w:rPr>
        <w:t>Mann-</w:t>
      </w:r>
      <w:proofErr w:type="spellStart"/>
      <w:r w:rsidRPr="00C90AC5">
        <w:rPr>
          <w:rFonts w:cs="Times New Roman"/>
        </w:rPr>
        <w:t>Whitney</w:t>
      </w:r>
      <w:proofErr w:type="spellEnd"/>
      <w:r>
        <w:rPr>
          <w:rFonts w:cs="Times New Roman"/>
        </w:rPr>
        <w:t xml:space="preserve"> </w:t>
      </w:r>
      <w:r w:rsidR="00347775">
        <w:rPr>
          <w:rFonts w:cs="Times New Roman"/>
        </w:rPr>
        <w:t>conduzem a</w:t>
      </w:r>
      <w:r>
        <w:rPr>
          <w:rFonts w:cs="Times New Roman"/>
        </w:rPr>
        <w:t xml:space="preserve"> que </w:t>
      </w:r>
      <w:r w:rsidR="00B4646C">
        <w:rPr>
          <w:rFonts w:cs="Times New Roman"/>
        </w:rPr>
        <w:t>se deve</w:t>
      </w:r>
      <w:r>
        <w:rPr>
          <w:rFonts w:cs="Times New Roman"/>
        </w:rPr>
        <w:t xml:space="preserve"> rejeitar a hipótese nula. À semelhança da variável de agrupamento anteriormente analisada, também as diferenças dos valores do ITM numa distribuição dos municípios por categorias de taxas de população idosa mostram-se estatisticamente significativas. </w:t>
      </w:r>
    </w:p>
    <w:p w14:paraId="6FC5D71B" w14:textId="26CE84B7" w:rsidR="00312765" w:rsidRDefault="00312765" w:rsidP="00326774">
      <w:pPr>
        <w:spacing w:before="240" w:line="360" w:lineRule="auto"/>
        <w:jc w:val="both"/>
        <w:rPr>
          <w:rFonts w:cs="Times New Roman"/>
        </w:rPr>
      </w:pPr>
      <w:r>
        <w:rPr>
          <w:rFonts w:cs="Times New Roman"/>
        </w:rPr>
        <w:t xml:space="preserve">Para a variável de agrupamento </w:t>
      </w:r>
      <w:proofErr w:type="spellStart"/>
      <w:r>
        <w:rPr>
          <w:rFonts w:cs="Times New Roman"/>
        </w:rPr>
        <w:t>MTxD</w:t>
      </w:r>
      <w:proofErr w:type="spellEnd"/>
      <w:r>
        <w:rPr>
          <w:rFonts w:cs="Times New Roman"/>
        </w:rPr>
        <w:t xml:space="preserve">, segundo o teste de </w:t>
      </w:r>
      <w:r w:rsidRPr="00C90AC5">
        <w:rPr>
          <w:rFonts w:cs="Times New Roman"/>
        </w:rPr>
        <w:t>Mann-</w:t>
      </w:r>
      <w:proofErr w:type="spellStart"/>
      <w:r w:rsidRPr="00C90AC5">
        <w:rPr>
          <w:rFonts w:cs="Times New Roman"/>
        </w:rPr>
        <w:t>Whitney</w:t>
      </w:r>
      <w:proofErr w:type="spellEnd"/>
      <w:r>
        <w:rPr>
          <w:rFonts w:cs="Times New Roman"/>
        </w:rPr>
        <w:t xml:space="preserve"> </w:t>
      </w:r>
      <w:r w:rsidR="00B4646C">
        <w:rPr>
          <w:rFonts w:cs="Times New Roman"/>
        </w:rPr>
        <w:t>deve-se</w:t>
      </w:r>
      <w:r>
        <w:rPr>
          <w:rFonts w:cs="Times New Roman"/>
        </w:rPr>
        <w:t xml:space="preserve">, </w:t>
      </w:r>
      <w:r w:rsidR="00925ED7">
        <w:rPr>
          <w:rFonts w:cs="Times New Roman"/>
        </w:rPr>
        <w:t>também, rejeitar</w:t>
      </w:r>
      <w:r>
        <w:rPr>
          <w:rFonts w:cs="Times New Roman"/>
        </w:rPr>
        <w:t xml:space="preserve"> a hipótese nula, ou seja, a distribuição de ITM nos municípios por categoria (1 e 0) da taxa de desemprego não são semelhantes (</w:t>
      </w:r>
      <w:proofErr w:type="spellStart"/>
      <w:r w:rsidRPr="00EA6FAD">
        <w:rPr>
          <w:rFonts w:cs="Times New Roman"/>
          <w:i/>
          <w:iCs/>
        </w:rPr>
        <w:t>Sig</w:t>
      </w:r>
      <w:proofErr w:type="spellEnd"/>
      <w:r>
        <w:rPr>
          <w:rFonts w:cs="Times New Roman"/>
        </w:rPr>
        <w:t xml:space="preserve">. = 0,00 &lt; 0,05). Nestes casos, existem evidencias estatísticas suficientes para afirmar que os níveis de transparência dos municípios são influenciados pelas taxas de desemprego divulgadas pelos mesmos. Esta diferença também foi observada na estatística descritiva, no qual os municípios com taxas de desemprego superiores </w:t>
      </w:r>
      <w:r>
        <w:rPr>
          <w:rFonts w:cs="Times New Roman"/>
        </w:rPr>
        <w:lastRenderedPageBreak/>
        <w:t>evidenciavam-se relativamente aos restantes, ou seja, apresentavam maiores níveis de transparência. Se pretendêssemos extrapolar os resultados para anos que não estão incluídos no nosso estudo, estas diferenças dos valores do ITM por categoria de taxa de desemprego mostra</w:t>
      </w:r>
      <w:r w:rsidR="00C111E1">
        <w:rPr>
          <w:rFonts w:cs="Times New Roman"/>
        </w:rPr>
        <w:t>m</w:t>
      </w:r>
      <w:r>
        <w:rPr>
          <w:rFonts w:cs="Times New Roman"/>
        </w:rPr>
        <w:t>-se estatisticamente significativas.</w:t>
      </w:r>
    </w:p>
    <w:p w14:paraId="5C29164B" w14:textId="6435578D" w:rsidR="00D956D6" w:rsidRDefault="00D956D6" w:rsidP="00326774">
      <w:pPr>
        <w:spacing w:before="240" w:line="360" w:lineRule="auto"/>
        <w:jc w:val="both"/>
        <w:rPr>
          <w:rFonts w:cs="Times New Roman"/>
        </w:rPr>
      </w:pPr>
      <w:r>
        <w:rPr>
          <w:rFonts w:cs="Times New Roman"/>
        </w:rPr>
        <w:t>O teste realizado para a variável de agrupamento MPA leva-nos a rejeitar a hipótese nula, uma vez que existem diferenças na distribuição do ITM por categorias (1 e 0) da média da percentagem de abstenção (</w:t>
      </w:r>
      <w:proofErr w:type="spellStart"/>
      <w:r w:rsidRPr="00F25857">
        <w:rPr>
          <w:rFonts w:cs="Times New Roman"/>
          <w:i/>
          <w:iCs/>
        </w:rPr>
        <w:t>Sig</w:t>
      </w:r>
      <w:proofErr w:type="spellEnd"/>
      <w:r w:rsidRPr="00F25857">
        <w:rPr>
          <w:rFonts w:cs="Times New Roman"/>
          <w:i/>
          <w:iCs/>
        </w:rPr>
        <w:t>.</w:t>
      </w:r>
      <w:r>
        <w:rPr>
          <w:rFonts w:cs="Times New Roman"/>
        </w:rPr>
        <w:t xml:space="preserve"> = 0,00 &lt; 0,05). Por outras palavras, os valores de ITM dos municípios são influenciados pelas percentagens de abstenção dos mesmos. Neste caso, estas diferenças para os valores de ITM nos municípios com maiores e menores percentagens de </w:t>
      </w:r>
      <w:r w:rsidR="002A0A27">
        <w:rPr>
          <w:rFonts w:cs="Times New Roman"/>
        </w:rPr>
        <w:t>abstenção</w:t>
      </w:r>
      <w:r>
        <w:rPr>
          <w:rFonts w:cs="Times New Roman"/>
        </w:rPr>
        <w:t xml:space="preserve"> mostram-se estatisticamente significativas. Tal como verificado na estatística descritiva, os municípios com </w:t>
      </w:r>
      <w:r w:rsidR="002A0A27">
        <w:rPr>
          <w:rFonts w:cs="Times New Roman"/>
        </w:rPr>
        <w:t xml:space="preserve">maiores percentagens de abstenção </w:t>
      </w:r>
      <w:r>
        <w:rPr>
          <w:rFonts w:cs="Times New Roman"/>
        </w:rPr>
        <w:t>destacavam-se</w:t>
      </w:r>
      <w:r w:rsidR="002A0A27">
        <w:rPr>
          <w:rFonts w:cs="Times New Roman"/>
        </w:rPr>
        <w:t xml:space="preserve"> a nível dos valores médios de ITM</w:t>
      </w:r>
      <w:r>
        <w:rPr>
          <w:rFonts w:cs="Times New Roman"/>
        </w:rPr>
        <w:t xml:space="preserve"> relativamente aos restantes. </w:t>
      </w:r>
    </w:p>
    <w:p w14:paraId="64C992F2" w14:textId="5BC37995" w:rsidR="00326774" w:rsidRDefault="00326774" w:rsidP="00326774">
      <w:pPr>
        <w:spacing w:before="240" w:line="360" w:lineRule="auto"/>
        <w:jc w:val="both"/>
        <w:rPr>
          <w:rFonts w:cs="Times New Roman"/>
        </w:rPr>
      </w:pPr>
      <w:r>
        <w:rPr>
          <w:rFonts w:cs="Times New Roman"/>
        </w:rPr>
        <w:t xml:space="preserve">Por último, para a variável população residente, o teste não – paramétrico usado terá de ser o </w:t>
      </w:r>
      <w:r w:rsidR="00F90AE8">
        <w:rPr>
          <w:rFonts w:cs="Times New Roman"/>
        </w:rPr>
        <w:t>t</w:t>
      </w:r>
      <w:r>
        <w:rPr>
          <w:rFonts w:cs="Times New Roman"/>
        </w:rPr>
        <w:t xml:space="preserve">este de </w:t>
      </w:r>
      <w:proofErr w:type="spellStart"/>
      <w:r w:rsidRPr="00C90AC5">
        <w:rPr>
          <w:rFonts w:cs="Times New Roman"/>
        </w:rPr>
        <w:t>Kruskal-Wallis</w:t>
      </w:r>
      <w:proofErr w:type="spellEnd"/>
      <w:r w:rsidRPr="00C90AC5">
        <w:rPr>
          <w:rFonts w:cs="Times New Roman"/>
        </w:rPr>
        <w:t>.</w:t>
      </w:r>
      <w:r>
        <w:rPr>
          <w:rFonts w:cs="Times New Roman"/>
        </w:rPr>
        <w:t xml:space="preserve"> Este teste é semelhante ao </w:t>
      </w:r>
      <w:r w:rsidR="00F90AE8">
        <w:rPr>
          <w:rFonts w:cs="Times New Roman"/>
        </w:rPr>
        <w:t>t</w:t>
      </w:r>
      <w:r>
        <w:rPr>
          <w:rFonts w:cs="Times New Roman"/>
        </w:rPr>
        <w:t xml:space="preserve">este de </w:t>
      </w:r>
      <w:r w:rsidRPr="00C90AC5">
        <w:rPr>
          <w:rFonts w:cs="Times New Roman"/>
        </w:rPr>
        <w:t>Mann-</w:t>
      </w:r>
      <w:proofErr w:type="spellStart"/>
      <w:r w:rsidRPr="00C90AC5">
        <w:rPr>
          <w:rFonts w:cs="Times New Roman"/>
        </w:rPr>
        <w:t>Whitney</w:t>
      </w:r>
      <w:proofErr w:type="spellEnd"/>
      <w:r>
        <w:rPr>
          <w:rFonts w:cs="Times New Roman"/>
        </w:rPr>
        <w:t xml:space="preserve">, porém é «o mais apropriado para comparar as </w:t>
      </w:r>
      <w:r w:rsidR="00AF7303">
        <w:rPr>
          <w:rFonts w:cs="Times New Roman"/>
        </w:rPr>
        <w:t>três</w:t>
      </w:r>
      <w:r>
        <w:rPr>
          <w:rFonts w:cs="Times New Roman"/>
        </w:rPr>
        <w:t xml:space="preserve"> ou mais distribuições de uma variável, pelo menos ordinal, observada em duas ou mais amostras independentes» (</w:t>
      </w:r>
      <w:proofErr w:type="spellStart"/>
      <w:r>
        <w:rPr>
          <w:rFonts w:cs="Times New Roman"/>
        </w:rPr>
        <w:t>Marôco</w:t>
      </w:r>
      <w:proofErr w:type="spellEnd"/>
      <w:r>
        <w:rPr>
          <w:rFonts w:cs="Times New Roman"/>
        </w:rPr>
        <w:t xml:space="preserve">, 2018, p. 316). Ao </w:t>
      </w:r>
      <w:r w:rsidR="00B4646C">
        <w:rPr>
          <w:rFonts w:cs="Times New Roman"/>
        </w:rPr>
        <w:t>constituir-se</w:t>
      </w:r>
      <w:r>
        <w:rPr>
          <w:rFonts w:cs="Times New Roman"/>
        </w:rPr>
        <w:t xml:space="preserve"> 3 grupos de municípios: </w:t>
      </w:r>
      <w:r w:rsidR="00A441D5">
        <w:rPr>
          <w:rFonts w:cs="Times New Roman"/>
        </w:rPr>
        <w:t xml:space="preserve">1 - </w:t>
      </w:r>
      <w:r>
        <w:rPr>
          <w:rFonts w:cs="Times New Roman"/>
        </w:rPr>
        <w:t xml:space="preserve">pequenos, </w:t>
      </w:r>
      <w:r w:rsidR="00A441D5">
        <w:rPr>
          <w:rFonts w:cs="Times New Roman"/>
        </w:rPr>
        <w:t xml:space="preserve">2 - </w:t>
      </w:r>
      <w:r>
        <w:rPr>
          <w:rFonts w:cs="Times New Roman"/>
        </w:rPr>
        <w:t xml:space="preserve">médios e </w:t>
      </w:r>
      <w:r w:rsidR="00A441D5">
        <w:rPr>
          <w:rFonts w:cs="Times New Roman"/>
        </w:rPr>
        <w:t xml:space="preserve">3 - </w:t>
      </w:r>
      <w:r>
        <w:rPr>
          <w:rFonts w:cs="Times New Roman"/>
        </w:rPr>
        <w:t xml:space="preserve">grandes, </w:t>
      </w:r>
      <w:r w:rsidR="006415BC">
        <w:rPr>
          <w:rFonts w:cs="Times New Roman"/>
        </w:rPr>
        <w:t>pretendermos comparar</w:t>
      </w:r>
      <w:r>
        <w:rPr>
          <w:rFonts w:cs="Times New Roman"/>
        </w:rPr>
        <w:t xml:space="preserve"> </w:t>
      </w:r>
      <w:r w:rsidR="006415BC">
        <w:rPr>
          <w:rFonts w:cs="Times New Roman"/>
        </w:rPr>
        <w:t>três</w:t>
      </w:r>
      <w:r>
        <w:rPr>
          <w:rFonts w:cs="Times New Roman"/>
        </w:rPr>
        <w:t xml:space="preserve"> distribuições, logo, não </w:t>
      </w:r>
      <w:r w:rsidR="00B4646C">
        <w:rPr>
          <w:rFonts w:cs="Times New Roman"/>
        </w:rPr>
        <w:t>se pode</w:t>
      </w:r>
      <w:r>
        <w:rPr>
          <w:rFonts w:cs="Times New Roman"/>
        </w:rPr>
        <w:t xml:space="preserve"> usar o </w:t>
      </w:r>
      <w:r w:rsidR="00497E1B">
        <w:rPr>
          <w:rFonts w:cs="Times New Roman"/>
        </w:rPr>
        <w:t>t</w:t>
      </w:r>
      <w:r>
        <w:rPr>
          <w:rFonts w:cs="Times New Roman"/>
        </w:rPr>
        <w:t xml:space="preserve">este de </w:t>
      </w:r>
      <w:r w:rsidRPr="00C90AC5">
        <w:rPr>
          <w:rFonts w:cs="Times New Roman"/>
        </w:rPr>
        <w:t>Mann-</w:t>
      </w:r>
      <w:proofErr w:type="spellStart"/>
      <w:r w:rsidRPr="00C90AC5">
        <w:rPr>
          <w:rFonts w:cs="Times New Roman"/>
        </w:rPr>
        <w:t>Whitney</w:t>
      </w:r>
      <w:proofErr w:type="spellEnd"/>
      <w:r>
        <w:rPr>
          <w:rFonts w:cs="Times New Roman"/>
        </w:rPr>
        <w:t xml:space="preserve">. </w:t>
      </w:r>
    </w:p>
    <w:p w14:paraId="4BD69AA0" w14:textId="77777777" w:rsidR="00762EC3" w:rsidRDefault="00762EC3" w:rsidP="00762EC3">
      <w:pPr>
        <w:spacing w:line="360" w:lineRule="auto"/>
        <w:jc w:val="both"/>
        <w:rPr>
          <w:rFonts w:cs="Times New Roman"/>
        </w:rPr>
      </w:pPr>
      <w:r>
        <w:rPr>
          <w:rFonts w:cs="Times New Roman"/>
        </w:rPr>
        <w:t xml:space="preserve">A hipótese estatística é: </w:t>
      </w:r>
    </w:p>
    <w:p w14:paraId="02F6D45B" w14:textId="49E979B1" w:rsidR="00762EC3" w:rsidRPr="00C808BF" w:rsidRDefault="0043154B" w:rsidP="00762EC3">
      <w:pPr>
        <w:pStyle w:val="PargrafodaLista"/>
        <w:numPr>
          <w:ilvl w:val="0"/>
          <w:numId w:val="29"/>
        </w:numPr>
        <w:spacing w:line="360" w:lineRule="auto"/>
        <w:rPr>
          <w:rFonts w:cs="Times New Roman"/>
        </w:rPr>
      </w:pPr>
      <m:oMath>
        <m:sSub>
          <m:sSubPr>
            <m:ctrlPr>
              <w:rPr>
                <w:rFonts w:ascii="Cambria Math" w:hAnsi="Cambria Math" w:cs="Times New Roman"/>
              </w:rPr>
            </m:ctrlPr>
          </m:sSubPr>
          <m:e>
            <m:r>
              <w:rPr>
                <w:rFonts w:ascii="Cambria Math" w:hAnsi="Cambria Math" w:cs="Times New Roman"/>
              </w:rPr>
              <m:t>H</m:t>
            </m:r>
          </m:e>
          <m:sub>
            <m:r>
              <m:rPr>
                <m:sty m:val="p"/>
              </m:rPr>
              <w:rPr>
                <w:rFonts w:ascii="Cambria Math" w:hAnsi="Cambria Math" w:cs="Times New Roman"/>
              </w:rPr>
              <m:t>0</m:t>
            </m:r>
          </m:sub>
        </m:sSub>
        <m:r>
          <m:rPr>
            <m:sty m:val="p"/>
          </m:rPr>
          <w:rPr>
            <w:rFonts w:ascii="Cambria Math" w:hAnsi="Cambria Math" w:cs="Times New Roman"/>
          </w:rPr>
          <m:t xml:space="preserve">: </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1</m:t>
            </m:r>
          </m:sub>
        </m:sSub>
        <m:d>
          <m:dPr>
            <m:ctrlPr>
              <w:rPr>
                <w:rFonts w:ascii="Cambria Math" w:hAnsi="Cambria Math" w:cs="Times New Roman"/>
              </w:rPr>
            </m:ctrlPr>
          </m:dPr>
          <m:e>
            <m:r>
              <w:rPr>
                <w:rFonts w:ascii="Cambria Math" w:hAnsi="Cambria Math" w:cs="Times New Roman"/>
              </w:rPr>
              <m:t>Y</m:t>
            </m:r>
          </m:e>
        </m:d>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2</m:t>
            </m:r>
          </m:sub>
        </m:sSub>
        <m:d>
          <m:dPr>
            <m:ctrlPr>
              <w:rPr>
                <w:rFonts w:ascii="Cambria Math" w:hAnsi="Cambria Math" w:cs="Times New Roman"/>
              </w:rPr>
            </m:ctrlPr>
          </m:dPr>
          <m:e>
            <m:r>
              <w:rPr>
                <w:rFonts w:ascii="Cambria Math" w:hAnsi="Cambria Math" w:cs="Times New Roman"/>
              </w:rPr>
              <m:t>Y</m:t>
            </m:r>
          </m:e>
        </m:d>
        <m: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3</m:t>
            </m:r>
          </m:sub>
        </m:sSub>
        <m:d>
          <m:dPr>
            <m:ctrlPr>
              <w:rPr>
                <w:rFonts w:ascii="Cambria Math" w:hAnsi="Cambria Math" w:cs="Times New Roman"/>
              </w:rPr>
            </m:ctrlPr>
          </m:dPr>
          <m:e>
            <m:r>
              <w:rPr>
                <w:rFonts w:ascii="Cambria Math" w:hAnsi="Cambria Math" w:cs="Times New Roman"/>
              </w:rPr>
              <m:t>Y</m:t>
            </m:r>
          </m:e>
        </m:d>
        <m:r>
          <w:rPr>
            <w:rFonts w:ascii="Cambria Math" w:hAnsi="Cambria Math" w:cs="Times New Roman"/>
          </w:rPr>
          <m:t xml:space="preserve"> </m:t>
        </m:r>
      </m:oMath>
      <w:r w:rsidR="00762EC3" w:rsidRPr="00C808BF">
        <w:rPr>
          <w:rFonts w:cs="Times New Roman"/>
        </w:rPr>
        <w:t xml:space="preserve"> vs </w:t>
      </w:r>
      <m:oMath>
        <m:sSub>
          <m:sSubPr>
            <m:ctrlPr>
              <w:rPr>
                <w:rFonts w:ascii="Cambria Math" w:hAnsi="Cambria Math" w:cs="Times New Roman"/>
              </w:rPr>
            </m:ctrlPr>
          </m:sSubPr>
          <m:e>
            <m:r>
              <w:rPr>
                <w:rFonts w:ascii="Cambria Math" w:hAnsi="Cambria Math" w:cs="Times New Roman"/>
              </w:rPr>
              <m:t>H</m:t>
            </m:r>
          </m:e>
          <m:sub>
            <m:r>
              <m:rPr>
                <m:sty m:val="p"/>
              </m:rPr>
              <w:rPr>
                <w:rFonts w:ascii="Cambria Math" w:hAnsi="Cambria Math" w:cs="Times New Roman"/>
              </w:rPr>
              <m:t>1</m:t>
            </m:r>
          </m:sub>
        </m:sSub>
        <m:r>
          <m:rPr>
            <m:sty m:val="p"/>
          </m:rPr>
          <w:rPr>
            <w:rFonts w:ascii="Cambria Math" w:hAnsi="Cambria Math" w:cs="Times New Roman"/>
          </w:rPr>
          <m:t xml:space="preserve">: </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1</m:t>
            </m:r>
          </m:sub>
        </m:sSub>
        <m:d>
          <m:dPr>
            <m:ctrlPr>
              <w:rPr>
                <w:rFonts w:ascii="Cambria Math" w:hAnsi="Cambria Math" w:cs="Times New Roman"/>
              </w:rPr>
            </m:ctrlPr>
          </m:dPr>
          <m:e>
            <m:r>
              <w:rPr>
                <w:rFonts w:ascii="Cambria Math" w:hAnsi="Cambria Math" w:cs="Times New Roman"/>
              </w:rPr>
              <m:t>Y</m:t>
            </m:r>
          </m:e>
        </m:d>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2</m:t>
            </m:r>
          </m:sub>
        </m:sSub>
        <m:d>
          <m:dPr>
            <m:ctrlPr>
              <w:rPr>
                <w:rFonts w:ascii="Cambria Math" w:hAnsi="Cambria Math" w:cs="Times New Roman"/>
              </w:rPr>
            </m:ctrlPr>
          </m:dPr>
          <m:e>
            <m:r>
              <w:rPr>
                <w:rFonts w:ascii="Cambria Math" w:hAnsi="Cambria Math" w:cs="Times New Roman"/>
              </w:rPr>
              <m:t>Y</m:t>
            </m:r>
          </m:e>
        </m:d>
        <m:r>
          <m:rPr>
            <m:sty m:val="p"/>
          </m:rPr>
          <w:rPr>
            <w:rFonts w:ascii="Cambria Math" w:hAnsi="Cambria Math" w:cs="Times New Roman"/>
          </w:rPr>
          <m:t>≠</m:t>
        </m:r>
        <m:r>
          <w:rPr>
            <w:rFonts w:ascii="Cambria Math" w:hAnsi="Cambria Math" w:cs="Times New Roman"/>
          </w:rPr>
          <m:t xml:space="preserve"> </m:t>
        </m:r>
        <m:sSub>
          <m:sSubPr>
            <m:ctrlPr>
              <w:rPr>
                <w:rFonts w:ascii="Cambria Math" w:hAnsi="Cambria Math" w:cs="Times New Roman"/>
              </w:rPr>
            </m:ctrlPr>
          </m:sSubPr>
          <m:e>
            <m:r>
              <w:rPr>
                <w:rFonts w:ascii="Cambria Math" w:hAnsi="Cambria Math" w:cs="Times New Roman"/>
              </w:rPr>
              <m:t>F</m:t>
            </m:r>
          </m:e>
          <m:sub>
            <m:r>
              <m:rPr>
                <m:sty m:val="p"/>
              </m:rPr>
              <w:rPr>
                <w:rFonts w:ascii="Cambria Math" w:hAnsi="Cambria Math" w:cs="Times New Roman"/>
              </w:rPr>
              <m:t>3</m:t>
            </m:r>
          </m:sub>
        </m:sSub>
        <m:d>
          <m:dPr>
            <m:ctrlPr>
              <w:rPr>
                <w:rFonts w:ascii="Cambria Math" w:hAnsi="Cambria Math" w:cs="Times New Roman"/>
              </w:rPr>
            </m:ctrlPr>
          </m:dPr>
          <m:e>
            <m:r>
              <w:rPr>
                <w:rFonts w:ascii="Cambria Math" w:hAnsi="Cambria Math" w:cs="Times New Roman"/>
              </w:rPr>
              <m:t>Y</m:t>
            </m:r>
          </m:e>
        </m:d>
      </m:oMath>
      <w:r w:rsidR="00762EC3" w:rsidRPr="00C808BF">
        <w:rPr>
          <w:rFonts w:cs="Times New Roman"/>
        </w:rPr>
        <w:t>, para um teste bilateral</w:t>
      </w:r>
    </w:p>
    <w:p w14:paraId="27FC76A6" w14:textId="1682418F" w:rsidR="00762EC3" w:rsidRDefault="00762EC3" w:rsidP="00762EC3">
      <w:pPr>
        <w:spacing w:before="240" w:line="360" w:lineRule="auto"/>
        <w:jc w:val="both"/>
        <w:rPr>
          <w:rFonts w:cs="Times New Roman"/>
        </w:rPr>
      </w:pPr>
      <w:r w:rsidRPr="006357FA">
        <w:rPr>
          <w:rFonts w:cs="Times New Roman"/>
        </w:rPr>
        <w:t xml:space="preserve">Em que: </w:t>
      </w:r>
      <m:oMath>
        <m:sSub>
          <m:sSubPr>
            <m:ctrlPr>
              <w:rPr>
                <w:rFonts w:ascii="Cambria Math" w:hAnsi="Cambria Math" w:cs="Times New Roman"/>
              </w:rPr>
            </m:ctrlPr>
          </m:sSubPr>
          <m:e>
            <m:r>
              <w:rPr>
                <w:rFonts w:ascii="Cambria Math" w:hAnsi="Cambria Math" w:cs="Times New Roman"/>
              </w:rPr>
              <m:t>F</m:t>
            </m:r>
          </m:e>
          <m:sub>
            <m:r>
              <w:rPr>
                <w:rFonts w:ascii="Cambria Math" w:hAnsi="Cambria Math" w:cs="Times New Roman"/>
              </w:rPr>
              <m:t>i</m:t>
            </m:r>
          </m:sub>
        </m:sSub>
        <m:d>
          <m:dPr>
            <m:ctrlPr>
              <w:rPr>
                <w:rFonts w:ascii="Cambria Math" w:hAnsi="Cambria Math" w:cs="Times New Roman"/>
              </w:rPr>
            </m:ctrlPr>
          </m:dPr>
          <m:e>
            <m:r>
              <w:rPr>
                <w:rFonts w:ascii="Cambria Math" w:hAnsi="Cambria Math" w:cs="Times New Roman"/>
              </w:rPr>
              <m:t>Y</m:t>
            </m:r>
          </m:e>
        </m:d>
        <m:r>
          <w:rPr>
            <w:rFonts w:ascii="Cambria Math" w:hAnsi="Cambria Math" w:cs="Times New Roman"/>
          </w:rPr>
          <m:t xml:space="preserve">,  </m:t>
        </m:r>
        <m:r>
          <m:rPr>
            <m:sty m:val="p"/>
          </m:rPr>
          <w:rPr>
            <w:rFonts w:ascii="Cambria Math" w:hAnsi="Cambria Math" w:cs="Times New Roman"/>
          </w:rPr>
          <m:t>com</m:t>
        </m:r>
        <m:r>
          <w:rPr>
            <w:rFonts w:ascii="Cambria Math" w:hAnsi="Cambria Math" w:cs="Times New Roman"/>
          </w:rPr>
          <m:t xml:space="preserve"> i=1,2,3</m:t>
        </m:r>
      </m:oMath>
      <w:r w:rsidRPr="006357FA">
        <w:rPr>
          <w:rFonts w:cs="Times New Roman"/>
        </w:rPr>
        <w:t xml:space="preserve"> representa a função de distribuição da variável Y na população </w:t>
      </w:r>
      <w:r w:rsidRPr="006357FA">
        <w:rPr>
          <w:rFonts w:cs="Times New Roman"/>
          <w:i/>
          <w:iCs/>
        </w:rPr>
        <w:t>i</w:t>
      </w:r>
      <w:r>
        <w:rPr>
          <w:rFonts w:cs="Times New Roman"/>
          <w:i/>
          <w:iCs/>
        </w:rPr>
        <w:t xml:space="preserve">, </w:t>
      </w:r>
      <w:r>
        <w:rPr>
          <w:rFonts w:cs="Times New Roman"/>
        </w:rPr>
        <w:t>municípios pequenos, municípios médios e municípios grandes</w:t>
      </w:r>
    </w:p>
    <w:p w14:paraId="24173A0A" w14:textId="5D46C567" w:rsidR="00326774" w:rsidRDefault="00326774" w:rsidP="00326774">
      <w:pPr>
        <w:spacing w:before="240" w:line="360" w:lineRule="auto"/>
        <w:jc w:val="both"/>
        <w:rPr>
          <w:rFonts w:cs="Times New Roman"/>
        </w:rPr>
      </w:pPr>
      <w:r>
        <w:rPr>
          <w:rFonts w:cs="Times New Roman"/>
        </w:rPr>
        <w:t xml:space="preserve">Para este teste, também foram formuladas </w:t>
      </w:r>
      <w:r w:rsidR="00762EC3">
        <w:rPr>
          <w:rFonts w:cs="Times New Roman"/>
        </w:rPr>
        <w:t xml:space="preserve">as seguintes </w:t>
      </w:r>
      <w:r>
        <w:rPr>
          <w:rFonts w:cs="Times New Roman"/>
        </w:rPr>
        <w:t>hipóteses:</w:t>
      </w:r>
    </w:p>
    <w:p w14:paraId="2A1A493B" w14:textId="77777777" w:rsidR="00326774" w:rsidRPr="006357FA" w:rsidRDefault="0043154B" w:rsidP="00326774">
      <w:pPr>
        <w:pStyle w:val="PargrafodaLista"/>
        <w:numPr>
          <w:ilvl w:val="0"/>
          <w:numId w:val="28"/>
        </w:numPr>
        <w:spacing w:line="360" w:lineRule="auto"/>
        <w:jc w:val="both"/>
        <w:rPr>
          <w:rFonts w:cs="Times New Roman"/>
        </w:rPr>
      </w:pPr>
      <m:oMath>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0</m:t>
            </m:r>
          </m:sub>
        </m:sSub>
      </m:oMath>
      <w:r w:rsidR="00326774">
        <w:rPr>
          <w:rFonts w:eastAsiaTheme="minorEastAsia" w:cs="Times New Roman"/>
        </w:rPr>
        <w:t>: A distribuição de ITM é semelhante para os diferentes grupos de municípios por dimensão (CPR)</w:t>
      </w:r>
    </w:p>
    <w:p w14:paraId="4D782DBB" w14:textId="4E1CE5D4" w:rsidR="00326774" w:rsidRPr="00A441D5" w:rsidRDefault="0043154B" w:rsidP="00326774">
      <w:pPr>
        <w:pStyle w:val="PargrafodaLista"/>
        <w:numPr>
          <w:ilvl w:val="0"/>
          <w:numId w:val="28"/>
        </w:numPr>
        <w:spacing w:line="360" w:lineRule="auto"/>
        <w:jc w:val="both"/>
        <w:rPr>
          <w:rFonts w:cs="Times New Roman"/>
        </w:rPr>
      </w:pPr>
      <m:oMath>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1</m:t>
            </m:r>
          </m:sub>
        </m:sSub>
      </m:oMath>
      <w:r w:rsidR="00326774" w:rsidRPr="00B20B6A">
        <w:rPr>
          <w:rFonts w:eastAsiaTheme="minorEastAsia" w:cs="Times New Roman"/>
        </w:rPr>
        <w:t xml:space="preserve">: A distribuição de ITM </w:t>
      </w:r>
      <w:r w:rsidR="00326774">
        <w:rPr>
          <w:rFonts w:eastAsiaTheme="minorEastAsia" w:cs="Times New Roman"/>
        </w:rPr>
        <w:t>não é semelhante para os diferentes grupos de municípios por dimensão (CPR)</w:t>
      </w:r>
    </w:p>
    <w:p w14:paraId="3401B453" w14:textId="33F6CF38" w:rsidR="00A32816" w:rsidRPr="00A441D5" w:rsidRDefault="00A441D5" w:rsidP="00A441D5">
      <w:pPr>
        <w:spacing w:line="360" w:lineRule="auto"/>
        <w:jc w:val="both"/>
        <w:rPr>
          <w:rFonts w:cs="Times New Roman"/>
        </w:rPr>
      </w:pPr>
      <w:r>
        <w:rPr>
          <w:rFonts w:cs="Times New Roman"/>
        </w:rPr>
        <w:lastRenderedPageBreak/>
        <w:t xml:space="preserve">Os resultados obtidos são apresentados na </w:t>
      </w:r>
      <w:r w:rsidR="00B4646C">
        <w:rPr>
          <w:rFonts w:cs="Times New Roman"/>
        </w:rPr>
        <w:t>T</w:t>
      </w:r>
      <w:r>
        <w:rPr>
          <w:rFonts w:cs="Times New Roman"/>
        </w:rPr>
        <w:t>abela 4.</w:t>
      </w:r>
      <w:r w:rsidR="007F6D51">
        <w:rPr>
          <w:rFonts w:cs="Times New Roman"/>
        </w:rPr>
        <w:t>13</w:t>
      </w:r>
      <w:r>
        <w:rPr>
          <w:rFonts w:cs="Times New Roman"/>
        </w:rPr>
        <w:t>.</w:t>
      </w:r>
    </w:p>
    <w:p w14:paraId="456EDFC8" w14:textId="66834045" w:rsidR="00326774" w:rsidRPr="00A441D5" w:rsidRDefault="00326774" w:rsidP="00A441D5">
      <w:pPr>
        <w:spacing w:before="240" w:after="60" w:line="360" w:lineRule="auto"/>
        <w:jc w:val="both"/>
        <w:rPr>
          <w:rFonts w:cs="Times New Roman"/>
        </w:rPr>
      </w:pPr>
      <w:bookmarkStart w:id="116" w:name="_Toc58853173"/>
      <w:bookmarkStart w:id="117" w:name="_Toc66624262"/>
      <w:r w:rsidRPr="00CA5711">
        <w:rPr>
          <w:rFonts w:cs="Times New Roman"/>
          <w:b/>
          <w:bCs/>
        </w:rPr>
        <w:t xml:space="preserve">Tabela </w:t>
      </w:r>
      <w:r w:rsidR="00843BFC">
        <w:rPr>
          <w:rFonts w:cs="Times New Roman"/>
          <w:b/>
          <w:bCs/>
        </w:rPr>
        <w:fldChar w:fldCharType="begin"/>
      </w:r>
      <w:r w:rsidR="00843BFC">
        <w:rPr>
          <w:rFonts w:cs="Times New Roman"/>
          <w:b/>
          <w:bCs/>
        </w:rPr>
        <w:instrText xml:space="preserve"> STYLEREF 1 \s </w:instrText>
      </w:r>
      <w:r w:rsidR="00843BFC">
        <w:rPr>
          <w:rFonts w:cs="Times New Roman"/>
          <w:b/>
          <w:bCs/>
        </w:rPr>
        <w:fldChar w:fldCharType="separate"/>
      </w:r>
      <w:r w:rsidR="00380A6F">
        <w:rPr>
          <w:rFonts w:cs="Times New Roman"/>
          <w:b/>
          <w:bCs/>
          <w:noProof/>
        </w:rPr>
        <w:t>4</w:t>
      </w:r>
      <w:r w:rsidR="00843BFC">
        <w:rPr>
          <w:rFonts w:cs="Times New Roman"/>
          <w:b/>
          <w:bCs/>
        </w:rPr>
        <w:fldChar w:fldCharType="end"/>
      </w:r>
      <w:r w:rsidR="00843BFC">
        <w:rPr>
          <w:rFonts w:cs="Times New Roman"/>
          <w:b/>
          <w:bCs/>
        </w:rPr>
        <w:t>.</w:t>
      </w:r>
      <w:r w:rsidR="00843BFC">
        <w:rPr>
          <w:rFonts w:cs="Times New Roman"/>
          <w:b/>
          <w:bCs/>
        </w:rPr>
        <w:fldChar w:fldCharType="begin"/>
      </w:r>
      <w:r w:rsidR="00843BFC">
        <w:rPr>
          <w:rFonts w:cs="Times New Roman"/>
          <w:b/>
          <w:bCs/>
        </w:rPr>
        <w:instrText xml:space="preserve"> SEQ Tabela \* ARABIC \s 1 </w:instrText>
      </w:r>
      <w:r w:rsidR="00843BFC">
        <w:rPr>
          <w:rFonts w:cs="Times New Roman"/>
          <w:b/>
          <w:bCs/>
        </w:rPr>
        <w:fldChar w:fldCharType="separate"/>
      </w:r>
      <w:r w:rsidR="00380A6F">
        <w:rPr>
          <w:rFonts w:cs="Times New Roman"/>
          <w:b/>
          <w:bCs/>
          <w:noProof/>
        </w:rPr>
        <w:t>13</w:t>
      </w:r>
      <w:r w:rsidR="00843BFC">
        <w:rPr>
          <w:rFonts w:cs="Times New Roman"/>
          <w:b/>
          <w:bCs/>
        </w:rPr>
        <w:fldChar w:fldCharType="end"/>
      </w:r>
      <w:r>
        <w:rPr>
          <w:rFonts w:cs="Times New Roman"/>
          <w:b/>
          <w:bCs/>
        </w:rPr>
        <w:t xml:space="preserve"> - </w:t>
      </w:r>
      <w:r>
        <w:rPr>
          <w:rFonts w:cs="Times New Roman"/>
        </w:rPr>
        <w:t>Estatística de te</w:t>
      </w:r>
      <w:r w:rsidRPr="00D716A1">
        <w:rPr>
          <w:rFonts w:cs="Times New Roman"/>
        </w:rPr>
        <w:t xml:space="preserve">ste </w:t>
      </w:r>
      <w:r>
        <w:rPr>
          <w:rFonts w:cs="Times New Roman"/>
        </w:rPr>
        <w:t>de</w:t>
      </w:r>
      <w:r w:rsidRPr="00D716A1">
        <w:rPr>
          <w:rFonts w:cs="Times New Roman"/>
        </w:rPr>
        <w:t xml:space="preserve"> </w:t>
      </w:r>
      <w:proofErr w:type="spellStart"/>
      <w:r w:rsidRPr="00C90AC5">
        <w:rPr>
          <w:rFonts w:cs="Times New Roman"/>
        </w:rPr>
        <w:t>Kruskal-Wallis</w:t>
      </w:r>
      <w:proofErr w:type="spellEnd"/>
      <w:r w:rsidRPr="00D716A1">
        <w:rPr>
          <w:rFonts w:cs="Times New Roman"/>
        </w:rPr>
        <w:t xml:space="preserve"> para o ITM com a</w:t>
      </w:r>
      <w:r>
        <w:rPr>
          <w:rFonts w:cs="Times New Roman"/>
        </w:rPr>
        <w:t>grupamento por</w:t>
      </w:r>
      <w:r w:rsidRPr="00D716A1">
        <w:rPr>
          <w:rFonts w:cs="Times New Roman"/>
        </w:rPr>
        <w:t xml:space="preserve"> </w:t>
      </w:r>
      <w:r>
        <w:rPr>
          <w:rFonts w:cs="Times New Roman"/>
        </w:rPr>
        <w:t>CPR</w:t>
      </w:r>
      <w:bookmarkEnd w:id="116"/>
      <w:bookmarkEnd w:id="117"/>
    </w:p>
    <w:tbl>
      <w:tblPr>
        <w:tblW w:w="385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D0CECE" w:themeFill="background2" w:themeFillShade="E6"/>
        <w:tblLayout w:type="fixed"/>
        <w:tblCellMar>
          <w:left w:w="0" w:type="dxa"/>
          <w:right w:w="0" w:type="dxa"/>
        </w:tblCellMar>
        <w:tblLook w:val="0000" w:firstRow="0" w:lastRow="0" w:firstColumn="0" w:lastColumn="0" w:noHBand="0" w:noVBand="0"/>
      </w:tblPr>
      <w:tblGrid>
        <w:gridCol w:w="2830"/>
        <w:gridCol w:w="1029"/>
      </w:tblGrid>
      <w:tr w:rsidR="007D4F06" w:rsidRPr="00A32816" w14:paraId="399139EA" w14:textId="402FED62" w:rsidTr="00896081">
        <w:trPr>
          <w:cantSplit/>
          <w:jc w:val="center"/>
        </w:trPr>
        <w:tc>
          <w:tcPr>
            <w:tcW w:w="2830" w:type="dxa"/>
            <w:tcBorders>
              <w:top w:val="double" w:sz="4" w:space="0" w:color="auto"/>
              <w:left w:val="nil"/>
              <w:bottom w:val="single" w:sz="4" w:space="0" w:color="auto"/>
              <w:right w:val="nil"/>
            </w:tcBorders>
            <w:shd w:val="clear" w:color="auto" w:fill="E7E6E6" w:themeFill="background2"/>
            <w:vAlign w:val="bottom"/>
          </w:tcPr>
          <w:p w14:paraId="13C9A37A" w14:textId="5C5D77FF" w:rsidR="007D4F06" w:rsidRPr="00A32816" w:rsidRDefault="007D4F06" w:rsidP="006415BC">
            <w:pPr>
              <w:autoSpaceDE w:val="0"/>
              <w:autoSpaceDN w:val="0"/>
              <w:adjustRightInd w:val="0"/>
              <w:spacing w:after="0" w:line="276" w:lineRule="auto"/>
              <w:ind w:left="60" w:right="60"/>
              <w:jc w:val="center"/>
              <w:rPr>
                <w:rFonts w:cs="Times New Roman"/>
                <w:b/>
                <w:bCs/>
                <w:color w:val="000000"/>
                <w:szCs w:val="24"/>
              </w:rPr>
            </w:pPr>
          </w:p>
        </w:tc>
        <w:tc>
          <w:tcPr>
            <w:tcW w:w="1029" w:type="dxa"/>
            <w:tcBorders>
              <w:top w:val="double" w:sz="4" w:space="0" w:color="auto"/>
              <w:left w:val="single" w:sz="4" w:space="0" w:color="auto"/>
              <w:bottom w:val="single" w:sz="4" w:space="0" w:color="auto"/>
              <w:right w:val="nil"/>
            </w:tcBorders>
            <w:shd w:val="clear" w:color="auto" w:fill="E7E6E6" w:themeFill="background2"/>
            <w:vAlign w:val="bottom"/>
          </w:tcPr>
          <w:p w14:paraId="7A12C99E" w14:textId="4BA938A2" w:rsidR="007D4F06" w:rsidRPr="00A32816" w:rsidRDefault="007D4F06" w:rsidP="006415BC">
            <w:pPr>
              <w:autoSpaceDE w:val="0"/>
              <w:autoSpaceDN w:val="0"/>
              <w:adjustRightInd w:val="0"/>
              <w:spacing w:after="0" w:line="276" w:lineRule="auto"/>
              <w:ind w:left="60" w:right="60"/>
              <w:jc w:val="center"/>
              <w:rPr>
                <w:rFonts w:cs="Times New Roman"/>
                <w:b/>
                <w:bCs/>
                <w:color w:val="000000"/>
                <w:szCs w:val="24"/>
              </w:rPr>
            </w:pPr>
            <w:r w:rsidRPr="00A32816">
              <w:rPr>
                <w:rFonts w:cs="Times New Roman"/>
                <w:b/>
                <w:bCs/>
                <w:color w:val="000000"/>
                <w:szCs w:val="24"/>
              </w:rPr>
              <w:t>ITM</w:t>
            </w:r>
          </w:p>
        </w:tc>
      </w:tr>
      <w:tr w:rsidR="007D4F06" w:rsidRPr="00A32816" w14:paraId="07AB5D89" w14:textId="77777777" w:rsidTr="00896081">
        <w:trPr>
          <w:cantSplit/>
          <w:jc w:val="center"/>
        </w:trPr>
        <w:tc>
          <w:tcPr>
            <w:tcW w:w="2830" w:type="dxa"/>
            <w:tcBorders>
              <w:top w:val="single" w:sz="4" w:space="0" w:color="auto"/>
              <w:left w:val="nil"/>
              <w:bottom w:val="nil"/>
              <w:right w:val="single" w:sz="4" w:space="0" w:color="auto"/>
            </w:tcBorders>
            <w:shd w:val="clear" w:color="auto" w:fill="FFFFFF" w:themeFill="background1"/>
            <w:vAlign w:val="bottom"/>
          </w:tcPr>
          <w:p w14:paraId="18484750" w14:textId="40F62AC1" w:rsidR="007D4F06" w:rsidRPr="00A32816" w:rsidRDefault="007D4F06" w:rsidP="006415BC">
            <w:pPr>
              <w:autoSpaceDE w:val="0"/>
              <w:autoSpaceDN w:val="0"/>
              <w:adjustRightInd w:val="0"/>
              <w:spacing w:after="0" w:line="276" w:lineRule="auto"/>
              <w:ind w:left="60" w:right="60"/>
              <w:jc w:val="center"/>
              <w:rPr>
                <w:rFonts w:cs="Times New Roman"/>
                <w:b/>
                <w:bCs/>
                <w:color w:val="000000"/>
                <w:szCs w:val="24"/>
              </w:rPr>
            </w:pPr>
            <w:r>
              <w:rPr>
                <w:rFonts w:cs="Times New Roman"/>
                <w:b/>
                <w:bCs/>
                <w:color w:val="000000"/>
                <w:szCs w:val="24"/>
              </w:rPr>
              <w:t xml:space="preserve">Variável de Agrupamento </w:t>
            </w:r>
          </w:p>
        </w:tc>
        <w:tc>
          <w:tcPr>
            <w:tcW w:w="1029" w:type="dxa"/>
            <w:tcBorders>
              <w:top w:val="single" w:sz="4" w:space="0" w:color="auto"/>
              <w:left w:val="single" w:sz="4" w:space="0" w:color="auto"/>
              <w:bottom w:val="nil"/>
              <w:right w:val="nil"/>
            </w:tcBorders>
            <w:shd w:val="clear" w:color="auto" w:fill="FFFFFF" w:themeFill="background1"/>
            <w:vAlign w:val="bottom"/>
          </w:tcPr>
          <w:p w14:paraId="27E49816" w14:textId="42A50575" w:rsidR="007D4F06" w:rsidRPr="007D4F06" w:rsidRDefault="007D4F06" w:rsidP="006415BC">
            <w:pPr>
              <w:autoSpaceDE w:val="0"/>
              <w:autoSpaceDN w:val="0"/>
              <w:adjustRightInd w:val="0"/>
              <w:spacing w:after="0" w:line="276" w:lineRule="auto"/>
              <w:ind w:left="60" w:right="60"/>
              <w:jc w:val="center"/>
              <w:rPr>
                <w:rFonts w:cs="Times New Roman"/>
                <w:color w:val="000000"/>
                <w:szCs w:val="24"/>
              </w:rPr>
            </w:pPr>
            <w:r w:rsidRPr="007D4F06">
              <w:rPr>
                <w:rFonts w:cs="Times New Roman"/>
                <w:color w:val="000000"/>
                <w:szCs w:val="24"/>
              </w:rPr>
              <w:t>CPR</w:t>
            </w:r>
          </w:p>
        </w:tc>
      </w:tr>
      <w:tr w:rsidR="007D4F06" w:rsidRPr="00A32816" w14:paraId="0D285CDA" w14:textId="247EE131" w:rsidTr="00896081">
        <w:trPr>
          <w:cantSplit/>
          <w:jc w:val="center"/>
        </w:trPr>
        <w:tc>
          <w:tcPr>
            <w:tcW w:w="2830" w:type="dxa"/>
            <w:tcBorders>
              <w:top w:val="nil"/>
              <w:left w:val="nil"/>
              <w:bottom w:val="nil"/>
              <w:right w:val="single" w:sz="4" w:space="0" w:color="auto"/>
            </w:tcBorders>
            <w:shd w:val="clear" w:color="auto" w:fill="E7E6E6" w:themeFill="background2"/>
          </w:tcPr>
          <w:p w14:paraId="09AB56AA" w14:textId="00DBBC0C" w:rsidR="007D4F06" w:rsidRPr="00D85EEC" w:rsidRDefault="007D4F06" w:rsidP="007D4F06">
            <w:pPr>
              <w:autoSpaceDE w:val="0"/>
              <w:autoSpaceDN w:val="0"/>
              <w:adjustRightInd w:val="0"/>
              <w:spacing w:after="0" w:line="276" w:lineRule="auto"/>
              <w:ind w:left="60" w:right="60"/>
              <w:rPr>
                <w:rFonts w:cs="Times New Roman"/>
                <w:color w:val="000000"/>
                <w:szCs w:val="24"/>
              </w:rPr>
            </w:pPr>
            <w:r w:rsidRPr="00D85EEC">
              <w:rPr>
                <w:rFonts w:cs="Times New Roman"/>
                <w:color w:val="000000"/>
                <w:szCs w:val="24"/>
              </w:rPr>
              <w:t xml:space="preserve">H de </w:t>
            </w:r>
            <w:proofErr w:type="spellStart"/>
            <w:r w:rsidRPr="00C90AC5">
              <w:rPr>
                <w:rFonts w:cs="Times New Roman"/>
                <w:color w:val="000000"/>
                <w:szCs w:val="24"/>
              </w:rPr>
              <w:t>Kruskal-Wallis</w:t>
            </w:r>
            <w:proofErr w:type="spellEnd"/>
          </w:p>
        </w:tc>
        <w:tc>
          <w:tcPr>
            <w:tcW w:w="1029" w:type="dxa"/>
            <w:tcBorders>
              <w:top w:val="nil"/>
              <w:left w:val="single" w:sz="4" w:space="0" w:color="auto"/>
              <w:bottom w:val="nil"/>
              <w:right w:val="nil"/>
            </w:tcBorders>
            <w:shd w:val="clear" w:color="auto" w:fill="E7E6E6" w:themeFill="background2"/>
          </w:tcPr>
          <w:p w14:paraId="13EB367E" w14:textId="35EE7F96" w:rsidR="007D4F06" w:rsidRPr="00A32816" w:rsidRDefault="007D4F06" w:rsidP="006415BC">
            <w:pPr>
              <w:autoSpaceDE w:val="0"/>
              <w:autoSpaceDN w:val="0"/>
              <w:adjustRightInd w:val="0"/>
              <w:spacing w:after="0" w:line="276" w:lineRule="auto"/>
              <w:ind w:left="60" w:right="60"/>
              <w:jc w:val="right"/>
              <w:rPr>
                <w:rFonts w:cs="Times New Roman"/>
                <w:color w:val="000000"/>
                <w:szCs w:val="24"/>
              </w:rPr>
            </w:pPr>
            <w:r w:rsidRPr="00A32816">
              <w:rPr>
                <w:rFonts w:cs="Times New Roman"/>
                <w:color w:val="000000"/>
                <w:szCs w:val="24"/>
              </w:rPr>
              <w:t>86,061</w:t>
            </w:r>
          </w:p>
        </w:tc>
      </w:tr>
      <w:tr w:rsidR="007D4F06" w:rsidRPr="00A32816" w14:paraId="64F60CD7" w14:textId="1FCE05AC" w:rsidTr="00896081">
        <w:trPr>
          <w:cantSplit/>
          <w:jc w:val="center"/>
        </w:trPr>
        <w:tc>
          <w:tcPr>
            <w:tcW w:w="2830" w:type="dxa"/>
            <w:tcBorders>
              <w:top w:val="nil"/>
              <w:left w:val="nil"/>
              <w:bottom w:val="nil"/>
              <w:right w:val="single" w:sz="4" w:space="0" w:color="auto"/>
            </w:tcBorders>
            <w:shd w:val="clear" w:color="auto" w:fill="FFFFFF" w:themeFill="background1"/>
          </w:tcPr>
          <w:p w14:paraId="7AB09FF9" w14:textId="3DA66893" w:rsidR="007D4F06" w:rsidRPr="00D85EEC" w:rsidRDefault="007D4F06" w:rsidP="007D4F06">
            <w:pPr>
              <w:autoSpaceDE w:val="0"/>
              <w:autoSpaceDN w:val="0"/>
              <w:adjustRightInd w:val="0"/>
              <w:spacing w:after="0" w:line="276" w:lineRule="auto"/>
              <w:ind w:left="60" w:right="60"/>
              <w:rPr>
                <w:rFonts w:cs="Times New Roman"/>
                <w:color w:val="000000"/>
                <w:szCs w:val="24"/>
              </w:rPr>
            </w:pPr>
            <w:proofErr w:type="spellStart"/>
            <w:r w:rsidRPr="00D85EEC">
              <w:rPr>
                <w:rFonts w:cs="Times New Roman"/>
                <w:color w:val="000000"/>
                <w:szCs w:val="24"/>
              </w:rPr>
              <w:t>gl</w:t>
            </w:r>
            <w:proofErr w:type="spellEnd"/>
          </w:p>
        </w:tc>
        <w:tc>
          <w:tcPr>
            <w:tcW w:w="1029" w:type="dxa"/>
            <w:tcBorders>
              <w:top w:val="nil"/>
              <w:left w:val="single" w:sz="4" w:space="0" w:color="auto"/>
              <w:bottom w:val="nil"/>
              <w:right w:val="nil"/>
            </w:tcBorders>
            <w:shd w:val="clear" w:color="auto" w:fill="FFFFFF" w:themeFill="background1"/>
          </w:tcPr>
          <w:p w14:paraId="3C8075AB" w14:textId="19A16414" w:rsidR="007D4F06" w:rsidRPr="00A32816" w:rsidRDefault="007D4F06" w:rsidP="006415BC">
            <w:pPr>
              <w:autoSpaceDE w:val="0"/>
              <w:autoSpaceDN w:val="0"/>
              <w:adjustRightInd w:val="0"/>
              <w:spacing w:after="0" w:line="276" w:lineRule="auto"/>
              <w:ind w:left="60" w:right="60"/>
              <w:jc w:val="right"/>
              <w:rPr>
                <w:rFonts w:cs="Times New Roman"/>
                <w:color w:val="000000"/>
                <w:szCs w:val="24"/>
              </w:rPr>
            </w:pPr>
            <w:r w:rsidRPr="00A32816">
              <w:rPr>
                <w:rFonts w:cs="Times New Roman"/>
                <w:color w:val="000000"/>
                <w:szCs w:val="24"/>
              </w:rPr>
              <w:t>2</w:t>
            </w:r>
          </w:p>
        </w:tc>
      </w:tr>
      <w:tr w:rsidR="007D4F06" w:rsidRPr="00A32816" w14:paraId="02822374" w14:textId="7CDC424B" w:rsidTr="00896081">
        <w:trPr>
          <w:cantSplit/>
          <w:jc w:val="center"/>
        </w:trPr>
        <w:tc>
          <w:tcPr>
            <w:tcW w:w="2830" w:type="dxa"/>
            <w:tcBorders>
              <w:top w:val="nil"/>
              <w:left w:val="nil"/>
              <w:bottom w:val="double" w:sz="4" w:space="0" w:color="auto"/>
              <w:right w:val="single" w:sz="4" w:space="0" w:color="auto"/>
            </w:tcBorders>
            <w:shd w:val="clear" w:color="auto" w:fill="E7E6E6" w:themeFill="background2"/>
          </w:tcPr>
          <w:p w14:paraId="0C9D1D85" w14:textId="7D5C6361" w:rsidR="007D4F06" w:rsidRPr="00D85EEC" w:rsidRDefault="007D4F06" w:rsidP="007D4F06">
            <w:pPr>
              <w:autoSpaceDE w:val="0"/>
              <w:autoSpaceDN w:val="0"/>
              <w:adjustRightInd w:val="0"/>
              <w:spacing w:after="0" w:line="276" w:lineRule="auto"/>
              <w:ind w:left="60" w:right="60"/>
              <w:rPr>
                <w:rFonts w:cs="Times New Roman"/>
                <w:color w:val="000000"/>
                <w:szCs w:val="24"/>
              </w:rPr>
            </w:pPr>
            <w:r w:rsidRPr="00D85EEC">
              <w:rPr>
                <w:rFonts w:cs="Times New Roman"/>
                <w:color w:val="000000"/>
                <w:szCs w:val="24"/>
              </w:rPr>
              <w:t xml:space="preserve">Significância </w:t>
            </w:r>
            <w:proofErr w:type="spellStart"/>
            <w:r w:rsidRPr="00D85EEC">
              <w:rPr>
                <w:rFonts w:cs="Times New Roman"/>
                <w:color w:val="000000"/>
                <w:szCs w:val="24"/>
              </w:rPr>
              <w:t>Sig</w:t>
            </w:r>
            <w:proofErr w:type="spellEnd"/>
            <w:r w:rsidRPr="00D85EEC">
              <w:rPr>
                <w:rFonts w:cs="Times New Roman"/>
                <w:color w:val="000000"/>
                <w:szCs w:val="24"/>
              </w:rPr>
              <w:t>.</w:t>
            </w:r>
          </w:p>
        </w:tc>
        <w:tc>
          <w:tcPr>
            <w:tcW w:w="1029" w:type="dxa"/>
            <w:tcBorders>
              <w:top w:val="nil"/>
              <w:left w:val="single" w:sz="4" w:space="0" w:color="auto"/>
              <w:bottom w:val="double" w:sz="4" w:space="0" w:color="auto"/>
              <w:right w:val="nil"/>
            </w:tcBorders>
            <w:shd w:val="clear" w:color="auto" w:fill="E7E6E6" w:themeFill="background2"/>
          </w:tcPr>
          <w:p w14:paraId="5169D503" w14:textId="6D49F3DD" w:rsidR="007D4F06" w:rsidRPr="00A32816" w:rsidRDefault="00B4646C" w:rsidP="006415BC">
            <w:pPr>
              <w:autoSpaceDE w:val="0"/>
              <w:autoSpaceDN w:val="0"/>
              <w:adjustRightInd w:val="0"/>
              <w:spacing w:after="0" w:line="276" w:lineRule="auto"/>
              <w:ind w:left="60" w:right="60"/>
              <w:jc w:val="right"/>
              <w:rPr>
                <w:rFonts w:cs="Times New Roman"/>
                <w:color w:val="000000"/>
                <w:szCs w:val="24"/>
              </w:rPr>
            </w:pPr>
            <w:r>
              <w:rPr>
                <w:rFonts w:cs="Times New Roman"/>
                <w:color w:val="000000"/>
                <w:szCs w:val="24"/>
              </w:rPr>
              <w:t>0</w:t>
            </w:r>
            <w:r w:rsidR="007D4F06" w:rsidRPr="00A32816">
              <w:rPr>
                <w:rFonts w:cs="Times New Roman"/>
                <w:color w:val="000000"/>
                <w:szCs w:val="24"/>
              </w:rPr>
              <w:t>,000</w:t>
            </w:r>
          </w:p>
        </w:tc>
      </w:tr>
    </w:tbl>
    <w:p w14:paraId="4B52470D" w14:textId="26A3661D" w:rsidR="002A0A27" w:rsidRDefault="00A441D5" w:rsidP="006728B9">
      <w:pPr>
        <w:spacing w:before="240" w:line="360" w:lineRule="auto"/>
        <w:jc w:val="both"/>
        <w:rPr>
          <w:rFonts w:cs="Times New Roman"/>
          <w:szCs w:val="24"/>
        </w:rPr>
      </w:pPr>
      <w:r>
        <w:rPr>
          <w:rFonts w:cs="Times New Roman"/>
          <w:szCs w:val="24"/>
        </w:rPr>
        <w:t>O</w:t>
      </w:r>
      <w:r w:rsidR="006B2145">
        <w:rPr>
          <w:rFonts w:cs="Times New Roman"/>
          <w:szCs w:val="24"/>
        </w:rPr>
        <w:t>s resultados do</w:t>
      </w:r>
      <w:r>
        <w:rPr>
          <w:rFonts w:cs="Times New Roman"/>
          <w:szCs w:val="24"/>
        </w:rPr>
        <w:t xml:space="preserve"> teste de </w:t>
      </w:r>
      <w:proofErr w:type="spellStart"/>
      <w:r w:rsidRPr="00C90AC5">
        <w:rPr>
          <w:rFonts w:cs="Times New Roman"/>
          <w:szCs w:val="24"/>
        </w:rPr>
        <w:t>Kruskal-Wallis</w:t>
      </w:r>
      <w:proofErr w:type="spellEnd"/>
      <w:r>
        <w:rPr>
          <w:rFonts w:cs="Times New Roman"/>
          <w:szCs w:val="24"/>
        </w:rPr>
        <w:t xml:space="preserve"> para a variável de agrupamento da população residente, </w:t>
      </w:r>
      <w:r w:rsidR="006B2145">
        <w:rPr>
          <w:rFonts w:cs="Times New Roman"/>
          <w:szCs w:val="24"/>
        </w:rPr>
        <w:t xml:space="preserve">conduzem a que </w:t>
      </w:r>
      <w:r w:rsidR="00F90AE8">
        <w:rPr>
          <w:rFonts w:cs="Times New Roman"/>
          <w:szCs w:val="24"/>
        </w:rPr>
        <w:t xml:space="preserve">se </w:t>
      </w:r>
      <w:r w:rsidR="00497E1B">
        <w:rPr>
          <w:rFonts w:cs="Times New Roman"/>
          <w:szCs w:val="24"/>
        </w:rPr>
        <w:t>rejeitar</w:t>
      </w:r>
      <w:r>
        <w:rPr>
          <w:rFonts w:cs="Times New Roman"/>
          <w:szCs w:val="24"/>
        </w:rPr>
        <w:t xml:space="preserve"> a hipótese nula, ou seja, a distribuição de ITM não é semelhante para os diferentes grupos de municípios por dimensão (</w:t>
      </w:r>
      <w:proofErr w:type="spellStart"/>
      <w:r w:rsidRPr="00A441D5">
        <w:rPr>
          <w:rFonts w:cs="Times New Roman"/>
          <w:i/>
          <w:iCs/>
          <w:szCs w:val="24"/>
        </w:rPr>
        <w:t>Sig</w:t>
      </w:r>
      <w:proofErr w:type="spellEnd"/>
      <w:r w:rsidRPr="00A441D5">
        <w:rPr>
          <w:rFonts w:cs="Times New Roman"/>
          <w:i/>
          <w:iCs/>
          <w:szCs w:val="24"/>
        </w:rPr>
        <w:t>.</w:t>
      </w:r>
      <w:r>
        <w:rPr>
          <w:rFonts w:cs="Times New Roman"/>
          <w:szCs w:val="24"/>
        </w:rPr>
        <w:t xml:space="preserve"> = 0,000</w:t>
      </w:r>
      <w:r w:rsidR="00BC71C6">
        <w:rPr>
          <w:rFonts w:cs="Times New Roman"/>
          <w:szCs w:val="24"/>
        </w:rPr>
        <w:t xml:space="preserve"> &lt; 0,05</w:t>
      </w:r>
      <w:r>
        <w:rPr>
          <w:rFonts w:cs="Times New Roman"/>
          <w:szCs w:val="24"/>
        </w:rPr>
        <w:t>).</w:t>
      </w:r>
      <w:r w:rsidR="0074399C">
        <w:rPr>
          <w:rFonts w:cs="Times New Roman"/>
          <w:szCs w:val="24"/>
        </w:rPr>
        <w:t xml:space="preserve"> Neste caso, deverá existir pelo menos um grupo que apresenta valores significativamente diferentes dos outros. </w:t>
      </w:r>
      <w:r w:rsidR="002A0A27">
        <w:rPr>
          <w:rFonts w:cs="Times New Roman"/>
          <w:szCs w:val="24"/>
        </w:rPr>
        <w:t>Como observado no ponto 4.3.1, os municípios médios e grandes apresentaram maiores níveis médios de transparência relativamente aos municípios pequenos. Ainda nos foi possível evidenciar, ainda que ligeiramente, os municípios grandes.</w:t>
      </w:r>
    </w:p>
    <w:bookmarkEnd w:id="112"/>
    <w:p w14:paraId="482EA54D" w14:textId="7B3D0A96" w:rsidR="00923377" w:rsidRPr="00F237AD" w:rsidRDefault="002A0A27" w:rsidP="006728B9">
      <w:pPr>
        <w:spacing w:before="240" w:line="360" w:lineRule="auto"/>
        <w:jc w:val="both"/>
        <w:rPr>
          <w:rFonts w:cs="Times New Roman"/>
          <w:color w:val="FF0000"/>
          <w:szCs w:val="24"/>
        </w:rPr>
      </w:pPr>
      <w:r>
        <w:rPr>
          <w:rFonts w:cs="Times New Roman"/>
          <w:szCs w:val="24"/>
        </w:rPr>
        <w:t>Em síntese, segund</w:t>
      </w:r>
      <w:r w:rsidR="001F3707">
        <w:rPr>
          <w:rFonts w:cs="Times New Roman"/>
          <w:szCs w:val="24"/>
        </w:rPr>
        <w:t>o</w:t>
      </w:r>
      <w:r>
        <w:rPr>
          <w:rFonts w:cs="Times New Roman"/>
          <w:szCs w:val="24"/>
        </w:rPr>
        <w:t xml:space="preserve"> a an</w:t>
      </w:r>
      <w:r w:rsidR="00925ED7">
        <w:rPr>
          <w:rFonts w:cs="Times New Roman"/>
          <w:szCs w:val="24"/>
        </w:rPr>
        <w:t>á</w:t>
      </w:r>
      <w:r>
        <w:rPr>
          <w:rFonts w:cs="Times New Roman"/>
          <w:szCs w:val="24"/>
        </w:rPr>
        <w:t xml:space="preserve">lise efetuada, as variáveis que </w:t>
      </w:r>
      <w:r w:rsidR="00C111E1">
        <w:rPr>
          <w:rFonts w:cs="Times New Roman"/>
          <w:szCs w:val="24"/>
        </w:rPr>
        <w:t>apresentam diferenças</w:t>
      </w:r>
      <w:r w:rsidR="00D4024E">
        <w:rPr>
          <w:rFonts w:cs="Times New Roman"/>
          <w:szCs w:val="24"/>
        </w:rPr>
        <w:t xml:space="preserve"> na forma como se distribuem</w:t>
      </w:r>
      <w:r w:rsidR="00C111E1">
        <w:rPr>
          <w:rFonts w:cs="Times New Roman"/>
          <w:szCs w:val="24"/>
        </w:rPr>
        <w:t xml:space="preserve"> </w:t>
      </w:r>
      <w:r>
        <w:rPr>
          <w:rFonts w:cs="Times New Roman"/>
          <w:szCs w:val="24"/>
        </w:rPr>
        <w:t xml:space="preserve">são: o valor do endividamento, a </w:t>
      </w:r>
      <w:r w:rsidR="000A23D0">
        <w:rPr>
          <w:rFonts w:eastAsiaTheme="minorEastAsia" w:cs="Times New Roman"/>
        </w:rPr>
        <w:t xml:space="preserve">despesa efetiva </w:t>
      </w:r>
      <w:r w:rsidR="000A23D0" w:rsidRPr="00506E82">
        <w:rPr>
          <w:rFonts w:eastAsiaTheme="minorEastAsia" w:cs="Times New Roman"/>
          <w:i/>
          <w:iCs/>
        </w:rPr>
        <w:t>per capita</w:t>
      </w:r>
      <w:r>
        <w:rPr>
          <w:rFonts w:cs="Times New Roman"/>
          <w:szCs w:val="24"/>
        </w:rPr>
        <w:t>, a taxa de população idosa, a taxa de desemprego</w:t>
      </w:r>
      <w:r w:rsidR="00A5625E">
        <w:rPr>
          <w:rFonts w:cs="Times New Roman"/>
          <w:szCs w:val="24"/>
        </w:rPr>
        <w:t>,</w:t>
      </w:r>
      <w:r>
        <w:rPr>
          <w:rFonts w:cs="Times New Roman"/>
          <w:szCs w:val="24"/>
        </w:rPr>
        <w:t xml:space="preserve"> percentagem de abstenção</w:t>
      </w:r>
      <w:r w:rsidR="00A5625E">
        <w:rPr>
          <w:rFonts w:cs="Times New Roman"/>
          <w:szCs w:val="24"/>
        </w:rPr>
        <w:t xml:space="preserve"> e a população residente</w:t>
      </w:r>
      <w:r>
        <w:rPr>
          <w:rFonts w:cs="Times New Roman"/>
          <w:szCs w:val="24"/>
        </w:rPr>
        <w:t>.</w:t>
      </w:r>
    </w:p>
    <w:p w14:paraId="274E46EB" w14:textId="13B24CCB" w:rsidR="008A2D3A" w:rsidRPr="004A35E1" w:rsidRDefault="00025AC7" w:rsidP="00C40F5D">
      <w:pPr>
        <w:pStyle w:val="Ttulo2"/>
        <w:numPr>
          <w:ilvl w:val="2"/>
          <w:numId w:val="2"/>
        </w:numPr>
        <w:spacing w:line="360" w:lineRule="auto"/>
      </w:pPr>
      <w:bookmarkStart w:id="118" w:name="_Toc37792570"/>
      <w:bookmarkStart w:id="119" w:name="_Toc66624212"/>
      <w:r w:rsidRPr="004A35E1">
        <w:t xml:space="preserve">Modelos de </w:t>
      </w:r>
      <w:r w:rsidR="000A0E57">
        <w:t>r</w:t>
      </w:r>
      <w:r w:rsidRPr="004A35E1">
        <w:t xml:space="preserve">egressão </w:t>
      </w:r>
      <w:r w:rsidR="000A0E57">
        <w:t>l</w:t>
      </w:r>
      <w:r w:rsidRPr="004A35E1">
        <w:t xml:space="preserve">inear </w:t>
      </w:r>
      <w:r w:rsidR="000A0E57">
        <w:t>m</w:t>
      </w:r>
      <w:r w:rsidRPr="004A35E1">
        <w:t>últipla com dados em painel</w:t>
      </w:r>
      <w:bookmarkEnd w:id="118"/>
      <w:bookmarkEnd w:id="119"/>
    </w:p>
    <w:p w14:paraId="537AB07F" w14:textId="20D68255" w:rsidR="0054104E" w:rsidRPr="00BE663F" w:rsidRDefault="0054104E" w:rsidP="00BE663F">
      <w:pPr>
        <w:spacing w:line="360" w:lineRule="auto"/>
        <w:jc w:val="both"/>
      </w:pPr>
      <w:r>
        <w:t>Ne</w:t>
      </w:r>
      <w:r w:rsidR="00164386">
        <w:t>ste sub</w:t>
      </w:r>
      <w:r w:rsidR="00922AAD">
        <w:t>pont</w:t>
      </w:r>
      <w:r w:rsidR="00164386">
        <w:t>o</w:t>
      </w:r>
      <w:r w:rsidR="00A23FB5">
        <w:t>, dar-se-á continuação à inferência estatística</w:t>
      </w:r>
      <w:r w:rsidR="00F02DB1">
        <w:t>, agora</w:t>
      </w:r>
      <w:r w:rsidR="001A52AF">
        <w:t xml:space="preserve"> via</w:t>
      </w:r>
      <w:r w:rsidR="00164386">
        <w:t xml:space="preserve"> modelo</w:t>
      </w:r>
      <w:r w:rsidR="001A52AF">
        <w:t>s</w:t>
      </w:r>
      <w:r w:rsidR="00164386">
        <w:t xml:space="preserve"> de regressão linear múltipla </w:t>
      </w:r>
      <w:r w:rsidR="00BE663F">
        <w:t xml:space="preserve">com os dados organizados em painel, bem como </w:t>
      </w:r>
      <w:r w:rsidR="0055337B">
        <w:t>à análise d</w:t>
      </w:r>
      <w:r w:rsidR="009E5BF8">
        <w:t>e</w:t>
      </w:r>
      <w:r w:rsidR="00BE663F">
        <w:t xml:space="preserve"> correlação</w:t>
      </w:r>
      <w:r w:rsidR="0055337B">
        <w:t>.</w:t>
      </w:r>
      <w:r w:rsidR="00BE663F">
        <w:rPr>
          <w:i/>
        </w:rPr>
        <w:t xml:space="preserve"> </w:t>
      </w:r>
      <w:r w:rsidR="00302E68">
        <w:t>Será acrescentad</w:t>
      </w:r>
      <w:r w:rsidR="0033100A">
        <w:t>a</w:t>
      </w:r>
      <w:r w:rsidR="00302E68">
        <w:t xml:space="preserve"> a explicação de três técnicas de estimação do modelo: Modelo </w:t>
      </w:r>
      <w:r w:rsidR="00302E68" w:rsidRPr="00C111E1">
        <w:rPr>
          <w:i/>
          <w:iCs/>
        </w:rPr>
        <w:t>Pooled</w:t>
      </w:r>
      <w:r w:rsidR="00302E68">
        <w:t xml:space="preserve">, Modelo de Efeitos Fixos e Modelo de Efeito Aleatório. Por </w:t>
      </w:r>
      <w:r w:rsidR="00926848">
        <w:t>último</w:t>
      </w:r>
      <w:r w:rsidR="00302E68">
        <w:t xml:space="preserve">, são apresentados e discutidos os resultados obtidos. </w:t>
      </w:r>
    </w:p>
    <w:p w14:paraId="6CFAF0D4" w14:textId="065E546E" w:rsidR="004A35E1" w:rsidRDefault="004A35E1" w:rsidP="00A5625E">
      <w:pPr>
        <w:spacing w:line="360" w:lineRule="auto"/>
        <w:jc w:val="both"/>
      </w:pPr>
      <w:r w:rsidRPr="004A35E1">
        <w:t>Prévio à explicação do modelo, importa definir o que se entende por regressão linear múltipla.</w:t>
      </w:r>
      <w:r>
        <w:t xml:space="preserve"> Estamos perante uma regressão linear múltipla, segundo Rodrigues (2012), quando, no estudo, são consideradas duas ou mais variáveis explicativas (independentes).</w:t>
      </w:r>
      <w:r w:rsidR="00CC4930">
        <w:t xml:space="preserve"> </w:t>
      </w:r>
      <w:r w:rsidR="004456FB">
        <w:t>E</w:t>
      </w:r>
      <w:r w:rsidR="00CC4930">
        <w:t xml:space="preserve">stas variáveis </w:t>
      </w:r>
      <w:r w:rsidR="004456FB">
        <w:t xml:space="preserve">são definidas </w:t>
      </w:r>
      <w:r w:rsidR="00CC4930">
        <w:t xml:space="preserve">como explicativas uma vez que explicam a variável de </w:t>
      </w:r>
      <w:r w:rsidR="00CC4930" w:rsidRPr="00CC4930">
        <w:rPr>
          <w:i/>
        </w:rPr>
        <w:t>y</w:t>
      </w:r>
      <w:r w:rsidRPr="004A35E1">
        <w:t xml:space="preserve"> </w:t>
      </w:r>
      <w:r w:rsidR="00CC4930">
        <w:t xml:space="preserve">(dependente). </w:t>
      </w:r>
      <w:r>
        <w:t>No presente estudo são consideradas oito variáveis independentes.</w:t>
      </w:r>
    </w:p>
    <w:p w14:paraId="029AE3B6" w14:textId="628AE2D9" w:rsidR="00661FC9" w:rsidRDefault="00CC4930" w:rsidP="00322150">
      <w:pPr>
        <w:spacing w:line="360" w:lineRule="auto"/>
        <w:jc w:val="both"/>
        <w:rPr>
          <w:rFonts w:eastAsiaTheme="minorEastAsia"/>
        </w:rPr>
      </w:pPr>
      <w:r>
        <w:lastRenderedPageBreak/>
        <w:t xml:space="preserve">Rodrigues (2012) acrescenta que “Na regressão linear múltipla assumimos que existe uma relação linear entre uma variável </w:t>
      </w:r>
      <w:r w:rsidRPr="00CC4930">
        <w:rPr>
          <w:i/>
        </w:rPr>
        <w:t>y</w:t>
      </w:r>
      <w:r>
        <w:t xml:space="preserve"> (variável dependente) e </w:t>
      </w:r>
      <w:r w:rsidRPr="00CC4930">
        <w:rPr>
          <w:rFonts w:cs="Times New Roman"/>
          <w:i/>
        </w:rPr>
        <w:t>p</w:t>
      </w:r>
      <w:r>
        <w:t xml:space="preserve"> variáveis independentes (</w:t>
      </w:r>
      <w:proofErr w:type="spellStart"/>
      <w:r>
        <w:t>preditoras</w:t>
      </w:r>
      <w:proofErr w:type="spellEnd"/>
      <w:r>
        <w:t xml:space="preserve">), </w:t>
      </w:r>
      <m:oMath>
        <m:sSub>
          <m:sSubPr>
            <m:ctrlPr>
              <w:rPr>
                <w:rFonts w:ascii="Cambria Math" w:hAnsi="Cambria Math"/>
                <w:i/>
              </w:rPr>
            </m:ctrlPr>
          </m:sSubPr>
          <m:e>
            <m:r>
              <w:rPr>
                <w:rFonts w:ascii="Cambria Math" w:hAnsi="Cambria Math"/>
              </w:rPr>
              <m:t>x</m:t>
            </m:r>
          </m:e>
          <m:sub>
            <m:r>
              <w:rPr>
                <w:rFonts w:ascii="Cambria Math" w:hAnsi="Cambria Math"/>
              </w:rPr>
              <m:t>1,</m:t>
            </m:r>
          </m:sub>
        </m:sSub>
        <m:sSub>
          <m:sSubPr>
            <m:ctrlPr>
              <w:rPr>
                <w:rFonts w:ascii="Cambria Math" w:hAnsi="Cambria Math"/>
                <w:i/>
              </w:rPr>
            </m:ctrlPr>
          </m:sSubPr>
          <m:e>
            <m:r>
              <w:rPr>
                <w:rFonts w:ascii="Cambria Math" w:hAnsi="Cambria Math"/>
              </w:rPr>
              <m:t>x</m:t>
            </m:r>
          </m:e>
          <m:sub>
            <m:r>
              <w:rPr>
                <w:rFonts w:ascii="Cambria Math" w:hAnsi="Cambria Math"/>
              </w:rPr>
              <m:t>2 ,</m:t>
            </m:r>
          </m:sub>
        </m:sSub>
        <m:r>
          <w:rPr>
            <w:rFonts w:ascii="Cambria Math" w:hAnsi="Cambria Math"/>
          </w:rPr>
          <m:t xml:space="preserve">…., </m:t>
        </m:r>
        <m:sSub>
          <m:sSubPr>
            <m:ctrlPr>
              <w:rPr>
                <w:rFonts w:ascii="Cambria Math" w:hAnsi="Cambria Math"/>
                <w:i/>
              </w:rPr>
            </m:ctrlPr>
          </m:sSubPr>
          <m:e>
            <m:r>
              <w:rPr>
                <w:rFonts w:ascii="Cambria Math" w:hAnsi="Cambria Math"/>
              </w:rPr>
              <m:t>x</m:t>
            </m:r>
          </m:e>
          <m:sub>
            <m:r>
              <w:rPr>
                <w:rFonts w:ascii="Cambria Math" w:hAnsi="Cambria Math"/>
              </w:rPr>
              <m:t>p</m:t>
            </m:r>
          </m:sub>
        </m:sSub>
      </m:oMath>
      <w:r>
        <w:rPr>
          <w:rFonts w:eastAsiaTheme="minorEastAsia"/>
        </w:rPr>
        <w:t>.</w:t>
      </w:r>
    </w:p>
    <w:p w14:paraId="7CD02B43" w14:textId="58FDC716" w:rsidR="007D261A" w:rsidRDefault="007D261A" w:rsidP="00322150">
      <w:pPr>
        <w:spacing w:line="360" w:lineRule="auto"/>
        <w:jc w:val="both"/>
        <w:rPr>
          <w:rFonts w:eastAsiaTheme="minorEastAsia"/>
        </w:rPr>
      </w:pPr>
      <w:r>
        <w:rPr>
          <w:rFonts w:eastAsiaTheme="minorEastAsia"/>
        </w:rPr>
        <w:t xml:space="preserve">Na presente dissertação, os dados foram organizados através de uma formatação em painel. </w:t>
      </w:r>
      <w:r w:rsidR="009F24AA" w:rsidRPr="009F24AA">
        <w:rPr>
          <w:rFonts w:eastAsiaTheme="minorEastAsia"/>
        </w:rPr>
        <w:t xml:space="preserve">Gujarati e </w:t>
      </w:r>
      <w:proofErr w:type="spellStart"/>
      <w:r w:rsidR="009F24AA" w:rsidRPr="009F24AA">
        <w:rPr>
          <w:rFonts w:eastAsiaTheme="minorEastAsia"/>
        </w:rPr>
        <w:t>Porter</w:t>
      </w:r>
      <w:proofErr w:type="spellEnd"/>
      <w:r w:rsidR="009F24AA" w:rsidRPr="009F24AA">
        <w:rPr>
          <w:rFonts w:eastAsiaTheme="minorEastAsia"/>
        </w:rPr>
        <w:t xml:space="preserve"> (2011)</w:t>
      </w:r>
      <w:r w:rsidR="009F24AA">
        <w:rPr>
          <w:rFonts w:eastAsiaTheme="minorEastAsia"/>
        </w:rPr>
        <w:t xml:space="preserve"> definem três tipos de dados: os painéis, as séries temporais e os cortes transversais. </w:t>
      </w:r>
    </w:p>
    <w:p w14:paraId="15C6C638" w14:textId="0A002909" w:rsidR="0017216D" w:rsidRDefault="0047351E" w:rsidP="00322150">
      <w:pPr>
        <w:spacing w:line="360" w:lineRule="auto"/>
        <w:jc w:val="both"/>
        <w:rPr>
          <w:rFonts w:eastAsiaTheme="minorEastAsia"/>
        </w:rPr>
      </w:pPr>
      <w:r>
        <w:rPr>
          <w:rFonts w:eastAsiaTheme="minorEastAsia"/>
        </w:rPr>
        <w:t>Os dados organizados através da formatação em painel combinam séries temporais com dados em cortes transversais (Sousa</w:t>
      </w:r>
      <w:r w:rsidR="005C151B">
        <w:rPr>
          <w:rFonts w:eastAsiaTheme="minorEastAsia"/>
        </w:rPr>
        <w:t xml:space="preserve"> </w:t>
      </w:r>
      <w:r w:rsidR="005C151B" w:rsidRPr="005C151B">
        <w:rPr>
          <w:rFonts w:eastAsiaTheme="minorEastAsia"/>
          <w:i/>
          <w:iCs/>
        </w:rPr>
        <w:t>et al</w:t>
      </w:r>
      <w:r w:rsidR="005C151B">
        <w:rPr>
          <w:rFonts w:eastAsiaTheme="minorEastAsia"/>
        </w:rPr>
        <w:t xml:space="preserve">., </w:t>
      </w:r>
      <w:r>
        <w:rPr>
          <w:rFonts w:eastAsiaTheme="minorEastAsia"/>
        </w:rPr>
        <w:t>2013, p. 64)</w:t>
      </w:r>
      <w:r w:rsidR="0017216D">
        <w:rPr>
          <w:rFonts w:eastAsiaTheme="minorEastAsia"/>
        </w:rPr>
        <w:t xml:space="preserve">. Nas séries temporais são observados valores de uma ou mais variáveis num determinado </w:t>
      </w:r>
      <w:proofErr w:type="gramStart"/>
      <w:r w:rsidR="0017216D">
        <w:rPr>
          <w:rFonts w:eastAsiaTheme="minorEastAsia"/>
        </w:rPr>
        <w:t>período de tempo</w:t>
      </w:r>
      <w:proofErr w:type="gramEnd"/>
      <w:r w:rsidR="0017216D">
        <w:rPr>
          <w:rFonts w:eastAsiaTheme="minorEastAsia"/>
        </w:rPr>
        <w:t xml:space="preserve"> (Gujarati </w:t>
      </w:r>
      <w:r w:rsidR="0017216D" w:rsidRPr="0017216D">
        <w:rPr>
          <w:rFonts w:eastAsiaTheme="minorEastAsia"/>
          <w:i/>
        </w:rPr>
        <w:t>et al</w:t>
      </w:r>
      <w:r w:rsidR="0017216D">
        <w:rPr>
          <w:rFonts w:eastAsiaTheme="minorEastAsia"/>
        </w:rPr>
        <w:t>., 2011, p.</w:t>
      </w:r>
      <w:r w:rsidR="00057610">
        <w:rPr>
          <w:rFonts w:eastAsiaTheme="minorEastAsia"/>
        </w:rPr>
        <w:t xml:space="preserve"> </w:t>
      </w:r>
      <w:r w:rsidR="0017216D">
        <w:rPr>
          <w:rFonts w:eastAsiaTheme="minorEastAsia"/>
        </w:rPr>
        <w:t>587).</w:t>
      </w:r>
      <w:r w:rsidR="00A41F0D">
        <w:rPr>
          <w:rFonts w:eastAsiaTheme="minorEastAsia"/>
        </w:rPr>
        <w:t xml:space="preserve"> </w:t>
      </w:r>
      <w:r w:rsidR="0017216D">
        <w:rPr>
          <w:rFonts w:eastAsiaTheme="minorEastAsia"/>
        </w:rPr>
        <w:t xml:space="preserve">Segundo os mesmos autores, nos dados em cortes transversais os dados </w:t>
      </w:r>
      <w:r w:rsidR="00114CE6">
        <w:rPr>
          <w:rFonts w:eastAsiaTheme="minorEastAsia"/>
        </w:rPr>
        <w:t>coletados</w:t>
      </w:r>
      <w:r w:rsidR="0017216D">
        <w:rPr>
          <w:rFonts w:eastAsiaTheme="minorEastAsia"/>
        </w:rPr>
        <w:t xml:space="preserve"> são relativos a uma ou mais variáveis para várias amostras no mesmo período. </w:t>
      </w:r>
    </w:p>
    <w:p w14:paraId="7D2D7868" w14:textId="6BD9AFFD" w:rsidR="002E28D8" w:rsidRPr="00004E82" w:rsidRDefault="009266C5" w:rsidP="00322150">
      <w:pPr>
        <w:spacing w:line="360" w:lineRule="auto"/>
        <w:jc w:val="both"/>
        <w:rPr>
          <w:rFonts w:eastAsiaTheme="minorEastAsia"/>
        </w:rPr>
      </w:pPr>
      <w:r>
        <w:rPr>
          <w:rFonts w:eastAsiaTheme="minorEastAsia"/>
        </w:rPr>
        <w:t xml:space="preserve">Deste modo, nos dados em painel, segundo Gujarati </w:t>
      </w:r>
      <w:r w:rsidRPr="009266C5">
        <w:rPr>
          <w:rFonts w:eastAsiaTheme="minorEastAsia"/>
          <w:i/>
        </w:rPr>
        <w:t>et al</w:t>
      </w:r>
      <w:r>
        <w:rPr>
          <w:rFonts w:eastAsiaTheme="minorEastAsia"/>
        </w:rPr>
        <w:t xml:space="preserve"> (2011, p. 587), acompanha-se ao longo do tempo, a mesma unidade em cortes transversa</w:t>
      </w:r>
      <w:r w:rsidR="00057610">
        <w:rPr>
          <w:rFonts w:eastAsiaTheme="minorEastAsia"/>
        </w:rPr>
        <w:t>is</w:t>
      </w:r>
      <w:r>
        <w:rPr>
          <w:rFonts w:eastAsiaTheme="minorEastAsia"/>
        </w:rPr>
        <w:t xml:space="preserve"> tendo, assim, uma dimensão espacial e outra temporal dos dados.</w:t>
      </w:r>
    </w:p>
    <w:p w14:paraId="2DF50356" w14:textId="19416750" w:rsidR="00322150" w:rsidRDefault="000F166A" w:rsidP="00322150">
      <w:pPr>
        <w:spacing w:line="360" w:lineRule="auto"/>
        <w:jc w:val="both"/>
        <w:rPr>
          <w:rFonts w:eastAsiaTheme="minorEastAsia"/>
        </w:rPr>
      </w:pPr>
      <w:r>
        <w:rPr>
          <w:rFonts w:eastAsiaTheme="minorEastAsia"/>
        </w:rPr>
        <w:t xml:space="preserve">Dispor os dados organizados em painel, segundo </w:t>
      </w:r>
      <w:proofErr w:type="spellStart"/>
      <w:r>
        <w:rPr>
          <w:rFonts w:eastAsiaTheme="minorEastAsia"/>
        </w:rPr>
        <w:t>Baltagi</w:t>
      </w:r>
      <w:proofErr w:type="spellEnd"/>
      <w:r>
        <w:rPr>
          <w:rFonts w:eastAsiaTheme="minorEastAsia"/>
        </w:rPr>
        <w:t xml:space="preserve"> (2005) proporciona dados mais informativos, mais variabilidade e menos </w:t>
      </w:r>
      <w:proofErr w:type="spellStart"/>
      <w:r>
        <w:rPr>
          <w:rFonts w:eastAsiaTheme="minorEastAsia"/>
        </w:rPr>
        <w:t>colinearidade</w:t>
      </w:r>
      <w:proofErr w:type="spellEnd"/>
      <w:r w:rsidR="009A0836">
        <w:rPr>
          <w:rStyle w:val="Refdenotaderodap"/>
          <w:rFonts w:eastAsiaTheme="minorEastAsia"/>
        </w:rPr>
        <w:footnoteReference w:id="7"/>
      </w:r>
      <w:r>
        <w:rPr>
          <w:rFonts w:eastAsiaTheme="minorEastAsia"/>
        </w:rPr>
        <w:t xml:space="preserve"> entre as variáveis, mais graus de liberdade e, por fim, mais eficiência.</w:t>
      </w:r>
      <w:r w:rsidR="009A0836">
        <w:rPr>
          <w:rFonts w:eastAsiaTheme="minorEastAsia"/>
        </w:rPr>
        <w:t xml:space="preserve"> </w:t>
      </w:r>
    </w:p>
    <w:p w14:paraId="4BBEED61" w14:textId="1C511A22" w:rsidR="009A0836" w:rsidRDefault="009A0836" w:rsidP="00322150">
      <w:pPr>
        <w:spacing w:line="360" w:lineRule="auto"/>
        <w:jc w:val="both"/>
        <w:rPr>
          <w:rFonts w:eastAsiaTheme="minorEastAsia"/>
        </w:rPr>
      </w:pPr>
      <w:proofErr w:type="spellStart"/>
      <w:r>
        <w:rPr>
          <w:rFonts w:eastAsiaTheme="minorEastAsia"/>
        </w:rPr>
        <w:t>Baltagi</w:t>
      </w:r>
      <w:proofErr w:type="spellEnd"/>
      <w:r>
        <w:rPr>
          <w:rFonts w:eastAsiaTheme="minorEastAsia"/>
        </w:rPr>
        <w:t xml:space="preserve"> (2005) acrescenta, ainda, que os dados em painel permitem detetar e medir</w:t>
      </w:r>
      <w:r w:rsidR="00395C81">
        <w:rPr>
          <w:rFonts w:eastAsiaTheme="minorEastAsia"/>
        </w:rPr>
        <w:t xml:space="preserve"> melhor os efeitos gerados entre as variáveis do que os observados através de séries temporais ou cortes transversais.</w:t>
      </w:r>
      <w:r>
        <w:rPr>
          <w:rFonts w:eastAsiaTheme="minorEastAsia"/>
        </w:rPr>
        <w:t xml:space="preserve"> </w:t>
      </w:r>
    </w:p>
    <w:p w14:paraId="3FEF30E2" w14:textId="66237880" w:rsidR="00952CC5" w:rsidRDefault="00670A8B" w:rsidP="00B60CE0">
      <w:pPr>
        <w:spacing w:line="360" w:lineRule="auto"/>
      </w:pPr>
      <w:r>
        <w:t xml:space="preserve">Deste modo, segundo Gujarati </w:t>
      </w:r>
      <w:r w:rsidRPr="00670A8B">
        <w:rPr>
          <w:i/>
        </w:rPr>
        <w:t>et al</w:t>
      </w:r>
      <w:r>
        <w:t>. (2011, p. 590), o modelo da regressão linear múltipla com dados em painel é dado pela equação (4.1):</w:t>
      </w:r>
    </w:p>
    <w:p w14:paraId="4743346C" w14:textId="4C253C40" w:rsidR="00670A8B" w:rsidRDefault="0043154B" w:rsidP="005338A5">
      <w:pPr>
        <w:jc w:val="center"/>
        <w:rPr>
          <w:rFonts w:eastAsiaTheme="minorEastAsia"/>
          <w:sz w:val="28"/>
        </w:rPr>
      </w:pPr>
      <m:oMath>
        <m:sSub>
          <m:sSubPr>
            <m:ctrlPr>
              <w:rPr>
                <w:rFonts w:ascii="Cambria Math" w:hAnsi="Cambria Math"/>
                <w:i/>
                <w:sz w:val="28"/>
              </w:rPr>
            </m:ctrlPr>
          </m:sSubPr>
          <m:e>
            <m:r>
              <w:rPr>
                <w:rFonts w:ascii="Cambria Math" w:hAnsi="Cambria Math"/>
                <w:sz w:val="28"/>
              </w:rPr>
              <m:t>Y</m:t>
            </m:r>
          </m:e>
          <m:sub>
            <m:r>
              <w:rPr>
                <w:rFonts w:ascii="Cambria Math" w:hAnsi="Cambria Math"/>
                <w:sz w:val="28"/>
              </w:rPr>
              <m:t>it</m:t>
            </m:r>
          </m:sub>
        </m:sSub>
      </m:oMath>
      <w:r w:rsidR="00670A8B" w:rsidRPr="005338A5">
        <w:rPr>
          <w:rFonts w:eastAsiaTheme="minorEastAsia"/>
          <w:sz w:val="28"/>
        </w:rPr>
        <w:t xml:space="preserve"> = </w:t>
      </w:r>
      <m:oMath>
        <m:sSub>
          <m:sSubPr>
            <m:ctrlPr>
              <w:rPr>
                <w:rFonts w:ascii="Cambria Math" w:eastAsiaTheme="minorEastAsia" w:hAnsi="Cambria Math"/>
                <w:i/>
                <w:sz w:val="28"/>
              </w:rPr>
            </m:ctrlPr>
          </m:sSubPr>
          <m:e>
            <m:r>
              <w:rPr>
                <w:rFonts w:ascii="Cambria Math" w:eastAsiaTheme="minorEastAsia" w:hAnsi="Cambria Math"/>
                <w:sz w:val="28"/>
              </w:rPr>
              <m:t>β</m:t>
            </m:r>
          </m:e>
          <m:sub>
            <m:r>
              <w:rPr>
                <w:rFonts w:ascii="Cambria Math" w:eastAsiaTheme="minorEastAsia" w:hAnsi="Cambria Math"/>
                <w:sz w:val="28"/>
              </w:rPr>
              <m:t>0</m:t>
            </m:r>
          </m:sub>
        </m:sSub>
      </m:oMath>
      <w:r w:rsidR="00670A8B" w:rsidRPr="005338A5">
        <w:rPr>
          <w:rFonts w:eastAsiaTheme="minorEastAsia"/>
          <w:sz w:val="28"/>
        </w:rPr>
        <w:t xml:space="preserve"> + </w:t>
      </w:r>
      <m:oMath>
        <m:sSub>
          <m:sSubPr>
            <m:ctrlPr>
              <w:rPr>
                <w:rFonts w:ascii="Cambria Math" w:eastAsiaTheme="minorEastAsia" w:hAnsi="Cambria Math"/>
                <w:i/>
                <w:sz w:val="28"/>
              </w:rPr>
            </m:ctrlPr>
          </m:sSubPr>
          <m:e>
            <m:r>
              <w:rPr>
                <w:rFonts w:ascii="Cambria Math" w:eastAsiaTheme="minorEastAsia" w:hAnsi="Cambria Math"/>
                <w:sz w:val="28"/>
              </w:rPr>
              <m:t>β</m:t>
            </m:r>
          </m:e>
          <m:sub>
            <m:r>
              <w:rPr>
                <w:rFonts w:ascii="Cambria Math" w:eastAsiaTheme="minorEastAsia" w:hAnsi="Cambria Math"/>
                <w:sz w:val="28"/>
              </w:rPr>
              <m:t>it</m:t>
            </m:r>
          </m:sub>
        </m:sSub>
      </m:oMath>
      <w:r w:rsidR="00670A8B" w:rsidRPr="005338A5">
        <w:rPr>
          <w:rFonts w:eastAsiaTheme="minorEastAsia"/>
          <w:sz w:val="28"/>
        </w:rPr>
        <w:t xml:space="preserve"> </w:t>
      </w:r>
      <m:oMath>
        <m:sSub>
          <m:sSubPr>
            <m:ctrlPr>
              <w:rPr>
                <w:rFonts w:ascii="Cambria Math" w:eastAsiaTheme="minorEastAsia" w:hAnsi="Cambria Math"/>
                <w:i/>
                <w:sz w:val="28"/>
              </w:rPr>
            </m:ctrlPr>
          </m:sSubPr>
          <m:e>
            <m:r>
              <w:rPr>
                <w:rFonts w:ascii="Cambria Math" w:eastAsiaTheme="minorEastAsia" w:hAnsi="Cambria Math"/>
                <w:sz w:val="28"/>
              </w:rPr>
              <m:t>X</m:t>
            </m:r>
          </m:e>
          <m:sub>
            <m:r>
              <w:rPr>
                <w:rFonts w:ascii="Cambria Math" w:eastAsiaTheme="minorEastAsia" w:hAnsi="Cambria Math"/>
                <w:sz w:val="28"/>
              </w:rPr>
              <m:t>it</m:t>
            </m:r>
          </m:sub>
        </m:sSub>
      </m:oMath>
      <w:r w:rsidR="00670A8B" w:rsidRPr="005338A5">
        <w:rPr>
          <w:rFonts w:eastAsiaTheme="minorEastAsia"/>
          <w:sz w:val="28"/>
        </w:rPr>
        <w:t xml:space="preserve">+ </w:t>
      </w:r>
      <m:oMath>
        <m:sSub>
          <m:sSubPr>
            <m:ctrlPr>
              <w:rPr>
                <w:rFonts w:ascii="Cambria Math" w:eastAsiaTheme="minorEastAsia" w:hAnsi="Cambria Math"/>
                <w:i/>
                <w:sz w:val="28"/>
              </w:rPr>
            </m:ctrlPr>
          </m:sSubPr>
          <m:e>
            <m:r>
              <w:rPr>
                <w:rFonts w:ascii="Cambria Math" w:eastAsiaTheme="minorEastAsia" w:hAnsi="Cambria Math"/>
                <w:sz w:val="28"/>
              </w:rPr>
              <m:t>ε</m:t>
            </m:r>
          </m:e>
          <m:sub>
            <m:r>
              <w:rPr>
                <w:rFonts w:ascii="Cambria Math" w:eastAsiaTheme="minorEastAsia" w:hAnsi="Cambria Math"/>
                <w:sz w:val="28"/>
              </w:rPr>
              <m:t>it</m:t>
            </m:r>
          </m:sub>
        </m:sSub>
      </m:oMath>
      <w:r w:rsidR="004A7409">
        <w:rPr>
          <w:rFonts w:eastAsiaTheme="minorEastAsia"/>
          <w:sz w:val="28"/>
        </w:rPr>
        <w:t xml:space="preserve">                                       </w:t>
      </w:r>
    </w:p>
    <w:p w14:paraId="63C7E77C" w14:textId="72B5E157" w:rsidR="005338A5" w:rsidRDefault="00952CC5" w:rsidP="004A7409">
      <w:pPr>
        <w:tabs>
          <w:tab w:val="center" w:pos="4560"/>
          <w:tab w:val="left" w:pos="7512"/>
        </w:tabs>
        <w:rPr>
          <w:rFonts w:eastAsiaTheme="minorEastAsia"/>
          <w:sz w:val="28"/>
        </w:rPr>
      </w:pPr>
      <w:r>
        <w:rPr>
          <w:noProof/>
          <w:lang w:eastAsia="pt-PT"/>
        </w:rPr>
        <mc:AlternateContent>
          <mc:Choice Requires="wps">
            <w:drawing>
              <wp:anchor distT="0" distB="0" distL="114300" distR="114300" simplePos="0" relativeHeight="251658240" behindDoc="0" locked="0" layoutInCell="1" allowOverlap="1" wp14:anchorId="6691D87A" wp14:editId="45289A36">
                <wp:simplePos x="0" y="0"/>
                <wp:positionH relativeFrom="column">
                  <wp:posOffset>4924425</wp:posOffset>
                </wp:positionH>
                <wp:positionV relativeFrom="paragraph">
                  <wp:posOffset>-365125</wp:posOffset>
                </wp:positionV>
                <wp:extent cx="581025" cy="342900"/>
                <wp:effectExtent l="0" t="0" r="9525" b="0"/>
                <wp:wrapNone/>
                <wp:docPr id="30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025" cy="342900"/>
                        </a:xfrm>
                        <a:prstGeom prst="rect">
                          <a:avLst/>
                        </a:prstGeom>
                        <a:solidFill>
                          <a:srgbClr val="FFFFFF"/>
                        </a:solidFill>
                        <a:ln w="9525">
                          <a:noFill/>
                          <a:miter lim="800000"/>
                          <a:headEnd/>
                          <a:tailEnd/>
                        </a:ln>
                      </wps:spPr>
                      <wps:txbx>
                        <w:txbxContent>
                          <w:p w14:paraId="29DFCF59" w14:textId="2F6CF158" w:rsidR="00E054BB" w:rsidRDefault="00E054BB">
                            <w:r>
                              <w:t>(4.1)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691D87A" id="_x0000_t202" coordsize="21600,21600" o:spt="202" path="m,l,21600r21600,l21600,xe">
                <v:stroke joinstyle="miter"/>
                <v:path gradientshapeok="t" o:connecttype="rect"/>
              </v:shapetype>
              <v:shape id="Caixa de Texto 2" o:spid="_x0000_s1026" type="#_x0000_t202" style="position:absolute;margin-left:387.75pt;margin-top:-28.75pt;width:45.75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cLwJQIAACIEAAAOAAAAZHJzL2Uyb0RvYy54bWysU8tu2zAQvBfoPxC815Idu7EFy0Hq1EWB&#10;9AEk/YAVSVlEKa5K0pbSr++SchwjvRXVgeCKu8PZ2eH6ZmgNOyrnNdqSTyc5Z8oKlNruS/7jcfdu&#10;yZkPYCUYtKrkT8rzm83bN+u+K9QMGzRSOUYg1hd9V/ImhK7IMi8a1YKfYKcsHdboWggUun0mHfSE&#10;3ppslufvsx6d7BwK5T39vRsP+Sbh17US4VtdexWYKTlxC2l1aa3imm3WUOwddI0WJxrwDyxa0JYu&#10;PUPdQQB2cPovqFYLhx7rMBHYZljXWqjUA3UzzV9189BAp1IvJI7vzjL5/wcrvh6/O6Zlya/ya84s&#10;tDSkLegBmFTsUQ0B2Syq1He+oOSHjtLD8AEHmnbq2Hf3KH56ZnHbgN2rW+ewbxRIYjmNldlF6Yjj&#10;I0jVf0FJl8EhYAIaatdGCUkURug0rafzhIgHE/RzsZzmswVngo6u5rNVniaYQfFc3DkfPilsWdyU&#10;3JEBEjgc732IZKB4Tol3eTRa7rQxKXD7amscOwKZZZe+xP9VmrGsL/lqQTxilcVYn3zU6kBmNrot&#10;+TKP32ivKMZHK1NKAG3GPTEx9qROFGSUJgzVQIlRsgrlE+nkcDQtPTLaNOh+c9aTYUvufx3AKc7M&#10;Z0tar6bzeXR4CuaL6xkF7vKkujwBKwiq5IGzcbsN6VWMHd3STGqd9HphcuJKRkwynh5NdPplnLJe&#10;nvbmDwAAAP//AwBQSwMEFAAGAAgAAAAhAKUqyzfeAAAACgEAAA8AAABkcnMvZG93bnJldi54bWxM&#10;j8FOwzAQRO9I/IO1SFxQ60BxXEKcCiqBuLb0A5xkm0TE6yh2m/TvWU70trszmn2Tb2bXizOOofNk&#10;4HGZgECqfN1RY+Dw/bFYgwjRUm17T2jgggE2xe1NbrPaT7TD8z42gkMoZNZAG+OQSRmqFp0NSz8g&#10;sXb0o7OR17GR9WgnDne9fEqSVDrbEX9o7YDbFquf/ckZOH5ND+plKj/jQe+e03fb6dJfjLm/m99e&#10;QUSc478Z/vAZHQpmKv2J6iB6A1orxVYDC6V5YMc61dyu5MtKgSxyeV2h+AUAAP//AwBQSwECLQAU&#10;AAYACAAAACEAtoM4kv4AAADhAQAAEwAAAAAAAAAAAAAAAAAAAAAAW0NvbnRlbnRfVHlwZXNdLnht&#10;bFBLAQItABQABgAIAAAAIQA4/SH/1gAAAJQBAAALAAAAAAAAAAAAAAAAAC8BAABfcmVscy8ucmVs&#10;c1BLAQItABQABgAIAAAAIQAMycLwJQIAACIEAAAOAAAAAAAAAAAAAAAAAC4CAABkcnMvZTJvRG9j&#10;LnhtbFBLAQItABQABgAIAAAAIQClKss33gAAAAoBAAAPAAAAAAAAAAAAAAAAAH8EAABkcnMvZG93&#10;bnJldi54bWxQSwUGAAAAAAQABADzAAAAigUAAAAA&#10;" stroked="f">
                <v:textbox>
                  <w:txbxContent>
                    <w:p w14:paraId="29DFCF59" w14:textId="2F6CF158" w:rsidR="00E054BB" w:rsidRDefault="00E054BB">
                      <w:r>
                        <w:t>(4.1)</w:t>
                      </w:r>
                    </w:p>
                  </w:txbxContent>
                </v:textbox>
              </v:shape>
            </w:pict>
          </mc:Fallback>
        </mc:AlternateContent>
      </w:r>
      <w:r w:rsidR="004A7409">
        <w:rPr>
          <w:rFonts w:eastAsiaTheme="minorEastAsia"/>
          <w:i/>
          <w:sz w:val="28"/>
        </w:rPr>
        <w:tab/>
      </w:r>
      <w:r w:rsidR="005338A5" w:rsidRPr="005338A5">
        <w:rPr>
          <w:rFonts w:eastAsiaTheme="minorEastAsia"/>
          <w:i/>
          <w:sz w:val="28"/>
        </w:rPr>
        <w:t>i</w:t>
      </w:r>
      <w:r w:rsidR="005338A5">
        <w:rPr>
          <w:rFonts w:eastAsiaTheme="minorEastAsia"/>
          <w:i/>
          <w:sz w:val="28"/>
        </w:rPr>
        <w:t xml:space="preserve"> =</w:t>
      </w:r>
      <w:r w:rsidR="005338A5">
        <w:rPr>
          <w:rFonts w:eastAsiaTheme="minorEastAsia"/>
          <w:sz w:val="28"/>
        </w:rPr>
        <w:t xml:space="preserve"> 1, 2, …, 308</w:t>
      </w:r>
      <w:r w:rsidR="004A7409">
        <w:rPr>
          <w:rFonts w:eastAsiaTheme="minorEastAsia"/>
          <w:sz w:val="28"/>
        </w:rPr>
        <w:tab/>
        <w:t xml:space="preserve">               </w:t>
      </w:r>
    </w:p>
    <w:p w14:paraId="0EDB6086" w14:textId="640A5CC1" w:rsidR="005338A5" w:rsidRPr="005338A5" w:rsidRDefault="005338A5" w:rsidP="005338A5">
      <w:pPr>
        <w:jc w:val="center"/>
        <w:rPr>
          <w:rFonts w:eastAsiaTheme="minorEastAsia"/>
          <w:sz w:val="28"/>
        </w:rPr>
      </w:pPr>
      <w:r w:rsidRPr="005338A5">
        <w:rPr>
          <w:rFonts w:eastAsiaTheme="minorEastAsia"/>
          <w:i/>
          <w:sz w:val="28"/>
        </w:rPr>
        <w:t>t</w:t>
      </w:r>
      <w:r>
        <w:rPr>
          <w:rFonts w:eastAsiaTheme="minorEastAsia"/>
          <w:sz w:val="28"/>
        </w:rPr>
        <w:t xml:space="preserve"> = 1, 2, …, 5</w:t>
      </w:r>
    </w:p>
    <w:p w14:paraId="0AB8CBCF" w14:textId="2BA15E4D" w:rsidR="00386413" w:rsidRDefault="00B60CE0" w:rsidP="00487A36">
      <w:pPr>
        <w:spacing w:line="360" w:lineRule="auto"/>
        <w:jc w:val="both"/>
        <w:rPr>
          <w:rFonts w:eastAsiaTheme="minorEastAsia"/>
        </w:rPr>
      </w:pPr>
      <w:r>
        <w:rPr>
          <w:rFonts w:eastAsiaTheme="minorEastAsia"/>
        </w:rPr>
        <w:lastRenderedPageBreak/>
        <w:t xml:space="preserve">Nesta equação: </w:t>
      </w:r>
      <m:oMath>
        <m:sSub>
          <m:sSubPr>
            <m:ctrlPr>
              <w:rPr>
                <w:rFonts w:ascii="Cambria Math" w:hAnsi="Cambria Math"/>
                <w:i/>
              </w:rPr>
            </m:ctrlPr>
          </m:sSubPr>
          <m:e>
            <m:r>
              <w:rPr>
                <w:rFonts w:ascii="Cambria Math" w:hAnsi="Cambria Math"/>
              </w:rPr>
              <m:t>Y</m:t>
            </m:r>
          </m:e>
          <m:sub>
            <m:r>
              <w:rPr>
                <w:rFonts w:ascii="Cambria Math" w:hAnsi="Cambria Math"/>
              </w:rPr>
              <m:t>it</m:t>
            </m:r>
          </m:sub>
        </m:sSub>
      </m:oMath>
      <w:r>
        <w:rPr>
          <w:rFonts w:eastAsiaTheme="minorEastAsia"/>
          <w:sz w:val="28"/>
        </w:rPr>
        <w:t xml:space="preserve"> </w:t>
      </w:r>
      <w:r w:rsidRPr="00B60CE0">
        <w:rPr>
          <w:rFonts w:eastAsiaTheme="minorEastAsia"/>
        </w:rPr>
        <w:t>representa a variável que se pretende explicar</w:t>
      </w:r>
      <w:r>
        <w:rPr>
          <w:rFonts w:eastAsiaTheme="minorEastAsia"/>
        </w:rPr>
        <w:t xml:space="preserve"> (variável dependente), </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0</m:t>
            </m:r>
          </m:sub>
        </m:sSub>
      </m:oMath>
      <w:r>
        <w:rPr>
          <w:rFonts w:eastAsiaTheme="minorEastAsia"/>
          <w:sz w:val="28"/>
        </w:rPr>
        <w:t xml:space="preserve"> </w:t>
      </w:r>
      <w:r w:rsidRPr="00B60CE0">
        <w:rPr>
          <w:rFonts w:eastAsiaTheme="minorEastAsia"/>
        </w:rPr>
        <w:t>representa a constante</w:t>
      </w:r>
      <w:r>
        <w:rPr>
          <w:rFonts w:eastAsiaTheme="minorEastAsia"/>
          <w:sz w:val="28"/>
        </w:rPr>
        <w:t xml:space="preserve">, </w:t>
      </w:r>
      <m:oMath>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it</m:t>
            </m:r>
          </m:sub>
        </m:sSub>
      </m:oMath>
      <w:r>
        <w:rPr>
          <w:rFonts w:eastAsiaTheme="minorEastAsia"/>
          <w:sz w:val="28"/>
        </w:rPr>
        <w:t xml:space="preserve"> </w:t>
      </w:r>
      <w:r w:rsidR="00487A36">
        <w:rPr>
          <w:rFonts w:eastAsiaTheme="minorEastAsia"/>
        </w:rPr>
        <w:t>representa</w:t>
      </w:r>
      <w:r w:rsidRPr="00B60CE0">
        <w:rPr>
          <w:rFonts w:eastAsiaTheme="minorEastAsia"/>
        </w:rPr>
        <w:t xml:space="preserve"> os parâmetros ou coeficientes de regressão</w:t>
      </w:r>
      <w:r>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it</m:t>
            </m:r>
          </m:sub>
        </m:sSub>
      </m:oMath>
      <w:r>
        <w:rPr>
          <w:rFonts w:eastAsiaTheme="minorEastAsia"/>
        </w:rPr>
        <w:t xml:space="preserve"> representa a(s) variável(eis) independente(s) ou variável(eis) </w:t>
      </w:r>
      <w:r w:rsidR="00487A36">
        <w:rPr>
          <w:rFonts w:eastAsiaTheme="minorEastAsia"/>
        </w:rPr>
        <w:t>explanatória(s)</w:t>
      </w:r>
      <w:r>
        <w:rPr>
          <w:rFonts w:eastAsiaTheme="minorEastAsia"/>
        </w:rPr>
        <w:t xml:space="preserve"> e, por fim, </w:t>
      </w:r>
      <m:oMath>
        <m:sSub>
          <m:sSubPr>
            <m:ctrlPr>
              <w:rPr>
                <w:rFonts w:ascii="Cambria Math" w:eastAsiaTheme="minorEastAsia" w:hAnsi="Cambria Math"/>
                <w:i/>
                <w:sz w:val="28"/>
              </w:rPr>
            </m:ctrlPr>
          </m:sSubPr>
          <m:e>
            <m:r>
              <w:rPr>
                <w:rFonts w:ascii="Cambria Math" w:eastAsiaTheme="minorEastAsia" w:hAnsi="Cambria Math"/>
                <w:sz w:val="28"/>
              </w:rPr>
              <m:t>ε</m:t>
            </m:r>
          </m:e>
          <m:sub>
            <m:r>
              <w:rPr>
                <w:rFonts w:ascii="Cambria Math" w:eastAsiaTheme="minorEastAsia" w:hAnsi="Cambria Math"/>
                <w:sz w:val="28"/>
              </w:rPr>
              <m:t>it</m:t>
            </m:r>
          </m:sub>
        </m:sSub>
        <m:r>
          <w:rPr>
            <w:rFonts w:ascii="Cambria Math" w:eastAsiaTheme="minorEastAsia" w:hAnsi="Cambria Math"/>
            <w:sz w:val="28"/>
          </w:rPr>
          <m:t xml:space="preserve"> </m:t>
        </m:r>
      </m:oMath>
      <w:r w:rsidR="00487A36" w:rsidRPr="00487A36">
        <w:rPr>
          <w:rFonts w:eastAsiaTheme="minorEastAsia"/>
        </w:rPr>
        <w:t xml:space="preserve">representa </w:t>
      </w:r>
      <w:r w:rsidR="00667D63">
        <w:rPr>
          <w:rFonts w:eastAsiaTheme="minorEastAsia"/>
        </w:rPr>
        <w:t>os erros qu</w:t>
      </w:r>
      <w:r w:rsidR="00386413">
        <w:rPr>
          <w:rFonts w:eastAsiaTheme="minorEastAsia"/>
        </w:rPr>
        <w:t>e não são observados no modelo.</w:t>
      </w:r>
    </w:p>
    <w:p w14:paraId="58711287" w14:textId="1336D377" w:rsidR="00386413" w:rsidRDefault="00661FC9" w:rsidP="00487A36">
      <w:pPr>
        <w:spacing w:line="360" w:lineRule="auto"/>
        <w:jc w:val="both"/>
      </w:pPr>
      <w:r>
        <w:rPr>
          <w:rFonts w:eastAsiaTheme="minorEastAsia"/>
        </w:rPr>
        <w:t>Na presente dissertação, o estudo será relativo aos 308 municípios portugueses num período temporal de 5 anos (2013-2017). Deste modo, o i é o «</w:t>
      </w:r>
      <w:r>
        <w:t>i-</w:t>
      </w:r>
      <w:proofErr w:type="spellStart"/>
      <w:r>
        <w:t>ésimo</w:t>
      </w:r>
      <w:proofErr w:type="spellEnd"/>
      <w:r>
        <w:t xml:space="preserve"> indivíduo» e o t é o </w:t>
      </w:r>
      <w:proofErr w:type="gramStart"/>
      <w:r>
        <w:t>«período de tempo</w:t>
      </w:r>
      <w:proofErr w:type="gramEnd"/>
      <w:r>
        <w:t xml:space="preserve"> para as variáveis» (Gujarati </w:t>
      </w:r>
      <w:r w:rsidRPr="00661FC9">
        <w:rPr>
          <w:i/>
        </w:rPr>
        <w:t>et al</w:t>
      </w:r>
      <w:r>
        <w:t>., 2011, p.590).</w:t>
      </w:r>
    </w:p>
    <w:p w14:paraId="78BC5AD9" w14:textId="395B2A50" w:rsidR="00F1093C" w:rsidRDefault="00216A80" w:rsidP="00487A36">
      <w:pPr>
        <w:spacing w:line="360" w:lineRule="auto"/>
        <w:jc w:val="both"/>
      </w:pPr>
      <w:r>
        <w:t xml:space="preserve">Depois de definido o modelo e organizados os dados no estudo, </w:t>
      </w:r>
      <w:r w:rsidR="00993D52">
        <w:t xml:space="preserve">é necessário </w:t>
      </w:r>
      <w:r>
        <w:t xml:space="preserve">medir o grau de relação das variáveis. Para este efeito, recorreu-se </w:t>
      </w:r>
      <w:r w:rsidR="000B208A">
        <w:t>ao coeficiente da</w:t>
      </w:r>
      <w:r>
        <w:t xml:space="preserve"> </w:t>
      </w:r>
      <w:r w:rsidR="000B208A">
        <w:t>correlação</w:t>
      </w:r>
      <w:r>
        <w:t xml:space="preserve"> de </w:t>
      </w:r>
      <w:proofErr w:type="spellStart"/>
      <w:r w:rsidRPr="00645F51">
        <w:rPr>
          <w:i/>
        </w:rPr>
        <w:t>Pearson</w:t>
      </w:r>
      <w:proofErr w:type="spellEnd"/>
      <w:r>
        <w:t>.</w:t>
      </w:r>
    </w:p>
    <w:p w14:paraId="095676D9" w14:textId="7D92D52A" w:rsidR="000B208A" w:rsidRDefault="00645F51" w:rsidP="00556327">
      <w:pPr>
        <w:spacing w:line="360" w:lineRule="auto"/>
        <w:jc w:val="both"/>
      </w:pPr>
      <w:r>
        <w:t xml:space="preserve">Para Filho e </w:t>
      </w:r>
      <w:proofErr w:type="spellStart"/>
      <w:r>
        <w:t>Junior</w:t>
      </w:r>
      <w:proofErr w:type="spellEnd"/>
      <w:r>
        <w:t xml:space="preserve"> (2009, p. 118) o coeficiente de correlação de </w:t>
      </w:r>
      <w:proofErr w:type="spellStart"/>
      <w:r w:rsidRPr="00645F51">
        <w:rPr>
          <w:i/>
        </w:rPr>
        <w:t>Pearson</w:t>
      </w:r>
      <w:proofErr w:type="spellEnd"/>
      <w:r w:rsidRPr="00645F51">
        <w:rPr>
          <w:i/>
        </w:rPr>
        <w:t xml:space="preserve"> </w:t>
      </w:r>
      <w:r>
        <w:t>é uma «medida de associação linear entre variáveis».</w:t>
      </w:r>
    </w:p>
    <w:p w14:paraId="5C5470AD" w14:textId="6B793D31" w:rsidR="004153F0" w:rsidRDefault="004153F0" w:rsidP="00556327">
      <w:pPr>
        <w:spacing w:line="360" w:lineRule="auto"/>
        <w:jc w:val="both"/>
      </w:pPr>
      <w:r>
        <w:t>Duas variáveis, em termos estatísticos, podem estar associadas pela distribuição de frequências ou através do compartilhamento da variância (Filho</w:t>
      </w:r>
      <w:r w:rsidR="005E500A">
        <w:t xml:space="preserve"> &amp; </w:t>
      </w:r>
      <w:proofErr w:type="spellStart"/>
      <w:r w:rsidR="005E500A">
        <w:t>Junior</w:t>
      </w:r>
      <w:proofErr w:type="spellEnd"/>
      <w:r>
        <w:t xml:space="preserve">, 2009, p.118). </w:t>
      </w:r>
    </w:p>
    <w:p w14:paraId="23B6265A" w14:textId="1E38B8E5" w:rsidR="004153F0" w:rsidRDefault="004153F0" w:rsidP="00556327">
      <w:pPr>
        <w:spacing w:line="360" w:lineRule="auto"/>
        <w:jc w:val="both"/>
      </w:pPr>
      <w:r>
        <w:t xml:space="preserve">No caso das correlações de </w:t>
      </w:r>
      <w:proofErr w:type="spellStart"/>
      <w:r w:rsidRPr="00556327">
        <w:rPr>
          <w:i/>
        </w:rPr>
        <w:t>Pearson</w:t>
      </w:r>
      <w:proofErr w:type="spellEnd"/>
      <w:r>
        <w:t xml:space="preserve">, as variáveis estão associadas através do pressuposto do compartilhamento da variância. </w:t>
      </w:r>
    </w:p>
    <w:p w14:paraId="0119D926" w14:textId="79730DBC" w:rsidR="004153F0" w:rsidRDefault="004153F0" w:rsidP="00556327">
      <w:pPr>
        <w:spacing w:line="360" w:lineRule="auto"/>
        <w:jc w:val="both"/>
      </w:pPr>
      <w:r>
        <w:t xml:space="preserve">Os mesmos autores acrescentam, ainda que a variação entre as variáveis tem </w:t>
      </w:r>
      <w:proofErr w:type="gramStart"/>
      <w:r>
        <w:t>que</w:t>
      </w:r>
      <w:proofErr w:type="gramEnd"/>
      <w:r>
        <w:t xml:space="preserve"> ser linear, ou seja, quando existe um aumento ou um decréscimo </w:t>
      </w:r>
      <w:r w:rsidR="00556327">
        <w:t>de uma unidade de uma variável X o impacto na variável Y tem que ser exatamente o mesmo.</w:t>
      </w:r>
    </w:p>
    <w:p w14:paraId="31354C3A" w14:textId="6FC7564A" w:rsidR="00556327" w:rsidRDefault="00556327" w:rsidP="00556327">
      <w:pPr>
        <w:spacing w:line="360" w:lineRule="auto"/>
        <w:jc w:val="both"/>
      </w:pPr>
      <w:r>
        <w:t xml:space="preserve">Deste modo, a correlação de </w:t>
      </w:r>
      <w:proofErr w:type="spellStart"/>
      <w:r w:rsidRPr="00556327">
        <w:rPr>
          <w:i/>
        </w:rPr>
        <w:t>Pearson</w:t>
      </w:r>
      <w:proofErr w:type="spellEnd"/>
      <w:r>
        <w:t xml:space="preserve"> «exige um compartilhamento de variância e que essa variação seja distribuída linearmente» (Filho</w:t>
      </w:r>
      <w:r w:rsidR="005E500A">
        <w:t xml:space="preserve"> &amp; </w:t>
      </w:r>
      <w:proofErr w:type="spellStart"/>
      <w:r w:rsidR="005E500A">
        <w:t>Junior</w:t>
      </w:r>
      <w:proofErr w:type="spellEnd"/>
      <w:r>
        <w:t>, 2009, p.</w:t>
      </w:r>
      <w:r w:rsidR="009403AB">
        <w:t xml:space="preserve"> </w:t>
      </w:r>
      <w:r>
        <w:t>119).</w:t>
      </w:r>
    </w:p>
    <w:p w14:paraId="21823833" w14:textId="4D46566F" w:rsidR="00287E09" w:rsidRDefault="00287E09" w:rsidP="00556327">
      <w:pPr>
        <w:spacing w:line="360" w:lineRule="auto"/>
        <w:jc w:val="both"/>
      </w:pPr>
      <w:r>
        <w:t>Como já enunciado</w:t>
      </w:r>
      <w:r w:rsidR="009403AB">
        <w:t>,</w:t>
      </w:r>
      <w:r>
        <w:t xml:space="preserve"> o grau </w:t>
      </w:r>
      <w:r w:rsidR="005E500A">
        <w:t>de relacionamento entre as variá</w:t>
      </w:r>
      <w:r>
        <w:t xml:space="preserve">veis é medido através do coeficiente de correlação de </w:t>
      </w:r>
      <w:proofErr w:type="spellStart"/>
      <w:r w:rsidRPr="00287E09">
        <w:rPr>
          <w:i/>
        </w:rPr>
        <w:t>Pearson</w:t>
      </w:r>
      <w:proofErr w:type="spellEnd"/>
      <w:r>
        <w:rPr>
          <w:i/>
        </w:rPr>
        <w:t xml:space="preserve">. </w:t>
      </w:r>
      <w:r>
        <w:t xml:space="preserve">Com o coeficiente obtido é necessário atentar à natureza do sinal – negativo ou positivo – e ao valor obtido. </w:t>
      </w:r>
    </w:p>
    <w:p w14:paraId="53A4D15E" w14:textId="1E6EBC6A" w:rsidR="00287E09" w:rsidRDefault="00287E09" w:rsidP="00556327">
      <w:pPr>
        <w:spacing w:line="360" w:lineRule="auto"/>
        <w:jc w:val="both"/>
      </w:pPr>
      <w:r>
        <w:t>O coeficiente toma valores entre -1 e 1</w:t>
      </w:r>
      <w:r w:rsidR="00BD26AC">
        <w:t xml:space="preserve"> e, por norma, é representado por </w:t>
      </w:r>
      <m:oMath>
        <m:r>
          <w:rPr>
            <w:rFonts w:ascii="Cambria Math" w:hAnsi="Cambria Math"/>
          </w:rPr>
          <m:t>ρ</m:t>
        </m:r>
      </m:oMath>
      <w:r w:rsidR="00BD26AC">
        <w:rPr>
          <w:rFonts w:eastAsiaTheme="minorEastAsia"/>
        </w:rPr>
        <w:t xml:space="preserve"> (Lira, 2004)</w:t>
      </w:r>
      <w:r>
        <w:t xml:space="preserve">. Segundo Filho </w:t>
      </w:r>
      <w:r w:rsidR="005E500A" w:rsidRPr="005E500A">
        <w:t xml:space="preserve">e </w:t>
      </w:r>
      <w:proofErr w:type="spellStart"/>
      <w:r w:rsidR="005E500A" w:rsidRPr="005E500A">
        <w:t>Junior</w:t>
      </w:r>
      <w:proofErr w:type="spellEnd"/>
      <w:r>
        <w:t xml:space="preserve"> (2009, p.</w:t>
      </w:r>
      <w:r w:rsidR="009403AB">
        <w:t xml:space="preserve"> </w:t>
      </w:r>
      <w:r>
        <w:t xml:space="preserve">119) o sinal dá indicação </w:t>
      </w:r>
      <w:r w:rsidR="000E5B1F">
        <w:t xml:space="preserve">da </w:t>
      </w:r>
      <w:r w:rsidR="000A3876">
        <w:t>direção</w:t>
      </w:r>
      <w:r w:rsidR="000E5B1F">
        <w:t xml:space="preserve"> </w:t>
      </w:r>
      <w:r w:rsidR="007C2457">
        <w:t>da associação linear</w:t>
      </w:r>
      <w:r w:rsidR="000E5B1F">
        <w:t xml:space="preserve"> das variáveis, isto é, quando estamos perante uma correlação positiva significa que quando uma variável aumenta a outra têm o mesmo comportamento. E vice-versa para um</w:t>
      </w:r>
      <w:r w:rsidR="00C57A67">
        <w:t>a</w:t>
      </w:r>
      <w:r w:rsidR="007C2457">
        <w:t xml:space="preserve"> correlação negativa.</w:t>
      </w:r>
    </w:p>
    <w:p w14:paraId="4A7CFD50" w14:textId="03DDEA54" w:rsidR="000E5B1F" w:rsidRDefault="00BD26AC" w:rsidP="00556327">
      <w:pPr>
        <w:spacing w:line="360" w:lineRule="auto"/>
        <w:jc w:val="both"/>
        <w:rPr>
          <w:rFonts w:eastAsiaTheme="minorEastAsia"/>
        </w:rPr>
      </w:pPr>
      <w:r>
        <w:lastRenderedPageBreak/>
        <w:t xml:space="preserve">Quando </w:t>
      </w:r>
      <m:oMath>
        <m:r>
          <w:rPr>
            <w:rFonts w:ascii="Cambria Math" w:hAnsi="Cambria Math"/>
          </w:rPr>
          <m:t>ρ</m:t>
        </m:r>
      </m:oMath>
      <w:r>
        <w:rPr>
          <w:rFonts w:eastAsiaTheme="minorEastAsia"/>
        </w:rPr>
        <w:t xml:space="preserve"> é igual a 1 ou a -1 estamos perante uma correlação perfeita no qual o que distingue é a direçao do relacionamento das variáveis, como enunciado.</w:t>
      </w:r>
    </w:p>
    <w:p w14:paraId="26171EE6" w14:textId="12F3039D" w:rsidR="00BD26AC" w:rsidRDefault="003A62F0" w:rsidP="00556327">
      <w:pPr>
        <w:spacing w:line="360" w:lineRule="auto"/>
        <w:jc w:val="both"/>
        <w:rPr>
          <w:rFonts w:eastAsiaTheme="minorEastAsia"/>
        </w:rPr>
      </w:pPr>
      <w:r>
        <w:rPr>
          <w:rFonts w:eastAsiaTheme="minorEastAsia"/>
        </w:rPr>
        <w:t xml:space="preserve">Por outro lado, quando </w:t>
      </w:r>
      <m:oMath>
        <m:r>
          <w:rPr>
            <w:rFonts w:ascii="Cambria Math" w:hAnsi="Cambria Math"/>
          </w:rPr>
          <m:t>ρ</m:t>
        </m:r>
      </m:oMath>
      <w:r w:rsidR="007E64A9">
        <w:rPr>
          <w:rFonts w:eastAsiaTheme="minorEastAsia"/>
        </w:rPr>
        <w:t xml:space="preserve"> </w:t>
      </w:r>
      <w:r>
        <w:rPr>
          <w:rFonts w:eastAsiaTheme="minorEastAsia"/>
        </w:rPr>
        <w:t>toma valor igual a 0 indica que não há relação linear entre as variáveis, ou seja, não há correlação visto que a relação linear era um dos pressupostos exigidos pelo método</w:t>
      </w:r>
      <w:r w:rsidR="009D3E77">
        <w:rPr>
          <w:rFonts w:eastAsiaTheme="minorEastAsia"/>
        </w:rPr>
        <w:t xml:space="preserve"> (Filho</w:t>
      </w:r>
      <w:r w:rsidR="005E500A">
        <w:rPr>
          <w:rFonts w:eastAsiaTheme="minorEastAsia"/>
        </w:rPr>
        <w:t xml:space="preserve"> &amp; </w:t>
      </w:r>
      <w:proofErr w:type="spellStart"/>
      <w:r w:rsidR="005E500A">
        <w:rPr>
          <w:rFonts w:eastAsiaTheme="minorEastAsia"/>
        </w:rPr>
        <w:t>Junior</w:t>
      </w:r>
      <w:proofErr w:type="spellEnd"/>
      <w:r>
        <w:rPr>
          <w:rFonts w:eastAsiaTheme="minorEastAsia"/>
        </w:rPr>
        <w:t>, 2009, p. 119). Neste caso, podem classificar-se como independentes as variáveis testadas.</w:t>
      </w:r>
    </w:p>
    <w:p w14:paraId="0FE1105F" w14:textId="4BF92C37" w:rsidR="00C93B3E" w:rsidRDefault="005E500A" w:rsidP="00556327">
      <w:pPr>
        <w:spacing w:line="360" w:lineRule="auto"/>
        <w:jc w:val="both"/>
        <w:rPr>
          <w:rFonts w:eastAsiaTheme="minorEastAsia"/>
        </w:rPr>
      </w:pPr>
      <w:r>
        <w:rPr>
          <w:rFonts w:eastAsiaTheme="minorEastAsia"/>
        </w:rPr>
        <w:t>O valor exato do coeficiente obtido é que dá indicação da intensidade de correlação das variáveis. Por este motivo, na presente dissertação, o estudo foi feito tendo por base a distribuição</w:t>
      </w:r>
      <w:r w:rsidR="00E95D99">
        <w:rPr>
          <w:rFonts w:eastAsiaTheme="minorEastAsia"/>
        </w:rPr>
        <w:t xml:space="preserve"> </w:t>
      </w:r>
      <w:r w:rsidR="00360329">
        <w:rPr>
          <w:rFonts w:eastAsiaTheme="minorEastAsia"/>
        </w:rPr>
        <w:t>das forças</w:t>
      </w:r>
      <w:r w:rsidR="007051A5">
        <w:rPr>
          <w:rFonts w:eastAsiaTheme="minorEastAsia"/>
        </w:rPr>
        <w:t xml:space="preserve"> </w:t>
      </w:r>
      <w:r w:rsidR="00E95D99">
        <w:rPr>
          <w:rFonts w:eastAsiaTheme="minorEastAsia"/>
        </w:rPr>
        <w:t>de correlação</w:t>
      </w:r>
      <w:r>
        <w:rPr>
          <w:rFonts w:eastAsiaTheme="minorEastAsia"/>
        </w:rPr>
        <w:t xml:space="preserve"> </w:t>
      </w:r>
      <w:r w:rsidR="00E95D99">
        <w:rPr>
          <w:rFonts w:eastAsiaTheme="minorEastAsia"/>
        </w:rPr>
        <w:t xml:space="preserve">feita por </w:t>
      </w:r>
      <w:proofErr w:type="spellStart"/>
      <w:r w:rsidR="00E95D99">
        <w:rPr>
          <w:rFonts w:eastAsiaTheme="minorEastAsia"/>
        </w:rPr>
        <w:t>Marôco</w:t>
      </w:r>
      <w:proofErr w:type="spellEnd"/>
      <w:r w:rsidR="00E95D99">
        <w:rPr>
          <w:rFonts w:eastAsiaTheme="minorEastAsia"/>
        </w:rPr>
        <w:t xml:space="preserve"> (2018) como apresentado no </w:t>
      </w:r>
      <w:r w:rsidR="004A4E1E">
        <w:rPr>
          <w:rFonts w:eastAsiaTheme="minorEastAsia"/>
        </w:rPr>
        <w:t xml:space="preserve">Tabela </w:t>
      </w:r>
      <w:r w:rsidR="00E95D99" w:rsidRPr="00C808BF">
        <w:rPr>
          <w:rFonts w:eastAsiaTheme="minorEastAsia"/>
        </w:rPr>
        <w:t>4.</w:t>
      </w:r>
      <w:r w:rsidR="009E6753">
        <w:rPr>
          <w:rFonts w:eastAsiaTheme="minorEastAsia"/>
        </w:rPr>
        <w:t>14</w:t>
      </w:r>
      <w:r w:rsidR="00E95D99">
        <w:rPr>
          <w:rFonts w:eastAsiaTheme="minorEastAsia"/>
        </w:rPr>
        <w:t>.</w:t>
      </w:r>
    </w:p>
    <w:p w14:paraId="554B3296" w14:textId="4CF29BD2" w:rsidR="00C00290" w:rsidRDefault="00C00290" w:rsidP="00C65C8B">
      <w:pPr>
        <w:pStyle w:val="Legenda"/>
        <w:keepNext/>
        <w:spacing w:after="60"/>
        <w:jc w:val="center"/>
      </w:pPr>
      <w:bookmarkStart w:id="120" w:name="_Toc58853174"/>
      <w:bookmarkStart w:id="121" w:name="_Toc66624263"/>
      <w:r w:rsidRPr="00C00290">
        <w:rPr>
          <w:color w:val="auto"/>
          <w:sz w:val="24"/>
        </w:rPr>
        <w:t xml:space="preserve">Tabela </w:t>
      </w:r>
      <w:r w:rsidR="00843BFC">
        <w:rPr>
          <w:color w:val="auto"/>
          <w:sz w:val="24"/>
        </w:rPr>
        <w:fldChar w:fldCharType="begin"/>
      </w:r>
      <w:r w:rsidR="00843BFC">
        <w:rPr>
          <w:color w:val="auto"/>
          <w:sz w:val="24"/>
        </w:rPr>
        <w:instrText xml:space="preserve"> STYLEREF 1 \s </w:instrText>
      </w:r>
      <w:r w:rsidR="00843BFC">
        <w:rPr>
          <w:color w:val="auto"/>
          <w:sz w:val="24"/>
        </w:rPr>
        <w:fldChar w:fldCharType="separate"/>
      </w:r>
      <w:r w:rsidR="00380A6F">
        <w:rPr>
          <w:noProof/>
          <w:color w:val="auto"/>
          <w:sz w:val="24"/>
        </w:rPr>
        <w:t>4</w:t>
      </w:r>
      <w:r w:rsidR="00843BFC">
        <w:rPr>
          <w:color w:val="auto"/>
          <w:sz w:val="24"/>
        </w:rPr>
        <w:fldChar w:fldCharType="end"/>
      </w:r>
      <w:r w:rsidR="00843BFC">
        <w:rPr>
          <w:color w:val="auto"/>
          <w:sz w:val="24"/>
        </w:rPr>
        <w:t>.</w:t>
      </w:r>
      <w:r w:rsidR="00843BFC">
        <w:rPr>
          <w:color w:val="auto"/>
          <w:sz w:val="24"/>
        </w:rPr>
        <w:fldChar w:fldCharType="begin"/>
      </w:r>
      <w:r w:rsidR="00843BFC">
        <w:rPr>
          <w:color w:val="auto"/>
          <w:sz w:val="24"/>
        </w:rPr>
        <w:instrText xml:space="preserve"> SEQ Tabela \* ARABIC \s 1 </w:instrText>
      </w:r>
      <w:r w:rsidR="00843BFC">
        <w:rPr>
          <w:color w:val="auto"/>
          <w:sz w:val="24"/>
        </w:rPr>
        <w:fldChar w:fldCharType="separate"/>
      </w:r>
      <w:r w:rsidR="00380A6F">
        <w:rPr>
          <w:noProof/>
          <w:color w:val="auto"/>
          <w:sz w:val="24"/>
        </w:rPr>
        <w:t>14</w:t>
      </w:r>
      <w:r w:rsidR="00843BFC">
        <w:rPr>
          <w:color w:val="auto"/>
          <w:sz w:val="24"/>
        </w:rPr>
        <w:fldChar w:fldCharType="end"/>
      </w:r>
      <w:r w:rsidRPr="00C00290">
        <w:rPr>
          <w:color w:val="auto"/>
          <w:sz w:val="24"/>
        </w:rPr>
        <w:t xml:space="preserve"> -</w:t>
      </w:r>
      <w:r>
        <w:t xml:space="preserve"> </w:t>
      </w:r>
      <w:r w:rsidRPr="009C4354">
        <w:rPr>
          <w:b w:val="0"/>
          <w:color w:val="auto"/>
          <w:sz w:val="24"/>
        </w:rPr>
        <w:t xml:space="preserve">Força da </w:t>
      </w:r>
      <w:r w:rsidRPr="00C65C8B">
        <w:rPr>
          <w:rFonts w:cs="Times New Roman"/>
          <w:b w:val="0"/>
          <w:color w:val="auto"/>
          <w:sz w:val="24"/>
        </w:rPr>
        <w:t xml:space="preserve">Correlação de </w:t>
      </w:r>
      <w:proofErr w:type="spellStart"/>
      <w:r w:rsidRPr="00C111E1">
        <w:rPr>
          <w:rFonts w:cs="Times New Roman"/>
          <w:b w:val="0"/>
          <w:i/>
          <w:iCs/>
          <w:color w:val="auto"/>
          <w:sz w:val="24"/>
        </w:rPr>
        <w:t>Pearson</w:t>
      </w:r>
      <w:bookmarkEnd w:id="120"/>
      <w:bookmarkEnd w:id="121"/>
      <w:proofErr w:type="spellEnd"/>
    </w:p>
    <w:tbl>
      <w:tblPr>
        <w:tblStyle w:val="TabeladeLista6Colorida1"/>
        <w:tblW w:w="0" w:type="auto"/>
        <w:jc w:val="center"/>
        <w:tblLook w:val="04A0" w:firstRow="1" w:lastRow="0" w:firstColumn="1" w:lastColumn="0" w:noHBand="0" w:noVBand="1"/>
      </w:tblPr>
      <w:tblGrid>
        <w:gridCol w:w="2802"/>
        <w:gridCol w:w="3402"/>
      </w:tblGrid>
      <w:tr w:rsidR="00E95D99" w:rsidRPr="00A32816" w14:paraId="0B8FD13E" w14:textId="77777777" w:rsidTr="00851BF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02" w:type="dxa"/>
            <w:tcBorders>
              <w:top w:val="double" w:sz="4" w:space="0" w:color="auto"/>
            </w:tcBorders>
          </w:tcPr>
          <w:p w14:paraId="3B33085D" w14:textId="635A4108" w:rsidR="00E95D99" w:rsidRPr="0090258B" w:rsidRDefault="00E95D99" w:rsidP="00706EE3">
            <w:pPr>
              <w:tabs>
                <w:tab w:val="left" w:pos="1276"/>
                <w:tab w:val="left" w:pos="1843"/>
              </w:tabs>
              <w:spacing w:before="60" w:line="276" w:lineRule="auto"/>
              <w:jc w:val="center"/>
              <w:rPr>
                <w:bCs w:val="0"/>
                <w:smallCaps/>
                <w:color w:val="auto"/>
                <w:sz w:val="22"/>
              </w:rPr>
            </w:pPr>
            <w:r w:rsidRPr="0090258B">
              <w:rPr>
                <w:bCs w:val="0"/>
                <w:smallCaps/>
                <w:color w:val="auto"/>
                <w:sz w:val="22"/>
              </w:rPr>
              <w:t>Valor da Correlação</w:t>
            </w:r>
          </w:p>
        </w:tc>
        <w:tc>
          <w:tcPr>
            <w:tcW w:w="3402" w:type="dxa"/>
            <w:tcBorders>
              <w:top w:val="double" w:sz="4" w:space="0" w:color="auto"/>
            </w:tcBorders>
          </w:tcPr>
          <w:p w14:paraId="2FD4A377" w14:textId="2C6F21D0" w:rsidR="00E95D99" w:rsidRPr="0090258B" w:rsidRDefault="00E95D99" w:rsidP="00706EE3">
            <w:pPr>
              <w:tabs>
                <w:tab w:val="left" w:pos="1276"/>
                <w:tab w:val="left" w:pos="1843"/>
              </w:tabs>
              <w:spacing w:before="60" w:line="276" w:lineRule="auto"/>
              <w:jc w:val="center"/>
              <w:cnfStyle w:val="100000000000" w:firstRow="1" w:lastRow="0" w:firstColumn="0" w:lastColumn="0" w:oddVBand="0" w:evenVBand="0" w:oddHBand="0" w:evenHBand="0" w:firstRowFirstColumn="0" w:firstRowLastColumn="0" w:lastRowFirstColumn="0" w:lastRowLastColumn="0"/>
              <w:rPr>
                <w:bCs w:val="0"/>
                <w:smallCaps/>
                <w:color w:val="auto"/>
                <w:sz w:val="22"/>
              </w:rPr>
            </w:pPr>
            <w:r w:rsidRPr="0090258B">
              <w:rPr>
                <w:bCs w:val="0"/>
                <w:smallCaps/>
                <w:color w:val="auto"/>
                <w:sz w:val="22"/>
              </w:rPr>
              <w:t>Força da Correlação</w:t>
            </w:r>
          </w:p>
        </w:tc>
      </w:tr>
      <w:tr w:rsidR="00E95D99" w:rsidRPr="00A32816" w14:paraId="5FB1B195" w14:textId="77777777" w:rsidTr="00CF1D6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02" w:type="dxa"/>
            <w:shd w:val="clear" w:color="auto" w:fill="E7E6E6" w:themeFill="background2"/>
          </w:tcPr>
          <w:p w14:paraId="275AF62A" w14:textId="5B6E30E0" w:rsidR="00E95D99" w:rsidRPr="0090258B" w:rsidRDefault="009D3E77" w:rsidP="00706EE3">
            <w:pPr>
              <w:spacing w:line="276" w:lineRule="auto"/>
              <w:jc w:val="center"/>
              <w:rPr>
                <w:rFonts w:eastAsiaTheme="minorEastAsia"/>
                <w:sz w:val="22"/>
              </w:rPr>
            </w:pPr>
            <w:r w:rsidRPr="0090258B">
              <w:rPr>
                <w:rFonts w:eastAsiaTheme="minorEastAsia"/>
                <w:sz w:val="22"/>
              </w:rPr>
              <w:t>&lt;</w:t>
            </w:r>
            <w:r w:rsidR="00652541" w:rsidRPr="0090258B">
              <w:rPr>
                <w:rFonts w:eastAsiaTheme="minorEastAsia"/>
                <w:sz w:val="22"/>
              </w:rPr>
              <w:t xml:space="preserve"> </w:t>
            </w:r>
            <w:r w:rsidRPr="0090258B">
              <w:rPr>
                <w:rFonts w:eastAsiaTheme="minorEastAsia"/>
                <w:sz w:val="22"/>
              </w:rPr>
              <w:t>0,25</w:t>
            </w:r>
          </w:p>
        </w:tc>
        <w:tc>
          <w:tcPr>
            <w:tcW w:w="3402" w:type="dxa"/>
            <w:shd w:val="clear" w:color="auto" w:fill="E7E6E6" w:themeFill="background2"/>
          </w:tcPr>
          <w:p w14:paraId="67A27D66" w14:textId="72AFD3E9" w:rsidR="00E95D99" w:rsidRPr="0090258B" w:rsidRDefault="009D3E77" w:rsidP="00706EE3">
            <w:pPr>
              <w:spacing w:line="276" w:lineRule="auto"/>
              <w:jc w:val="center"/>
              <w:cnfStyle w:val="000000100000" w:firstRow="0" w:lastRow="0" w:firstColumn="0" w:lastColumn="0" w:oddVBand="0" w:evenVBand="0" w:oddHBand="1" w:evenHBand="0" w:firstRowFirstColumn="0" w:firstRowLastColumn="0" w:lastRowFirstColumn="0" w:lastRowLastColumn="0"/>
              <w:rPr>
                <w:rFonts w:eastAsiaTheme="minorEastAsia"/>
                <w:sz w:val="22"/>
              </w:rPr>
            </w:pPr>
            <w:r w:rsidRPr="0090258B">
              <w:rPr>
                <w:rFonts w:eastAsiaTheme="minorEastAsia"/>
                <w:sz w:val="22"/>
              </w:rPr>
              <w:t>Correlação Fraca</w:t>
            </w:r>
          </w:p>
        </w:tc>
      </w:tr>
      <w:tr w:rsidR="00E95D99" w:rsidRPr="00A32816" w14:paraId="6EA07510" w14:textId="77777777" w:rsidTr="00896081">
        <w:trPr>
          <w:jc w:val="center"/>
        </w:trPr>
        <w:tc>
          <w:tcPr>
            <w:cnfStyle w:val="001000000000" w:firstRow="0" w:lastRow="0" w:firstColumn="1" w:lastColumn="0" w:oddVBand="0" w:evenVBand="0" w:oddHBand="0" w:evenHBand="0" w:firstRowFirstColumn="0" w:firstRowLastColumn="0" w:lastRowFirstColumn="0" w:lastRowLastColumn="0"/>
            <w:tcW w:w="2802" w:type="dxa"/>
            <w:tcBorders>
              <w:bottom w:val="nil"/>
            </w:tcBorders>
          </w:tcPr>
          <w:p w14:paraId="3EF680D0" w14:textId="5DBAA38E" w:rsidR="00E95D99" w:rsidRPr="0090258B" w:rsidRDefault="009D3E77" w:rsidP="00706EE3">
            <w:pPr>
              <w:spacing w:line="276" w:lineRule="auto"/>
              <w:jc w:val="center"/>
              <w:rPr>
                <w:rFonts w:eastAsiaTheme="minorEastAsia"/>
                <w:sz w:val="22"/>
              </w:rPr>
            </w:pPr>
            <w:r w:rsidRPr="0090258B">
              <w:rPr>
                <w:rFonts w:eastAsiaTheme="minorEastAsia"/>
                <w:sz w:val="22"/>
              </w:rPr>
              <w:t>0,25 – 0,50</w:t>
            </w:r>
          </w:p>
        </w:tc>
        <w:tc>
          <w:tcPr>
            <w:tcW w:w="3402" w:type="dxa"/>
          </w:tcPr>
          <w:p w14:paraId="11B883AE" w14:textId="5D4DC439" w:rsidR="00E95D99" w:rsidRPr="0090258B" w:rsidRDefault="009D3E77" w:rsidP="00706EE3">
            <w:pPr>
              <w:spacing w:line="276" w:lineRule="auto"/>
              <w:jc w:val="center"/>
              <w:cnfStyle w:val="000000000000" w:firstRow="0" w:lastRow="0" w:firstColumn="0" w:lastColumn="0" w:oddVBand="0" w:evenVBand="0" w:oddHBand="0" w:evenHBand="0" w:firstRowFirstColumn="0" w:firstRowLastColumn="0" w:lastRowFirstColumn="0" w:lastRowLastColumn="0"/>
              <w:rPr>
                <w:rFonts w:eastAsiaTheme="minorEastAsia"/>
                <w:sz w:val="22"/>
              </w:rPr>
            </w:pPr>
            <w:r w:rsidRPr="0090258B">
              <w:rPr>
                <w:rFonts w:eastAsiaTheme="minorEastAsia"/>
                <w:sz w:val="22"/>
              </w:rPr>
              <w:t>Correlação Moderada</w:t>
            </w:r>
          </w:p>
        </w:tc>
      </w:tr>
      <w:tr w:rsidR="00E95D99" w:rsidRPr="00A32816" w14:paraId="45924F4D" w14:textId="77777777" w:rsidTr="0089608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02" w:type="dxa"/>
            <w:tcBorders>
              <w:top w:val="nil"/>
              <w:bottom w:val="nil"/>
            </w:tcBorders>
            <w:shd w:val="clear" w:color="auto" w:fill="E7E6E6" w:themeFill="background2"/>
          </w:tcPr>
          <w:p w14:paraId="1CB7D243" w14:textId="440ADE94" w:rsidR="00E95D99" w:rsidRPr="0090258B" w:rsidRDefault="009D3E77" w:rsidP="00706EE3">
            <w:pPr>
              <w:spacing w:line="276" w:lineRule="auto"/>
              <w:jc w:val="center"/>
              <w:rPr>
                <w:rFonts w:eastAsiaTheme="minorEastAsia"/>
                <w:sz w:val="22"/>
              </w:rPr>
            </w:pPr>
            <w:r w:rsidRPr="0090258B">
              <w:rPr>
                <w:rFonts w:eastAsiaTheme="minorEastAsia"/>
                <w:sz w:val="22"/>
              </w:rPr>
              <w:t>0,50 – 0,75</w:t>
            </w:r>
          </w:p>
        </w:tc>
        <w:tc>
          <w:tcPr>
            <w:tcW w:w="3402" w:type="dxa"/>
            <w:shd w:val="clear" w:color="auto" w:fill="E7E6E6" w:themeFill="background2"/>
          </w:tcPr>
          <w:p w14:paraId="530A19F3" w14:textId="0776598B" w:rsidR="00E95D99" w:rsidRPr="0090258B" w:rsidRDefault="009D3E77" w:rsidP="00706EE3">
            <w:pPr>
              <w:spacing w:line="276" w:lineRule="auto"/>
              <w:jc w:val="center"/>
              <w:cnfStyle w:val="000000100000" w:firstRow="0" w:lastRow="0" w:firstColumn="0" w:lastColumn="0" w:oddVBand="0" w:evenVBand="0" w:oddHBand="1" w:evenHBand="0" w:firstRowFirstColumn="0" w:firstRowLastColumn="0" w:lastRowFirstColumn="0" w:lastRowLastColumn="0"/>
              <w:rPr>
                <w:rFonts w:eastAsiaTheme="minorEastAsia"/>
                <w:sz w:val="22"/>
              </w:rPr>
            </w:pPr>
            <w:r w:rsidRPr="0090258B">
              <w:rPr>
                <w:rFonts w:eastAsiaTheme="minorEastAsia"/>
                <w:sz w:val="22"/>
              </w:rPr>
              <w:t>Correlação Forte</w:t>
            </w:r>
          </w:p>
        </w:tc>
      </w:tr>
      <w:tr w:rsidR="00E95D99" w:rsidRPr="00A32816" w14:paraId="33555EA0" w14:textId="77777777" w:rsidTr="00896081">
        <w:trPr>
          <w:jc w:val="center"/>
        </w:trPr>
        <w:tc>
          <w:tcPr>
            <w:cnfStyle w:val="001000000000" w:firstRow="0" w:lastRow="0" w:firstColumn="1" w:lastColumn="0" w:oddVBand="0" w:evenVBand="0" w:oddHBand="0" w:evenHBand="0" w:firstRowFirstColumn="0" w:firstRowLastColumn="0" w:lastRowFirstColumn="0" w:lastRowLastColumn="0"/>
            <w:tcW w:w="2802" w:type="dxa"/>
            <w:tcBorders>
              <w:top w:val="nil"/>
              <w:bottom w:val="double" w:sz="4" w:space="0" w:color="auto"/>
            </w:tcBorders>
          </w:tcPr>
          <w:p w14:paraId="18F91684" w14:textId="2D55F4EA" w:rsidR="00E95D99" w:rsidRPr="0090258B" w:rsidRDefault="009D3E77" w:rsidP="00706EE3">
            <w:pPr>
              <w:spacing w:line="276" w:lineRule="auto"/>
              <w:jc w:val="center"/>
              <w:rPr>
                <w:rFonts w:eastAsiaTheme="minorEastAsia"/>
                <w:sz w:val="22"/>
              </w:rPr>
            </w:pPr>
            <w:r w:rsidRPr="0090258B">
              <w:rPr>
                <w:rFonts w:eastAsiaTheme="minorEastAsia"/>
                <w:sz w:val="22"/>
              </w:rPr>
              <w:t>&gt;</w:t>
            </w:r>
            <w:r w:rsidR="00652541" w:rsidRPr="0090258B">
              <w:rPr>
                <w:rFonts w:eastAsiaTheme="minorEastAsia"/>
                <w:sz w:val="22"/>
              </w:rPr>
              <w:t xml:space="preserve"> </w:t>
            </w:r>
            <w:r w:rsidRPr="0090258B">
              <w:rPr>
                <w:rFonts w:eastAsiaTheme="minorEastAsia"/>
                <w:sz w:val="22"/>
              </w:rPr>
              <w:t>0,75</w:t>
            </w:r>
          </w:p>
        </w:tc>
        <w:tc>
          <w:tcPr>
            <w:tcW w:w="3402" w:type="dxa"/>
            <w:tcBorders>
              <w:bottom w:val="double" w:sz="4" w:space="0" w:color="auto"/>
            </w:tcBorders>
          </w:tcPr>
          <w:p w14:paraId="26E17BC1" w14:textId="12393793" w:rsidR="00E95D99" w:rsidRPr="0090258B" w:rsidRDefault="009D3E77" w:rsidP="00706EE3">
            <w:pPr>
              <w:keepNext/>
              <w:spacing w:line="276" w:lineRule="auto"/>
              <w:jc w:val="center"/>
              <w:cnfStyle w:val="000000000000" w:firstRow="0" w:lastRow="0" w:firstColumn="0" w:lastColumn="0" w:oddVBand="0" w:evenVBand="0" w:oddHBand="0" w:evenHBand="0" w:firstRowFirstColumn="0" w:firstRowLastColumn="0" w:lastRowFirstColumn="0" w:lastRowLastColumn="0"/>
              <w:rPr>
                <w:rFonts w:eastAsiaTheme="minorEastAsia"/>
                <w:sz w:val="22"/>
              </w:rPr>
            </w:pPr>
            <w:r w:rsidRPr="0090258B">
              <w:rPr>
                <w:rFonts w:eastAsiaTheme="minorEastAsia"/>
                <w:sz w:val="22"/>
              </w:rPr>
              <w:t>Correlação Muito Forte</w:t>
            </w:r>
          </w:p>
        </w:tc>
      </w:tr>
    </w:tbl>
    <w:p w14:paraId="5F2DC4BB" w14:textId="176E3E2E" w:rsidR="00E95D99" w:rsidRDefault="009D3E77" w:rsidP="009D3E77">
      <w:pPr>
        <w:spacing w:line="360" w:lineRule="auto"/>
        <w:jc w:val="center"/>
        <w:rPr>
          <w:rFonts w:eastAsiaTheme="minorEastAsia"/>
          <w:sz w:val="20"/>
        </w:rPr>
      </w:pPr>
      <w:r w:rsidRPr="009D3E77">
        <w:rPr>
          <w:rFonts w:eastAsiaTheme="minorEastAsia"/>
          <w:sz w:val="20"/>
        </w:rPr>
        <w:t xml:space="preserve">Fonte: </w:t>
      </w:r>
      <w:proofErr w:type="spellStart"/>
      <w:r w:rsidRPr="009D3E77">
        <w:rPr>
          <w:rFonts w:eastAsiaTheme="minorEastAsia"/>
          <w:sz w:val="20"/>
        </w:rPr>
        <w:t>Marôco</w:t>
      </w:r>
      <w:proofErr w:type="spellEnd"/>
      <w:r w:rsidRPr="009D3E77">
        <w:rPr>
          <w:rFonts w:eastAsiaTheme="minorEastAsia"/>
          <w:sz w:val="20"/>
        </w:rPr>
        <w:t xml:space="preserve"> (2018)</w:t>
      </w:r>
    </w:p>
    <w:p w14:paraId="0EE4AEFE" w14:textId="46684C68" w:rsidR="00583F49" w:rsidRDefault="00DD0EE6" w:rsidP="004B46C5">
      <w:pPr>
        <w:spacing w:line="360" w:lineRule="auto"/>
        <w:jc w:val="both"/>
        <w:rPr>
          <w:rFonts w:eastAsiaTheme="minorEastAsia"/>
        </w:rPr>
      </w:pPr>
      <w:r>
        <w:rPr>
          <w:rFonts w:eastAsiaTheme="minorEastAsia"/>
        </w:rPr>
        <w:t xml:space="preserve">Relativamente aos testes realizados através da Correlação de </w:t>
      </w:r>
      <w:proofErr w:type="spellStart"/>
      <w:r w:rsidRPr="00DD0EE6">
        <w:rPr>
          <w:rFonts w:eastAsiaTheme="minorEastAsia"/>
          <w:i/>
        </w:rPr>
        <w:t>Pearson</w:t>
      </w:r>
      <w:proofErr w:type="spellEnd"/>
      <w:r>
        <w:rPr>
          <w:rFonts w:eastAsiaTheme="minorEastAsia"/>
        </w:rPr>
        <w:t xml:space="preserve">, importa ter em conta as limitações bem como as condições deste método. Para este efeito, </w:t>
      </w:r>
      <w:r w:rsidR="007C2457">
        <w:rPr>
          <w:rFonts w:eastAsiaTheme="minorEastAsia"/>
        </w:rPr>
        <w:t xml:space="preserve">Moore e </w:t>
      </w:r>
      <w:proofErr w:type="spellStart"/>
      <w:r w:rsidR="007C2457">
        <w:rPr>
          <w:rFonts w:eastAsiaTheme="minorEastAsia"/>
        </w:rPr>
        <w:t>McCabe</w:t>
      </w:r>
      <w:proofErr w:type="spellEnd"/>
      <w:r w:rsidR="007C2457">
        <w:rPr>
          <w:rFonts w:eastAsiaTheme="minorEastAsia"/>
        </w:rPr>
        <w:t xml:space="preserve"> (2004) citado</w:t>
      </w:r>
      <w:r w:rsidR="00B11E28">
        <w:rPr>
          <w:rFonts w:eastAsiaTheme="minorEastAsia"/>
        </w:rPr>
        <w:t>s</w:t>
      </w:r>
      <w:r w:rsidR="007C2457">
        <w:rPr>
          <w:rFonts w:eastAsiaTheme="minorEastAsia"/>
        </w:rPr>
        <w:t xml:space="preserve"> por Filho e </w:t>
      </w:r>
      <w:proofErr w:type="spellStart"/>
      <w:r w:rsidR="007C2457">
        <w:rPr>
          <w:rFonts w:eastAsiaTheme="minorEastAsia"/>
        </w:rPr>
        <w:t>Junior</w:t>
      </w:r>
      <w:proofErr w:type="spellEnd"/>
      <w:r w:rsidR="007C2457">
        <w:rPr>
          <w:rFonts w:eastAsiaTheme="minorEastAsia"/>
        </w:rPr>
        <w:t xml:space="preserve"> (2009, p.121</w:t>
      </w:r>
      <w:r w:rsidR="00CD64B1">
        <w:rPr>
          <w:rFonts w:eastAsiaTheme="minorEastAsia"/>
        </w:rPr>
        <w:t>-122</w:t>
      </w:r>
      <w:r w:rsidR="007C2457">
        <w:rPr>
          <w:rFonts w:eastAsiaTheme="minorEastAsia"/>
        </w:rPr>
        <w:t>)</w:t>
      </w:r>
      <w:r>
        <w:rPr>
          <w:rFonts w:eastAsiaTheme="minorEastAsia"/>
        </w:rPr>
        <w:t xml:space="preserve"> enunciam três limites à análise do coeficiente: </w:t>
      </w:r>
      <w:r w:rsidR="00583F49">
        <w:rPr>
          <w:rFonts w:eastAsiaTheme="minorEastAsia"/>
        </w:rPr>
        <w:t xml:space="preserve">primeiro, para o coeficiente o valor da correlação entre X e Y é o mesmo entre Y e X, ou seja, o coeficiente não diferencia as variáveis entre independentes e dependentes; segundo, </w:t>
      </w:r>
      <w:r w:rsidR="00CD64B1">
        <w:rPr>
          <w:rFonts w:eastAsiaTheme="minorEastAsia"/>
        </w:rPr>
        <w:t>o coeficiente não tem em conta a unidade de mensuração das variáveis, ou seja, o valor da correlação é sempre o mesmo independentemente das unidades de mensuração das variáveis relacionadas; e, por último, o coeficiente não é definido por uma unidade física, apresentando-se através de</w:t>
      </w:r>
      <w:r w:rsidR="004110F9">
        <w:rPr>
          <w:rFonts w:eastAsiaTheme="minorEastAsia"/>
        </w:rPr>
        <w:t xml:space="preserve"> um carácter </w:t>
      </w:r>
      <w:r w:rsidR="006C5FBD">
        <w:rPr>
          <w:rFonts w:eastAsiaTheme="minorEastAsia"/>
        </w:rPr>
        <w:t>sem dimensão</w:t>
      </w:r>
      <w:r w:rsidR="00CD64B1">
        <w:rPr>
          <w:rFonts w:eastAsiaTheme="minorEastAsia"/>
        </w:rPr>
        <w:t xml:space="preserve">, ou seja, não </w:t>
      </w:r>
      <w:r w:rsidR="00B4646C">
        <w:rPr>
          <w:rFonts w:eastAsiaTheme="minorEastAsia"/>
        </w:rPr>
        <w:t>se deve</w:t>
      </w:r>
      <w:r w:rsidR="00CD64B1">
        <w:rPr>
          <w:rFonts w:eastAsiaTheme="minorEastAsia"/>
        </w:rPr>
        <w:t xml:space="preserve"> interpretar 0,5 como 50%, por exemplo.</w:t>
      </w:r>
    </w:p>
    <w:p w14:paraId="17F696F9" w14:textId="7224F627" w:rsidR="00B11E28" w:rsidRDefault="00B11E28" w:rsidP="004B46C5">
      <w:pPr>
        <w:spacing w:line="360" w:lineRule="auto"/>
        <w:jc w:val="both"/>
        <w:rPr>
          <w:rFonts w:eastAsiaTheme="minorEastAsia"/>
        </w:rPr>
      </w:pPr>
      <w:r>
        <w:rPr>
          <w:rFonts w:eastAsiaTheme="minorEastAsia"/>
        </w:rPr>
        <w:t xml:space="preserve">Na </w:t>
      </w:r>
      <w:r w:rsidR="00C96DD2">
        <w:rPr>
          <w:rFonts w:eastAsiaTheme="minorEastAsia"/>
        </w:rPr>
        <w:t>perspetiva</w:t>
      </w:r>
      <w:r>
        <w:rPr>
          <w:rFonts w:eastAsiaTheme="minorEastAsia"/>
        </w:rPr>
        <w:t xml:space="preserve"> das condições, </w:t>
      </w:r>
      <w:r w:rsidR="00A370E4">
        <w:rPr>
          <w:rFonts w:eastAsiaTheme="minorEastAsia"/>
        </w:rPr>
        <w:t xml:space="preserve">para serem retiradas conclusões através da análise do coeficiente da correlação de </w:t>
      </w:r>
      <w:proofErr w:type="spellStart"/>
      <w:r w:rsidR="00A370E4" w:rsidRPr="00A370E4">
        <w:rPr>
          <w:rFonts w:eastAsiaTheme="minorEastAsia"/>
          <w:i/>
        </w:rPr>
        <w:t>Pearson</w:t>
      </w:r>
      <w:proofErr w:type="spellEnd"/>
      <w:r w:rsidR="00A370E4">
        <w:rPr>
          <w:rFonts w:eastAsiaTheme="minorEastAsia"/>
        </w:rPr>
        <w:t xml:space="preserve"> as variáveis introduzidas têm </w:t>
      </w:r>
      <w:proofErr w:type="gramStart"/>
      <w:r w:rsidR="00A370E4">
        <w:rPr>
          <w:rFonts w:eastAsiaTheme="minorEastAsia"/>
        </w:rPr>
        <w:t>que</w:t>
      </w:r>
      <w:proofErr w:type="gramEnd"/>
      <w:r w:rsidR="00A370E4">
        <w:rPr>
          <w:rFonts w:eastAsiaTheme="minorEastAsia"/>
        </w:rPr>
        <w:t xml:space="preserve"> estar apresentadas quantitativamente</w:t>
      </w:r>
      <w:r w:rsidR="00227832">
        <w:rPr>
          <w:rFonts w:eastAsiaTheme="minorEastAsia"/>
        </w:rPr>
        <w:t xml:space="preserve"> </w:t>
      </w:r>
      <w:r w:rsidR="00A370E4">
        <w:rPr>
          <w:rFonts w:eastAsiaTheme="minorEastAsia"/>
        </w:rPr>
        <w:t xml:space="preserve">(Filho &amp; </w:t>
      </w:r>
      <w:proofErr w:type="spellStart"/>
      <w:r w:rsidR="00A370E4">
        <w:rPr>
          <w:rFonts w:eastAsiaTheme="minorEastAsia"/>
        </w:rPr>
        <w:t>Junior</w:t>
      </w:r>
      <w:proofErr w:type="spellEnd"/>
      <w:r w:rsidR="00A370E4">
        <w:rPr>
          <w:rFonts w:eastAsiaTheme="minorEastAsia"/>
        </w:rPr>
        <w:t>, 2009, p. 122)</w:t>
      </w:r>
      <w:r w:rsidR="00227832">
        <w:rPr>
          <w:rFonts w:eastAsiaTheme="minorEastAsia"/>
        </w:rPr>
        <w:t xml:space="preserve">. Desta forma, variáveis com dados binários ou categóricos não podem ser utilizados na correlação de </w:t>
      </w:r>
      <w:proofErr w:type="spellStart"/>
      <w:r w:rsidR="00227832" w:rsidRPr="00227832">
        <w:rPr>
          <w:rFonts w:eastAsiaTheme="minorEastAsia"/>
          <w:i/>
          <w:iCs/>
        </w:rPr>
        <w:t>Pearson</w:t>
      </w:r>
      <w:proofErr w:type="spellEnd"/>
      <w:r w:rsidR="00227832">
        <w:rPr>
          <w:rFonts w:eastAsiaTheme="minorEastAsia"/>
          <w:i/>
          <w:iCs/>
        </w:rPr>
        <w:t>.</w:t>
      </w:r>
    </w:p>
    <w:p w14:paraId="22443A2B" w14:textId="0B78571E" w:rsidR="00A370E4" w:rsidRDefault="00A370E4" w:rsidP="004B46C5">
      <w:pPr>
        <w:spacing w:line="360" w:lineRule="auto"/>
        <w:jc w:val="both"/>
        <w:rPr>
          <w:rFonts w:eastAsiaTheme="minorEastAsia"/>
        </w:rPr>
      </w:pPr>
      <w:r>
        <w:rPr>
          <w:rFonts w:eastAsiaTheme="minorEastAsia"/>
        </w:rPr>
        <w:lastRenderedPageBreak/>
        <w:t>Os mesmos autores, acrescentam, ainda como condição, a distribuição normal dos valores observados.</w:t>
      </w:r>
      <w:r w:rsidR="00841FB3">
        <w:rPr>
          <w:rFonts w:eastAsiaTheme="minorEastAsia"/>
        </w:rPr>
        <w:t xml:space="preserve"> </w:t>
      </w:r>
      <w:r>
        <w:rPr>
          <w:rFonts w:eastAsiaTheme="minorEastAsia"/>
        </w:rPr>
        <w:t xml:space="preserve">Uma vez que o coeficiente de correlação é fortemente </w:t>
      </w:r>
      <w:r w:rsidR="000A3876">
        <w:rPr>
          <w:rFonts w:eastAsiaTheme="minorEastAsia"/>
        </w:rPr>
        <w:t>afetado</w:t>
      </w:r>
      <w:r>
        <w:rPr>
          <w:rFonts w:eastAsiaTheme="minorEastAsia"/>
        </w:rPr>
        <w:t xml:space="preserve"> pela presença de </w:t>
      </w:r>
      <w:proofErr w:type="spellStart"/>
      <w:r w:rsidRPr="00A370E4">
        <w:rPr>
          <w:rFonts w:eastAsiaTheme="minorEastAsia"/>
          <w:i/>
        </w:rPr>
        <w:t>outliers</w:t>
      </w:r>
      <w:proofErr w:type="spellEnd"/>
      <w:r>
        <w:rPr>
          <w:rFonts w:eastAsiaTheme="minorEastAsia"/>
        </w:rPr>
        <w:t>,</w:t>
      </w:r>
      <w:r w:rsidR="002954A8">
        <w:rPr>
          <w:rStyle w:val="Refdenotaderodap"/>
          <w:rFonts w:eastAsiaTheme="minorEastAsia"/>
        </w:rPr>
        <w:footnoteReference w:id="8"/>
      </w:r>
      <w:r>
        <w:rPr>
          <w:rFonts w:eastAsiaTheme="minorEastAsia"/>
        </w:rPr>
        <w:t xml:space="preserve"> </w:t>
      </w:r>
      <w:r w:rsidR="002954A8">
        <w:rPr>
          <w:rFonts w:eastAsiaTheme="minorEastAsia"/>
        </w:rPr>
        <w:t xml:space="preserve">torna-se necessário proceder a uma análise desses mesmos </w:t>
      </w:r>
      <w:proofErr w:type="spellStart"/>
      <w:r w:rsidR="002954A8" w:rsidRPr="002954A8">
        <w:rPr>
          <w:rFonts w:eastAsiaTheme="minorEastAsia"/>
          <w:i/>
        </w:rPr>
        <w:t>outliers</w:t>
      </w:r>
      <w:proofErr w:type="spellEnd"/>
      <w:r w:rsidR="002954A8">
        <w:rPr>
          <w:rFonts w:eastAsiaTheme="minorEastAsia"/>
        </w:rPr>
        <w:t xml:space="preserve"> (Filho &amp; </w:t>
      </w:r>
      <w:proofErr w:type="spellStart"/>
      <w:r w:rsidR="002954A8">
        <w:rPr>
          <w:rFonts w:eastAsiaTheme="minorEastAsia"/>
        </w:rPr>
        <w:t>Junior</w:t>
      </w:r>
      <w:proofErr w:type="spellEnd"/>
      <w:r w:rsidR="002954A8">
        <w:rPr>
          <w:rFonts w:eastAsiaTheme="minorEastAsia"/>
        </w:rPr>
        <w:t>, 2009, p.</w:t>
      </w:r>
      <w:r w:rsidR="00D247AA">
        <w:rPr>
          <w:rFonts w:eastAsiaTheme="minorEastAsia"/>
        </w:rPr>
        <w:t xml:space="preserve"> </w:t>
      </w:r>
      <w:r w:rsidR="002954A8">
        <w:rPr>
          <w:rFonts w:eastAsiaTheme="minorEastAsia"/>
        </w:rPr>
        <w:t>123).</w:t>
      </w:r>
    </w:p>
    <w:p w14:paraId="35D656BF" w14:textId="6FF52437" w:rsidR="00F9740E" w:rsidRPr="00F9740E" w:rsidRDefault="002954A8" w:rsidP="00151643">
      <w:pPr>
        <w:spacing w:line="360" w:lineRule="auto"/>
        <w:jc w:val="both"/>
        <w:rPr>
          <w:rFonts w:eastAsiaTheme="minorEastAsia"/>
        </w:rPr>
      </w:pPr>
      <w:r>
        <w:rPr>
          <w:rFonts w:eastAsiaTheme="minorEastAsia"/>
        </w:rPr>
        <w:t xml:space="preserve">A última condição enunciada por Filho e </w:t>
      </w:r>
      <w:proofErr w:type="spellStart"/>
      <w:r>
        <w:rPr>
          <w:rFonts w:eastAsiaTheme="minorEastAsia"/>
        </w:rPr>
        <w:t>Junior</w:t>
      </w:r>
      <w:proofErr w:type="spellEnd"/>
      <w:r>
        <w:rPr>
          <w:rFonts w:eastAsiaTheme="minorEastAsia"/>
        </w:rPr>
        <w:t xml:space="preserve"> (2009, p. 123) relaciona-se com a independência das observações, ou seja, o investigador corre o risco de analisar uma correlação adulterada se não tiver em consideração esta condição, no qual a ocorrência de observação de uma variável não pode estar a influenciar a ob</w:t>
      </w:r>
      <w:r w:rsidR="00F9740E">
        <w:rPr>
          <w:rFonts w:eastAsiaTheme="minorEastAsia"/>
        </w:rPr>
        <w:t>servação de uma outra variável.</w:t>
      </w:r>
    </w:p>
    <w:p w14:paraId="2DF49FB7" w14:textId="77777777" w:rsidR="00227832" w:rsidRDefault="006C5FBD" w:rsidP="00227832">
      <w:pPr>
        <w:spacing w:line="360" w:lineRule="auto"/>
        <w:jc w:val="both"/>
        <w:rPr>
          <w:rFonts w:eastAsiaTheme="minorEastAsia"/>
        </w:rPr>
      </w:pPr>
      <w:r>
        <w:t>Prévio à discussão dos resultados, importa verificar a correlação entre as variá</w:t>
      </w:r>
      <w:r w:rsidR="00930EAC">
        <w:t>veis independentes, uma vez que</w:t>
      </w:r>
      <w:r>
        <w:t xml:space="preserve">, como referido, uma das condições do método do coeficiente de correlação de </w:t>
      </w:r>
      <w:proofErr w:type="spellStart"/>
      <w:r w:rsidRPr="00C111E1">
        <w:rPr>
          <w:i/>
          <w:iCs/>
        </w:rPr>
        <w:t>Pearson</w:t>
      </w:r>
      <w:proofErr w:type="spellEnd"/>
      <w:r>
        <w:t xml:space="preserve"> é a independência das observações. Deste modo, apresenta-se a </w:t>
      </w:r>
      <w:r w:rsidR="004A4E1E">
        <w:t>T</w:t>
      </w:r>
      <w:r>
        <w:t xml:space="preserve">abela </w:t>
      </w:r>
      <w:r w:rsidRPr="00C808BF">
        <w:t>4.</w:t>
      </w:r>
      <w:r w:rsidR="009E6753">
        <w:t>15</w:t>
      </w:r>
      <w:r w:rsidR="00A41F0D">
        <w:t xml:space="preserve"> </w:t>
      </w:r>
      <w:r w:rsidR="00930EAC">
        <w:t>com a</w:t>
      </w:r>
      <w:r w:rsidR="006971B6">
        <w:t>s correlações e testes de significância ao nível 0,05 relativos</w:t>
      </w:r>
      <w:r w:rsidR="00930EAC">
        <w:t xml:space="preserve"> às variáveis independentes: </w:t>
      </w:r>
      <w:r w:rsidR="007051A5">
        <w:t xml:space="preserve">competição </w:t>
      </w:r>
      <w:r w:rsidR="00930EAC">
        <w:t>política (</w:t>
      </w:r>
      <w:r w:rsidR="007051A5">
        <w:t>C</w:t>
      </w:r>
      <w:r w:rsidR="00930EAC">
        <w:t xml:space="preserve">P); valor de endividamento (VEnd); </w:t>
      </w:r>
      <w:r w:rsidR="00FA4C62">
        <w:t xml:space="preserve">despesa efetiva </w:t>
      </w:r>
      <w:r w:rsidR="00FA4C62" w:rsidRPr="00506E82">
        <w:rPr>
          <w:i/>
          <w:iCs/>
        </w:rPr>
        <w:t>per capita</w:t>
      </w:r>
      <w:r w:rsidR="00930EAC">
        <w:t xml:space="preserve"> (</w:t>
      </w:r>
      <w:r w:rsidR="00617F06">
        <w:t>D</w:t>
      </w:r>
      <w:r w:rsidR="00FA4C62">
        <w:t>E</w:t>
      </w:r>
      <w:r w:rsidR="00930EAC">
        <w:t>); população residente (PR); população idosa (</w:t>
      </w:r>
      <w:proofErr w:type="spellStart"/>
      <w:r w:rsidR="0022728A">
        <w:t>Tx</w:t>
      </w:r>
      <w:r w:rsidR="00930EAC">
        <w:t>PI</w:t>
      </w:r>
      <w:proofErr w:type="spellEnd"/>
      <w:r w:rsidR="00930EAC">
        <w:t>); taxa de desemprego (</w:t>
      </w:r>
      <w:proofErr w:type="spellStart"/>
      <w:r w:rsidR="00930EAC">
        <w:t>TxD</w:t>
      </w:r>
      <w:proofErr w:type="spellEnd"/>
      <w:r w:rsidR="00930EAC">
        <w:t xml:space="preserve">); e, </w:t>
      </w:r>
      <w:r w:rsidR="00930EAC" w:rsidRPr="00227832">
        <w:rPr>
          <w:rFonts w:eastAsiaTheme="minorEastAsia"/>
        </w:rPr>
        <w:t>po</w:t>
      </w:r>
      <w:r w:rsidR="00DB4A68" w:rsidRPr="00227832">
        <w:rPr>
          <w:rFonts w:eastAsiaTheme="minorEastAsia"/>
        </w:rPr>
        <w:t>r</w:t>
      </w:r>
      <w:r w:rsidR="00930EAC" w:rsidRPr="00227832">
        <w:rPr>
          <w:rFonts w:eastAsiaTheme="minorEastAsia"/>
        </w:rPr>
        <w:t xml:space="preserve"> fim</w:t>
      </w:r>
      <w:r w:rsidR="006971B6" w:rsidRPr="00227832">
        <w:rPr>
          <w:rFonts w:eastAsiaTheme="minorEastAsia"/>
        </w:rPr>
        <w:t>, percentagem de abstenção (PA)</w:t>
      </w:r>
      <w:r w:rsidR="00A00CDC" w:rsidRPr="00227832">
        <w:rPr>
          <w:rFonts w:eastAsiaTheme="minorEastAsia"/>
        </w:rPr>
        <w:t xml:space="preserve"> e variável dependente - ITM</w:t>
      </w:r>
      <w:r w:rsidR="00F26FCC" w:rsidRPr="00227832">
        <w:rPr>
          <w:rFonts w:eastAsiaTheme="minorEastAsia"/>
        </w:rPr>
        <w:t>.</w:t>
      </w:r>
    </w:p>
    <w:p w14:paraId="52B343FF" w14:textId="43FF9926" w:rsidR="0025475A" w:rsidRPr="00227832" w:rsidRDefault="00227832" w:rsidP="00227832">
      <w:pPr>
        <w:spacing w:line="360" w:lineRule="auto"/>
        <w:jc w:val="both"/>
        <w:rPr>
          <w:rFonts w:eastAsiaTheme="minorEastAsia"/>
        </w:rPr>
      </w:pPr>
      <w:r>
        <w:rPr>
          <w:rFonts w:eastAsiaTheme="minorEastAsia"/>
        </w:rPr>
        <w:t xml:space="preserve">A variável ideologia do partido político (IPP) é do tipo binário e, como já referido, não pode ser utilizada na correlação de </w:t>
      </w:r>
      <w:proofErr w:type="spellStart"/>
      <w:r w:rsidRPr="00227832">
        <w:rPr>
          <w:rFonts w:eastAsiaTheme="minorEastAsia"/>
          <w:i/>
          <w:iCs/>
        </w:rPr>
        <w:t>Pearson</w:t>
      </w:r>
      <w:proofErr w:type="spellEnd"/>
      <w:r>
        <w:rPr>
          <w:rFonts w:eastAsiaTheme="minorEastAsia"/>
        </w:rPr>
        <w:t xml:space="preserve"> e, consequentemente, não será introduzida na análise via modelos de regressão linear múltipla com dados em painel.</w:t>
      </w:r>
      <w:r w:rsidR="008014CA">
        <w:fldChar w:fldCharType="begin"/>
      </w:r>
      <w:r w:rsidR="008014CA">
        <w:instrText xml:space="preserve"> LINK </w:instrText>
      </w:r>
      <w:r w:rsidR="00552F6C">
        <w:instrText xml:space="preserve">Excel.Sheet.12 C:\\Users\\Mariana\\Desktop\\Correlações.xlsx Total!L29C2:L53C19 </w:instrText>
      </w:r>
      <w:r w:rsidR="008014CA">
        <w:instrText xml:space="preserve">\a \f 4 \h </w:instrText>
      </w:r>
      <w:r w:rsidR="00C94126">
        <w:instrText xml:space="preserve"> \* MERGEFORMAT </w:instrText>
      </w:r>
      <w:r w:rsidR="008014CA">
        <w:fldChar w:fldCharType="separate"/>
      </w:r>
    </w:p>
    <w:p w14:paraId="7389738E" w14:textId="5AE57570" w:rsidR="00A441D5" w:rsidRDefault="00A441D5" w:rsidP="00A441D5">
      <w:pPr>
        <w:pStyle w:val="Legenda"/>
        <w:keepNext/>
        <w:spacing w:after="60"/>
        <w:jc w:val="center"/>
      </w:pPr>
      <w:bookmarkStart w:id="122" w:name="_Toc58853175"/>
      <w:bookmarkStart w:id="123" w:name="_Toc66624264"/>
      <w:r w:rsidRPr="00A441D5">
        <w:rPr>
          <w:bCs w:val="0"/>
          <w:color w:val="auto"/>
          <w:sz w:val="24"/>
        </w:rPr>
        <w:lastRenderedPageBreak/>
        <w:t xml:space="preserve">Tabela </w:t>
      </w:r>
      <w:r w:rsidR="00843BFC">
        <w:rPr>
          <w:bCs w:val="0"/>
          <w:color w:val="auto"/>
          <w:sz w:val="24"/>
        </w:rPr>
        <w:fldChar w:fldCharType="begin"/>
      </w:r>
      <w:r w:rsidR="00843BFC">
        <w:rPr>
          <w:bCs w:val="0"/>
          <w:color w:val="auto"/>
          <w:sz w:val="24"/>
        </w:rPr>
        <w:instrText xml:space="preserve"> STYLEREF 1 \s </w:instrText>
      </w:r>
      <w:r w:rsidR="00843BFC">
        <w:rPr>
          <w:bCs w:val="0"/>
          <w:color w:val="auto"/>
          <w:sz w:val="24"/>
        </w:rPr>
        <w:fldChar w:fldCharType="separate"/>
      </w:r>
      <w:r w:rsidR="00380A6F">
        <w:rPr>
          <w:bCs w:val="0"/>
          <w:noProof/>
          <w:color w:val="auto"/>
          <w:sz w:val="24"/>
        </w:rPr>
        <w:t>4</w:t>
      </w:r>
      <w:r w:rsidR="00843BFC">
        <w:rPr>
          <w:bCs w:val="0"/>
          <w:color w:val="auto"/>
          <w:sz w:val="24"/>
        </w:rPr>
        <w:fldChar w:fldCharType="end"/>
      </w:r>
      <w:r w:rsidR="00843BFC">
        <w:rPr>
          <w:bCs w:val="0"/>
          <w:color w:val="auto"/>
          <w:sz w:val="24"/>
        </w:rPr>
        <w:t>.</w:t>
      </w:r>
      <w:r w:rsidR="00843BFC">
        <w:rPr>
          <w:bCs w:val="0"/>
          <w:color w:val="auto"/>
          <w:sz w:val="24"/>
        </w:rPr>
        <w:fldChar w:fldCharType="begin"/>
      </w:r>
      <w:r w:rsidR="00843BFC">
        <w:rPr>
          <w:bCs w:val="0"/>
          <w:color w:val="auto"/>
          <w:sz w:val="24"/>
        </w:rPr>
        <w:instrText xml:space="preserve"> SEQ Tabela \* ARABIC \s 1 </w:instrText>
      </w:r>
      <w:r w:rsidR="00843BFC">
        <w:rPr>
          <w:bCs w:val="0"/>
          <w:color w:val="auto"/>
          <w:sz w:val="24"/>
        </w:rPr>
        <w:fldChar w:fldCharType="separate"/>
      </w:r>
      <w:r w:rsidR="00380A6F">
        <w:rPr>
          <w:bCs w:val="0"/>
          <w:noProof/>
          <w:color w:val="auto"/>
          <w:sz w:val="24"/>
        </w:rPr>
        <w:t>15</w:t>
      </w:r>
      <w:r w:rsidR="00843BFC">
        <w:rPr>
          <w:bCs w:val="0"/>
          <w:color w:val="auto"/>
          <w:sz w:val="24"/>
        </w:rPr>
        <w:fldChar w:fldCharType="end"/>
      </w:r>
      <w:r w:rsidRPr="00A441D5">
        <w:rPr>
          <w:bCs w:val="0"/>
          <w:color w:val="auto"/>
          <w:sz w:val="24"/>
        </w:rPr>
        <w:t xml:space="preserve"> - </w:t>
      </w:r>
      <w:r w:rsidRPr="00D4605F">
        <w:rPr>
          <w:b w:val="0"/>
          <w:color w:val="auto"/>
          <w:sz w:val="24"/>
        </w:rPr>
        <w:t xml:space="preserve">Coeficientes de </w:t>
      </w:r>
      <w:r w:rsidRPr="00C00290">
        <w:rPr>
          <w:b w:val="0"/>
          <w:color w:val="auto"/>
          <w:sz w:val="24"/>
        </w:rPr>
        <w:t xml:space="preserve">Correlações de </w:t>
      </w:r>
      <w:proofErr w:type="spellStart"/>
      <w:r w:rsidRPr="00C00290">
        <w:rPr>
          <w:b w:val="0"/>
          <w:i/>
          <w:color w:val="auto"/>
          <w:sz w:val="24"/>
        </w:rPr>
        <w:t>Pearson</w:t>
      </w:r>
      <w:bookmarkEnd w:id="123"/>
      <w:proofErr w:type="spellEnd"/>
      <w:r w:rsidRPr="00C00290">
        <w:rPr>
          <w:b w:val="0"/>
          <w:color w:val="auto"/>
          <w:sz w:val="24"/>
        </w:rPr>
        <w:t xml:space="preserve"> </w:t>
      </w:r>
      <w:bookmarkEnd w:id="122"/>
    </w:p>
    <w:p w14:paraId="406B2435" w14:textId="664E5F8C" w:rsidR="001500E1" w:rsidRDefault="0043154B" w:rsidP="00A32816">
      <w:pPr>
        <w:spacing w:after="0" w:line="240" w:lineRule="auto"/>
        <w:jc w:val="center"/>
      </w:pPr>
      <w:r>
        <w:pict w14:anchorId="33A7BF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56pt;height:342pt" o:ole="">
            <v:imagedata r:id="rId20" o:title=""/>
          </v:shape>
        </w:pict>
      </w:r>
    </w:p>
    <w:p w14:paraId="6B1D7C29" w14:textId="05D8DFB9" w:rsidR="00C94126" w:rsidRPr="00C94126" w:rsidRDefault="008014CA" w:rsidP="00A32816">
      <w:pPr>
        <w:spacing w:after="0" w:line="240" w:lineRule="auto"/>
        <w:ind w:firstLine="720"/>
        <w:rPr>
          <w:sz w:val="20"/>
        </w:rPr>
      </w:pPr>
      <w:r>
        <w:fldChar w:fldCharType="end"/>
      </w:r>
      <w:r w:rsidR="00C94126" w:rsidRPr="00C94126">
        <w:rPr>
          <w:sz w:val="20"/>
        </w:rPr>
        <w:t>**. A correlação é significativa no nível 0,01 (2 extremidades).</w:t>
      </w:r>
    </w:p>
    <w:p w14:paraId="5604EA77" w14:textId="570BAA4C" w:rsidR="00C94126" w:rsidRDefault="00C94126" w:rsidP="00A32816">
      <w:pPr>
        <w:tabs>
          <w:tab w:val="left" w:pos="7873"/>
        </w:tabs>
        <w:spacing w:after="0" w:line="240" w:lineRule="auto"/>
        <w:ind w:left="720"/>
        <w:rPr>
          <w:sz w:val="20"/>
        </w:rPr>
      </w:pPr>
      <w:r w:rsidRPr="00C94126">
        <w:rPr>
          <w:sz w:val="20"/>
        </w:rPr>
        <w:t>*. A correlação é significativa no nível 0,05 (2 extremidades).</w:t>
      </w:r>
      <w:r w:rsidR="00312D81">
        <w:rPr>
          <w:sz w:val="20"/>
        </w:rPr>
        <w:tab/>
      </w:r>
    </w:p>
    <w:p w14:paraId="653C4633" w14:textId="425000A4" w:rsidR="00735ADB" w:rsidRPr="00C94126" w:rsidRDefault="00735ADB" w:rsidP="00C94126">
      <w:pPr>
        <w:spacing w:line="240" w:lineRule="auto"/>
        <w:rPr>
          <w:sz w:val="20"/>
        </w:rPr>
      </w:pPr>
    </w:p>
    <w:p w14:paraId="545DFF53" w14:textId="2FC601B1" w:rsidR="00735ADB" w:rsidRDefault="00803EBB" w:rsidP="00735ADB">
      <w:pPr>
        <w:spacing w:line="360" w:lineRule="auto"/>
        <w:jc w:val="both"/>
      </w:pPr>
      <w:r>
        <w:t>Constata-se</w:t>
      </w:r>
      <w:r w:rsidR="005448C1">
        <w:t xml:space="preserve"> através dos valores registados para as correlações e respetivos testes de significância </w:t>
      </w:r>
      <w:r w:rsidR="00FF12DA">
        <w:t>que a</w:t>
      </w:r>
      <w:r w:rsidR="00D4024E">
        <w:t>s</w:t>
      </w:r>
      <w:r w:rsidR="00FF12DA">
        <w:t xml:space="preserve"> variáve</w:t>
      </w:r>
      <w:r w:rsidR="00D4024E">
        <w:t>is</w:t>
      </w:r>
      <w:r w:rsidR="00FF12DA">
        <w:t xml:space="preserve"> </w:t>
      </w:r>
      <w:r w:rsidR="00A00CDC">
        <w:t xml:space="preserve">tais como </w:t>
      </w:r>
      <w:r w:rsidR="007051A5">
        <w:t>v</w:t>
      </w:r>
      <w:r w:rsidR="00FF12DA">
        <w:t xml:space="preserve">alor do </w:t>
      </w:r>
      <w:r w:rsidR="007051A5">
        <w:t>e</w:t>
      </w:r>
      <w:r w:rsidR="00FF12DA">
        <w:t xml:space="preserve">ndividamento, VEnd, e </w:t>
      </w:r>
      <w:r w:rsidR="007051A5">
        <w:t>competição p</w:t>
      </w:r>
      <w:r w:rsidR="00FF12DA">
        <w:t xml:space="preserve">olítica, </w:t>
      </w:r>
      <w:r w:rsidR="007051A5">
        <w:t>C</w:t>
      </w:r>
      <w:r w:rsidR="00FF12DA">
        <w:t xml:space="preserve">P, </w:t>
      </w:r>
      <w:r w:rsidR="005448C1">
        <w:t>t</w:t>
      </w:r>
      <w:r w:rsidR="008E466A">
        <w:t>ê</w:t>
      </w:r>
      <w:r w:rsidR="005448C1">
        <w:t>m uma correlação</w:t>
      </w:r>
      <w:r w:rsidR="00FF12DA">
        <w:t xml:space="preserve"> estatisticamente significat</w:t>
      </w:r>
      <w:r w:rsidR="00D4024E">
        <w:t>iva</w:t>
      </w:r>
      <w:r w:rsidR="00FF12DA">
        <w:t xml:space="preserve"> ao nível 0,01 (</w:t>
      </w:r>
      <w:proofErr w:type="spellStart"/>
      <w:r w:rsidR="00FF12DA" w:rsidRPr="00FF12DA">
        <w:rPr>
          <w:i/>
        </w:rPr>
        <w:t>Sig</w:t>
      </w:r>
      <w:proofErr w:type="spellEnd"/>
      <w:r w:rsidR="00FF12DA">
        <w:t xml:space="preserve">. </w:t>
      </w:r>
      <w:r w:rsidR="00F1016C">
        <w:t xml:space="preserve">=0,01 </w:t>
      </w:r>
      <w:r w:rsidR="00D4024E">
        <w:t>&lt;</w:t>
      </w:r>
      <w:r w:rsidR="00FF12DA">
        <w:t xml:space="preserve"> 0</w:t>
      </w:r>
      <w:r w:rsidR="00D4024E">
        <w:t>,</w:t>
      </w:r>
      <w:r w:rsidR="00FF12DA">
        <w:t xml:space="preserve">001) </w:t>
      </w:r>
      <w:r w:rsidR="005448C1">
        <w:t>que</w:t>
      </w:r>
      <w:r w:rsidR="00FF12DA">
        <w:t xml:space="preserve"> segundo </w:t>
      </w:r>
      <w:proofErr w:type="spellStart"/>
      <w:r w:rsidR="00FF12DA">
        <w:t>Marôco</w:t>
      </w:r>
      <w:proofErr w:type="spellEnd"/>
      <w:r w:rsidR="00FF12DA">
        <w:t xml:space="preserve"> (2018) </w:t>
      </w:r>
      <w:r w:rsidR="005448C1">
        <w:t>é considerada fraca</w:t>
      </w:r>
      <w:r w:rsidR="00EC4742">
        <w:t>,</w:t>
      </w:r>
      <w:r w:rsidR="00FF12DA">
        <w:t xml:space="preserve"> 0,087. </w:t>
      </w:r>
    </w:p>
    <w:p w14:paraId="4A3FDB96" w14:textId="4D679974" w:rsidR="00F851D0" w:rsidRDefault="00735ADB" w:rsidP="00735ADB">
      <w:pPr>
        <w:spacing w:line="360" w:lineRule="auto"/>
        <w:jc w:val="both"/>
      </w:pPr>
      <w:r>
        <w:t>Relativamente à variável d</w:t>
      </w:r>
      <w:r w:rsidR="00114CE6">
        <w:t xml:space="preserve">a </w:t>
      </w:r>
      <w:r w:rsidR="000A23D0">
        <w:rPr>
          <w:rFonts w:eastAsiaTheme="minorEastAsia" w:cs="Times New Roman"/>
        </w:rPr>
        <w:t xml:space="preserve">despesa efetiva </w:t>
      </w:r>
      <w:r w:rsidR="000A23D0" w:rsidRPr="00506E82">
        <w:rPr>
          <w:rFonts w:eastAsiaTheme="minorEastAsia" w:cs="Times New Roman"/>
          <w:i/>
          <w:iCs/>
        </w:rPr>
        <w:t>per capita</w:t>
      </w:r>
      <w:r>
        <w:t xml:space="preserve">, </w:t>
      </w:r>
      <w:r w:rsidR="00617F06">
        <w:t>D</w:t>
      </w:r>
      <w:r w:rsidR="000A23D0">
        <w:t>E</w:t>
      </w:r>
      <w:r>
        <w:t>, e</w:t>
      </w:r>
      <w:r w:rsidR="005448C1">
        <w:t xml:space="preserve"> respetivas correlações entre</w:t>
      </w:r>
      <w:r w:rsidR="0022728A">
        <w:t xml:space="preserve"> a</w:t>
      </w:r>
      <w:r>
        <w:t xml:space="preserve"> </w:t>
      </w:r>
      <w:r w:rsidR="007051A5">
        <w:t>competição p</w:t>
      </w:r>
      <w:r>
        <w:t xml:space="preserve">olítica, </w:t>
      </w:r>
      <w:r w:rsidR="007051A5">
        <w:t>C</w:t>
      </w:r>
      <w:r>
        <w:t xml:space="preserve">P, e </w:t>
      </w:r>
      <w:r w:rsidR="007051A5">
        <w:t>v</w:t>
      </w:r>
      <w:r>
        <w:t xml:space="preserve">alor do </w:t>
      </w:r>
      <w:r w:rsidR="007051A5">
        <w:t>e</w:t>
      </w:r>
      <w:r>
        <w:t xml:space="preserve">ndividamento, VEnd, estas, </w:t>
      </w:r>
      <w:r w:rsidR="0022728A">
        <w:t xml:space="preserve">podem considerar-se </w:t>
      </w:r>
      <w:r>
        <w:t xml:space="preserve">também </w:t>
      </w:r>
      <w:r w:rsidR="0022728A">
        <w:t>como correlações fracas estatisticamente significativas,</w:t>
      </w:r>
      <w:r>
        <w:t xml:space="preserve"> 0,150 e </w:t>
      </w:r>
      <w:r w:rsidR="008E466A">
        <w:t>-</w:t>
      </w:r>
      <w:r>
        <w:t>0,118, respetivamente. Também estas variáveis são estatisticamente significativas (</w:t>
      </w:r>
      <w:proofErr w:type="spellStart"/>
      <w:r w:rsidRPr="00FF12DA">
        <w:rPr>
          <w:i/>
        </w:rPr>
        <w:t>Sig</w:t>
      </w:r>
      <w:proofErr w:type="spellEnd"/>
      <w:r>
        <w:t>. = 0</w:t>
      </w:r>
      <w:r w:rsidR="0022728A">
        <w:t>,</w:t>
      </w:r>
      <w:r>
        <w:t>00</w:t>
      </w:r>
      <w:r w:rsidR="0022728A">
        <w:t xml:space="preserve"> &lt; 0,01</w:t>
      </w:r>
      <w:r>
        <w:t>).</w:t>
      </w:r>
    </w:p>
    <w:p w14:paraId="5B8FFA38" w14:textId="22A7B71F" w:rsidR="00735ADB" w:rsidRDefault="00735ADB" w:rsidP="00735ADB">
      <w:pPr>
        <w:spacing w:line="360" w:lineRule="auto"/>
        <w:jc w:val="both"/>
      </w:pPr>
      <w:r>
        <w:t xml:space="preserve">Para a variável </w:t>
      </w:r>
      <w:r w:rsidR="007051A5">
        <w:t>p</w:t>
      </w:r>
      <w:r>
        <w:t xml:space="preserve">opulação </w:t>
      </w:r>
      <w:r w:rsidR="007051A5">
        <w:t>r</w:t>
      </w:r>
      <w:r>
        <w:t>esidente, PR,</w:t>
      </w:r>
      <w:r w:rsidR="008E466A">
        <w:t xml:space="preserve"> a correlação </w:t>
      </w:r>
      <w:r>
        <w:t xml:space="preserve">com a variável </w:t>
      </w:r>
      <w:r w:rsidR="007051A5">
        <w:t>competição p</w:t>
      </w:r>
      <w:r>
        <w:t xml:space="preserve">olítica, </w:t>
      </w:r>
      <w:r w:rsidR="007051A5">
        <w:t>C</w:t>
      </w:r>
      <w:r>
        <w:t xml:space="preserve">P, é </w:t>
      </w:r>
      <w:r w:rsidR="0022728A">
        <w:t xml:space="preserve">estatisticamente </w:t>
      </w:r>
      <w:r>
        <w:t>significativa</w:t>
      </w:r>
      <w:r w:rsidR="0022728A">
        <w:t xml:space="preserve"> sendo o nível de intensidade dessa correlação fraca</w:t>
      </w:r>
      <w:r w:rsidR="00EC4742">
        <w:t>,</w:t>
      </w:r>
      <w:r>
        <w:t xml:space="preserve"> </w:t>
      </w:r>
      <w:r w:rsidR="008E466A">
        <w:t>-</w:t>
      </w:r>
      <w:r>
        <w:t>0,151 (</w:t>
      </w:r>
      <w:proofErr w:type="spellStart"/>
      <w:r w:rsidRPr="00FF12DA">
        <w:rPr>
          <w:i/>
        </w:rPr>
        <w:t>Sig</w:t>
      </w:r>
      <w:proofErr w:type="spellEnd"/>
      <w:r>
        <w:t>. = 0</w:t>
      </w:r>
      <w:r w:rsidR="0022728A">
        <w:t>,</w:t>
      </w:r>
      <w:r>
        <w:t>00</w:t>
      </w:r>
      <w:r w:rsidR="0022728A">
        <w:t xml:space="preserve"> &lt; 0,01</w:t>
      </w:r>
      <w:r>
        <w:t>).</w:t>
      </w:r>
      <w:r w:rsidR="00EC4742">
        <w:t xml:space="preserve"> No caso</w:t>
      </w:r>
      <w:r w:rsidR="008E466A">
        <w:t xml:space="preserve"> da correlação com</w:t>
      </w:r>
      <w:r w:rsidR="00EC4742">
        <w:t xml:space="preserve"> a</w:t>
      </w:r>
      <w:r w:rsidR="008E466A">
        <w:t xml:space="preserve"> mesma</w:t>
      </w:r>
      <w:r w:rsidR="00EC4742">
        <w:t xml:space="preserve"> variável</w:t>
      </w:r>
      <w:r w:rsidR="008E466A">
        <w:t>, PR, e a variável</w:t>
      </w:r>
      <w:r w:rsidR="00EC4742">
        <w:t xml:space="preserve"> </w:t>
      </w:r>
      <w:r w:rsidR="000A23D0">
        <w:rPr>
          <w:rFonts w:eastAsiaTheme="minorEastAsia" w:cs="Times New Roman"/>
        </w:rPr>
        <w:t xml:space="preserve">despesa efetiva </w:t>
      </w:r>
      <w:r w:rsidR="000A23D0" w:rsidRPr="00506E82">
        <w:rPr>
          <w:rFonts w:eastAsiaTheme="minorEastAsia" w:cs="Times New Roman"/>
          <w:i/>
          <w:iCs/>
        </w:rPr>
        <w:t xml:space="preserve">per </w:t>
      </w:r>
      <w:r w:rsidR="000A23D0" w:rsidRPr="00506E82">
        <w:rPr>
          <w:rFonts w:eastAsiaTheme="minorEastAsia" w:cs="Times New Roman"/>
          <w:i/>
          <w:iCs/>
        </w:rPr>
        <w:lastRenderedPageBreak/>
        <w:t>capita</w:t>
      </w:r>
      <w:r w:rsidR="00EC4742">
        <w:t xml:space="preserve">, </w:t>
      </w:r>
      <w:r w:rsidR="00617F06">
        <w:t>D</w:t>
      </w:r>
      <w:r w:rsidR="000A23D0">
        <w:t>E</w:t>
      </w:r>
      <w:r w:rsidR="00EC4742">
        <w:t>,</w:t>
      </w:r>
      <w:r w:rsidR="00683C2A">
        <w:t xml:space="preserve"> </w:t>
      </w:r>
      <w:r w:rsidR="00EC4742">
        <w:t>estas são moderadamente correlacionadas, 0,300 e estatisticamente significativas ao nível 0,01 (</w:t>
      </w:r>
      <w:proofErr w:type="spellStart"/>
      <w:r w:rsidR="00EC4742" w:rsidRPr="00FF12DA">
        <w:rPr>
          <w:i/>
        </w:rPr>
        <w:t>Sig</w:t>
      </w:r>
      <w:proofErr w:type="spellEnd"/>
      <w:r w:rsidR="00EC4742">
        <w:t>. = 0</w:t>
      </w:r>
      <w:r w:rsidR="0022728A">
        <w:t>,</w:t>
      </w:r>
      <w:r w:rsidR="00EC4742">
        <w:t>00).</w:t>
      </w:r>
      <w:r>
        <w:t xml:space="preserve"> Por outro lado, a variável </w:t>
      </w:r>
      <w:r w:rsidR="007051A5">
        <w:t>p</w:t>
      </w:r>
      <w:r>
        <w:t xml:space="preserve">opulação </w:t>
      </w:r>
      <w:r w:rsidR="007051A5">
        <w:t>r</w:t>
      </w:r>
      <w:r>
        <w:t>esidente</w:t>
      </w:r>
      <w:r w:rsidR="00EC4742">
        <w:t>, PR,</w:t>
      </w:r>
      <w:r>
        <w:t xml:space="preserve"> e a</w:t>
      </w:r>
      <w:r w:rsidR="00EC4742">
        <w:t xml:space="preserve"> variável</w:t>
      </w:r>
      <w:r>
        <w:t xml:space="preserve"> </w:t>
      </w:r>
      <w:r w:rsidR="007051A5">
        <w:t>v</w:t>
      </w:r>
      <w:r w:rsidR="00EC4742">
        <w:t xml:space="preserve">alor do </w:t>
      </w:r>
      <w:r w:rsidR="007051A5">
        <w:t>e</w:t>
      </w:r>
      <w:r w:rsidR="00EC4742">
        <w:t>ndividamento</w:t>
      </w:r>
      <w:r>
        <w:t xml:space="preserve">, VEnd, </w:t>
      </w:r>
      <w:r w:rsidR="00EC4742">
        <w:t>são fortemente correlacionadas, 0,724 com um teste de significância ao nível 0,01 (</w:t>
      </w:r>
      <w:proofErr w:type="spellStart"/>
      <w:r w:rsidR="00EC4742" w:rsidRPr="00FF12DA">
        <w:rPr>
          <w:i/>
        </w:rPr>
        <w:t>Sig</w:t>
      </w:r>
      <w:proofErr w:type="spellEnd"/>
      <w:r w:rsidR="00EC4742">
        <w:t>. = 0</w:t>
      </w:r>
      <w:r w:rsidR="0022728A">
        <w:t>,</w:t>
      </w:r>
      <w:r w:rsidR="00EC4742">
        <w:t>00).</w:t>
      </w:r>
    </w:p>
    <w:p w14:paraId="2A511300" w14:textId="26EBC663" w:rsidR="00164386" w:rsidRDefault="00164386" w:rsidP="00735ADB">
      <w:pPr>
        <w:spacing w:line="360" w:lineRule="auto"/>
        <w:jc w:val="both"/>
      </w:pPr>
      <w:r>
        <w:t xml:space="preserve">Relativamente à </w:t>
      </w:r>
      <w:r w:rsidR="007051A5">
        <w:t>p</w:t>
      </w:r>
      <w:r>
        <w:t xml:space="preserve">opulação </w:t>
      </w:r>
      <w:r w:rsidR="007051A5">
        <w:t>i</w:t>
      </w:r>
      <w:r>
        <w:t xml:space="preserve">dosa, </w:t>
      </w:r>
      <w:proofErr w:type="spellStart"/>
      <w:r w:rsidR="001878EF">
        <w:t>Tx</w:t>
      </w:r>
      <w:r>
        <w:t>PI</w:t>
      </w:r>
      <w:proofErr w:type="spellEnd"/>
      <w:r>
        <w:t xml:space="preserve">, esta, </w:t>
      </w:r>
      <w:r w:rsidR="00683C2A">
        <w:t>para um teste de significância ao</w:t>
      </w:r>
      <w:r>
        <w:t xml:space="preserve"> nível de 0,01</w:t>
      </w:r>
      <w:r w:rsidR="00BE663F">
        <w:t xml:space="preserve"> (</w:t>
      </w:r>
      <w:proofErr w:type="spellStart"/>
      <w:r w:rsidR="00BE663F" w:rsidRPr="00FF12DA">
        <w:rPr>
          <w:i/>
        </w:rPr>
        <w:t>Sig</w:t>
      </w:r>
      <w:proofErr w:type="spellEnd"/>
      <w:r w:rsidR="00BE663F">
        <w:t>. = 0</w:t>
      </w:r>
      <w:r w:rsidR="0022728A">
        <w:t>,</w:t>
      </w:r>
      <w:r w:rsidR="00BE663F">
        <w:t>00)</w:t>
      </w:r>
      <w:r>
        <w:t xml:space="preserve">, apresenta uma </w:t>
      </w:r>
      <w:r w:rsidR="00683C2A">
        <w:t>correlação fraca estatisticamente significativa</w:t>
      </w:r>
      <w:r>
        <w:t xml:space="preserve"> com a variável </w:t>
      </w:r>
      <w:r w:rsidR="007051A5">
        <w:t>competição</w:t>
      </w:r>
      <w:r>
        <w:t xml:space="preserve"> </w:t>
      </w:r>
      <w:r w:rsidR="007051A5">
        <w:t>p</w:t>
      </w:r>
      <w:r>
        <w:t xml:space="preserve">olítica, </w:t>
      </w:r>
      <w:r w:rsidR="006B27AE">
        <w:t>CP</w:t>
      </w:r>
      <w:r>
        <w:t xml:space="preserve">, e </w:t>
      </w:r>
      <w:r w:rsidR="00683C2A">
        <w:t xml:space="preserve">com a variável </w:t>
      </w:r>
      <w:r w:rsidR="007051A5">
        <w:t>v</w:t>
      </w:r>
      <w:r>
        <w:t xml:space="preserve">alor do endividamento, VEnd, 0,160 e 0,132, respetivamente. </w:t>
      </w:r>
      <w:r w:rsidR="00683C2A">
        <w:t>Moderadamente</w:t>
      </w:r>
      <w:r w:rsidR="00BE663F">
        <w:t xml:space="preserve"> correlacionadas são as </w:t>
      </w:r>
      <w:proofErr w:type="gramStart"/>
      <w:r w:rsidR="00BE663F">
        <w:t xml:space="preserve">variáveis </w:t>
      </w:r>
      <w:r w:rsidR="007051A5">
        <w:t>p</w:t>
      </w:r>
      <w:r w:rsidR="00BE663F">
        <w:t>opulação</w:t>
      </w:r>
      <w:proofErr w:type="gramEnd"/>
      <w:r w:rsidR="00BE663F">
        <w:t xml:space="preserve"> </w:t>
      </w:r>
      <w:r w:rsidR="007051A5">
        <w:t>i</w:t>
      </w:r>
      <w:r w:rsidR="00BE663F">
        <w:t xml:space="preserve">dosa, </w:t>
      </w:r>
      <w:proofErr w:type="spellStart"/>
      <w:r w:rsidR="001878EF">
        <w:t>Tx</w:t>
      </w:r>
      <w:r w:rsidR="00BE663F">
        <w:t>PI</w:t>
      </w:r>
      <w:proofErr w:type="spellEnd"/>
      <w:r w:rsidR="00BE663F">
        <w:t xml:space="preserve">, e </w:t>
      </w:r>
      <w:r w:rsidR="000A23D0">
        <w:rPr>
          <w:rFonts w:eastAsiaTheme="minorEastAsia" w:cs="Times New Roman"/>
        </w:rPr>
        <w:t xml:space="preserve">despesa efetiva </w:t>
      </w:r>
      <w:r w:rsidR="000A23D0" w:rsidRPr="00506E82">
        <w:rPr>
          <w:rFonts w:eastAsiaTheme="minorEastAsia" w:cs="Times New Roman"/>
          <w:i/>
          <w:iCs/>
        </w:rPr>
        <w:t>per capita</w:t>
      </w:r>
      <w:r w:rsidR="00BE663F">
        <w:t xml:space="preserve">, </w:t>
      </w:r>
      <w:r w:rsidR="00617F06">
        <w:t>D</w:t>
      </w:r>
      <w:r w:rsidR="000A23D0">
        <w:t>E</w:t>
      </w:r>
      <w:r w:rsidR="00BE663F">
        <w:t xml:space="preserve">, em 0,441 e estatisticamente significativas </w:t>
      </w:r>
      <w:r w:rsidR="005B1B22">
        <w:t>(</w:t>
      </w:r>
      <w:proofErr w:type="spellStart"/>
      <w:r w:rsidR="005B1B22" w:rsidRPr="00FF12DA">
        <w:rPr>
          <w:i/>
        </w:rPr>
        <w:t>Sig</w:t>
      </w:r>
      <w:proofErr w:type="spellEnd"/>
      <w:r w:rsidR="005B1B22">
        <w:t>. = 0</w:t>
      </w:r>
      <w:r w:rsidR="0022728A">
        <w:t>,</w:t>
      </w:r>
      <w:r w:rsidR="005B1B22">
        <w:t>00</w:t>
      </w:r>
      <w:r w:rsidR="00683C2A">
        <w:t xml:space="preserve"> &lt; 0,01</w:t>
      </w:r>
      <w:r w:rsidR="005B1B22">
        <w:t>)</w:t>
      </w:r>
      <w:r w:rsidR="00BE663F">
        <w:t xml:space="preserve">. </w:t>
      </w:r>
      <w:r w:rsidR="005B1B22">
        <w:t xml:space="preserve">Ainda para a variável </w:t>
      </w:r>
      <w:r w:rsidR="0045149B">
        <w:t>p</w:t>
      </w:r>
      <w:r w:rsidR="005B1B22">
        <w:t xml:space="preserve">opulação </w:t>
      </w:r>
      <w:r w:rsidR="0045149B">
        <w:t>i</w:t>
      </w:r>
      <w:r w:rsidR="005B1B22">
        <w:t xml:space="preserve">dosa, </w:t>
      </w:r>
      <w:proofErr w:type="spellStart"/>
      <w:r w:rsidR="001878EF">
        <w:t>Tx</w:t>
      </w:r>
      <w:r w:rsidR="005B1B22">
        <w:t>PI</w:t>
      </w:r>
      <w:proofErr w:type="spellEnd"/>
      <w:r w:rsidR="005B1B22">
        <w:t xml:space="preserve">, e </w:t>
      </w:r>
      <w:r w:rsidR="00683C2A">
        <w:t>respetiva correlação a</w:t>
      </w:r>
      <w:r w:rsidR="005B1B22">
        <w:t xml:space="preserve"> variável </w:t>
      </w:r>
      <w:r w:rsidR="0045149B">
        <w:t>p</w:t>
      </w:r>
      <w:r w:rsidR="005B1B22">
        <w:t xml:space="preserve">opulação </w:t>
      </w:r>
      <w:r w:rsidR="0045149B">
        <w:t>r</w:t>
      </w:r>
      <w:r w:rsidR="005B1B22">
        <w:t xml:space="preserve">esidente, PR, </w:t>
      </w:r>
      <w:r w:rsidR="00683C2A">
        <w:t>têm uma correlação moderada estiticamente significativa</w:t>
      </w:r>
      <w:r w:rsidR="005B1B22">
        <w:t>, 0,316</w:t>
      </w:r>
      <w:r w:rsidR="00683C2A">
        <w:t xml:space="preserve">, </w:t>
      </w:r>
      <w:r w:rsidR="005B1B22">
        <w:t>com um teste de significância ao nível 0,01 (</w:t>
      </w:r>
      <w:proofErr w:type="spellStart"/>
      <w:r w:rsidR="005B1B22" w:rsidRPr="00FF12DA">
        <w:rPr>
          <w:i/>
        </w:rPr>
        <w:t>Sig</w:t>
      </w:r>
      <w:proofErr w:type="spellEnd"/>
      <w:r w:rsidR="005B1B22">
        <w:t>. = 0</w:t>
      </w:r>
      <w:r w:rsidR="0022728A">
        <w:t>,</w:t>
      </w:r>
      <w:r w:rsidR="005B1B22">
        <w:t>00).</w:t>
      </w:r>
    </w:p>
    <w:p w14:paraId="0771EB0B" w14:textId="60375362" w:rsidR="005B1B22" w:rsidRDefault="005B1B22" w:rsidP="00735ADB">
      <w:pPr>
        <w:spacing w:line="360" w:lineRule="auto"/>
        <w:jc w:val="both"/>
      </w:pPr>
      <w:r>
        <w:t xml:space="preserve">Para a variável </w:t>
      </w:r>
      <w:r w:rsidR="0045149B">
        <w:t>t</w:t>
      </w:r>
      <w:r>
        <w:t xml:space="preserve">axa de </w:t>
      </w:r>
      <w:r w:rsidR="0045149B">
        <w:t>d</w:t>
      </w:r>
      <w:r>
        <w:t xml:space="preserve">esemprego, </w:t>
      </w:r>
      <w:proofErr w:type="spellStart"/>
      <w:r>
        <w:t>TxD</w:t>
      </w:r>
      <w:proofErr w:type="spellEnd"/>
      <w:r>
        <w:t xml:space="preserve">, </w:t>
      </w:r>
      <w:r w:rsidR="00B4646C">
        <w:t>pode-se</w:t>
      </w:r>
      <w:r>
        <w:t xml:space="preserve"> observar que</w:t>
      </w:r>
      <w:r w:rsidR="00683C2A">
        <w:t xml:space="preserve"> as correlações com a variável população residente, PR,</w:t>
      </w:r>
      <w:r>
        <w:t xml:space="preserve"> e com a variável </w:t>
      </w:r>
      <w:r w:rsidR="0045149B">
        <w:t>v</w:t>
      </w:r>
      <w:r>
        <w:t xml:space="preserve">alor do </w:t>
      </w:r>
      <w:r w:rsidR="0045149B">
        <w:t>e</w:t>
      </w:r>
      <w:r>
        <w:t>ndividamento, VEnd,</w:t>
      </w:r>
      <w:r w:rsidR="00683C2A">
        <w:t xml:space="preserve"> são fortes</w:t>
      </w:r>
      <w:r>
        <w:t xml:space="preserve"> </w:t>
      </w:r>
      <w:r w:rsidR="00683C2A">
        <w:t>e estatisticamente significativas para testes de significância ao nível 0,01 (</w:t>
      </w:r>
      <w:proofErr w:type="spellStart"/>
      <w:r w:rsidR="00683C2A" w:rsidRPr="00FF12DA">
        <w:rPr>
          <w:i/>
        </w:rPr>
        <w:t>Sig</w:t>
      </w:r>
      <w:proofErr w:type="spellEnd"/>
      <w:r w:rsidR="00683C2A">
        <w:t xml:space="preserve">. = 0,00), </w:t>
      </w:r>
      <w:r>
        <w:t xml:space="preserve">0,937 e 0,710, </w:t>
      </w:r>
      <w:r w:rsidR="00B74F48">
        <w:t xml:space="preserve">respetivamente. </w:t>
      </w:r>
      <w:r w:rsidR="00C526AF">
        <w:t xml:space="preserve">Por outro lado, esta mesma variável com as </w:t>
      </w:r>
      <w:proofErr w:type="gramStart"/>
      <w:r w:rsidR="00C526AF">
        <w:t xml:space="preserve">variáveis </w:t>
      </w:r>
      <w:r w:rsidR="000A23D0">
        <w:rPr>
          <w:rFonts w:eastAsiaTheme="minorEastAsia" w:cs="Times New Roman"/>
        </w:rPr>
        <w:t>despesa</w:t>
      </w:r>
      <w:proofErr w:type="gramEnd"/>
      <w:r w:rsidR="000A23D0">
        <w:rPr>
          <w:rFonts w:eastAsiaTheme="minorEastAsia" w:cs="Times New Roman"/>
        </w:rPr>
        <w:t xml:space="preserve"> efetiva </w:t>
      </w:r>
      <w:r w:rsidR="000A23D0" w:rsidRPr="00506E82">
        <w:rPr>
          <w:rFonts w:eastAsiaTheme="minorEastAsia" w:cs="Times New Roman"/>
          <w:i/>
          <w:iCs/>
        </w:rPr>
        <w:t>per capita</w:t>
      </w:r>
      <w:r w:rsidR="00236942">
        <w:t xml:space="preserve">, </w:t>
      </w:r>
      <w:r w:rsidR="00617F06">
        <w:t>D</w:t>
      </w:r>
      <w:r w:rsidR="000A23D0">
        <w:t>E</w:t>
      </w:r>
      <w:r w:rsidR="00236942">
        <w:t xml:space="preserve">, e </w:t>
      </w:r>
      <w:r w:rsidR="0045149B">
        <w:t>p</w:t>
      </w:r>
      <w:r w:rsidR="00236942">
        <w:t xml:space="preserve">opulação </w:t>
      </w:r>
      <w:r w:rsidR="0045149B">
        <w:t>i</w:t>
      </w:r>
      <w:r w:rsidR="00236942">
        <w:t xml:space="preserve">dosa, </w:t>
      </w:r>
      <w:proofErr w:type="spellStart"/>
      <w:r w:rsidR="001878EF">
        <w:t>Tx</w:t>
      </w:r>
      <w:r w:rsidR="00236942">
        <w:t>PI</w:t>
      </w:r>
      <w:proofErr w:type="spellEnd"/>
      <w:r w:rsidR="00236942">
        <w:t>, apresenta uma correlação moderada</w:t>
      </w:r>
      <w:r w:rsidR="00F13A3B">
        <w:t xml:space="preserve"> estatisticamente significativa (</w:t>
      </w:r>
      <w:proofErr w:type="spellStart"/>
      <w:r w:rsidR="00F13A3B" w:rsidRPr="00FF12DA">
        <w:rPr>
          <w:i/>
        </w:rPr>
        <w:t>Sig</w:t>
      </w:r>
      <w:proofErr w:type="spellEnd"/>
      <w:r w:rsidR="00F13A3B">
        <w:t>. = 0,00 &lt; 0,01)</w:t>
      </w:r>
      <w:r w:rsidR="00236942">
        <w:t xml:space="preserve"> de 0,261 e 0,274, respetivamente. Por fim, a </w:t>
      </w:r>
      <w:r w:rsidR="00236942" w:rsidRPr="00A41F0D">
        <w:t xml:space="preserve">variável </w:t>
      </w:r>
      <w:r w:rsidR="00F13A3B">
        <w:t xml:space="preserve">Competição Política, </w:t>
      </w:r>
      <w:r w:rsidR="006B27AE">
        <w:t>CP</w:t>
      </w:r>
      <w:r w:rsidR="00236942">
        <w:t xml:space="preserve">, com a variável </w:t>
      </w:r>
      <w:r w:rsidR="0045149B">
        <w:t>t</w:t>
      </w:r>
      <w:r w:rsidR="00236942">
        <w:t xml:space="preserve">axa de desemprego, </w:t>
      </w:r>
      <w:proofErr w:type="spellStart"/>
      <w:r w:rsidR="00236942">
        <w:t>TxD</w:t>
      </w:r>
      <w:proofErr w:type="spellEnd"/>
      <w:r w:rsidR="00236942">
        <w:t xml:space="preserve">, </w:t>
      </w:r>
      <w:r w:rsidR="00F13A3B">
        <w:t xml:space="preserve">têm uma correlação fraca, 0,132, </w:t>
      </w:r>
      <w:proofErr w:type="spellStart"/>
      <w:r w:rsidR="00C111E1">
        <w:t>estisticamente</w:t>
      </w:r>
      <w:proofErr w:type="spellEnd"/>
      <w:r w:rsidR="00F13A3B">
        <w:t xml:space="preserve"> significativas para um teste de significância ao nível de 0,01 (</w:t>
      </w:r>
      <w:proofErr w:type="spellStart"/>
      <w:r w:rsidR="00F13A3B" w:rsidRPr="00FF12DA">
        <w:rPr>
          <w:i/>
        </w:rPr>
        <w:t>Sig</w:t>
      </w:r>
      <w:proofErr w:type="spellEnd"/>
      <w:r w:rsidR="00F13A3B">
        <w:t>. = 0,00).</w:t>
      </w:r>
    </w:p>
    <w:p w14:paraId="4DD62DB6" w14:textId="57EC5A03" w:rsidR="00236942" w:rsidRDefault="00236942" w:rsidP="00735ADB">
      <w:pPr>
        <w:spacing w:line="360" w:lineRule="auto"/>
        <w:jc w:val="both"/>
      </w:pPr>
      <w:r>
        <w:t xml:space="preserve">Por fim, relativamente à variável </w:t>
      </w:r>
      <w:r w:rsidR="0045149B">
        <w:t>p</w:t>
      </w:r>
      <w:r>
        <w:t xml:space="preserve">ercentagem de </w:t>
      </w:r>
      <w:r w:rsidR="0045149B">
        <w:t>a</w:t>
      </w:r>
      <w:r>
        <w:t xml:space="preserve">bstenção, apenas, apresenta uma fraca correlação com a variável </w:t>
      </w:r>
      <w:r w:rsidR="0045149B">
        <w:t>competição p</w:t>
      </w:r>
      <w:r>
        <w:t xml:space="preserve">olítica, </w:t>
      </w:r>
      <w:r w:rsidR="0045149B">
        <w:t>C</w:t>
      </w:r>
      <w:r>
        <w:t>P, 0,101 e estatisticamente significativa ao nível 0,01 (</w:t>
      </w:r>
      <w:proofErr w:type="spellStart"/>
      <w:r w:rsidRPr="00FF12DA">
        <w:rPr>
          <w:i/>
        </w:rPr>
        <w:t>Sig</w:t>
      </w:r>
      <w:proofErr w:type="spellEnd"/>
      <w:r>
        <w:t>. = 0</w:t>
      </w:r>
      <w:r w:rsidR="0022728A">
        <w:t>,</w:t>
      </w:r>
      <w:r>
        <w:t xml:space="preserve">00). </w:t>
      </w:r>
      <w:r w:rsidR="00B07D27">
        <w:t xml:space="preserve">Com as restantes variáveis: </w:t>
      </w:r>
      <w:r w:rsidR="0045149B">
        <w:t>v</w:t>
      </w:r>
      <w:r w:rsidR="00B07D27">
        <w:t xml:space="preserve">alor de </w:t>
      </w:r>
      <w:r w:rsidR="0045149B">
        <w:t>e</w:t>
      </w:r>
      <w:r w:rsidR="00B07D27">
        <w:t xml:space="preserve">ndividamento, VEnd; </w:t>
      </w:r>
      <w:r w:rsidR="000A23D0">
        <w:rPr>
          <w:rFonts w:eastAsiaTheme="minorEastAsia" w:cs="Times New Roman"/>
        </w:rPr>
        <w:t xml:space="preserve">despesa efetiva </w:t>
      </w:r>
      <w:r w:rsidR="000A23D0" w:rsidRPr="00506E82">
        <w:rPr>
          <w:rFonts w:eastAsiaTheme="minorEastAsia" w:cs="Times New Roman"/>
          <w:i/>
          <w:iCs/>
        </w:rPr>
        <w:t>per capita</w:t>
      </w:r>
      <w:r w:rsidR="00B07D27">
        <w:t xml:space="preserve">, </w:t>
      </w:r>
      <w:r w:rsidR="00617F06">
        <w:t>D</w:t>
      </w:r>
      <w:r w:rsidR="000A23D0">
        <w:t>E</w:t>
      </w:r>
      <w:r w:rsidR="00B07D27">
        <w:t xml:space="preserve">; </w:t>
      </w:r>
      <w:r w:rsidR="0045149B">
        <w:t>p</w:t>
      </w:r>
      <w:r w:rsidR="00B07D27">
        <w:t xml:space="preserve">opulação </w:t>
      </w:r>
      <w:r w:rsidR="0045149B">
        <w:t>r</w:t>
      </w:r>
      <w:r w:rsidR="00B07D27">
        <w:t xml:space="preserve">esidentes, PR; </w:t>
      </w:r>
      <w:r w:rsidR="0045149B">
        <w:t>p</w:t>
      </w:r>
      <w:r w:rsidR="00B07D27">
        <w:t xml:space="preserve">opulação </w:t>
      </w:r>
      <w:r w:rsidR="0045149B">
        <w:t>i</w:t>
      </w:r>
      <w:r w:rsidR="00B07D27">
        <w:t xml:space="preserve">dosa, </w:t>
      </w:r>
      <w:proofErr w:type="spellStart"/>
      <w:r w:rsidR="001878EF">
        <w:t>Tx</w:t>
      </w:r>
      <w:r w:rsidR="00B07D27">
        <w:t>PI</w:t>
      </w:r>
      <w:proofErr w:type="spellEnd"/>
      <w:r w:rsidR="00B07D27">
        <w:t xml:space="preserve">; e, </w:t>
      </w:r>
      <w:r w:rsidR="0045149B">
        <w:t>t</w:t>
      </w:r>
      <w:r w:rsidR="00B07D27">
        <w:t xml:space="preserve">axa de </w:t>
      </w:r>
      <w:r w:rsidR="0045149B">
        <w:t>d</w:t>
      </w:r>
      <w:r w:rsidR="00B07D27">
        <w:t xml:space="preserve">esemprego, </w:t>
      </w:r>
      <w:proofErr w:type="spellStart"/>
      <w:r w:rsidR="00B07D27">
        <w:t>TxD</w:t>
      </w:r>
      <w:proofErr w:type="spellEnd"/>
      <w:r w:rsidR="00B07D27">
        <w:t xml:space="preserve">; a variável </w:t>
      </w:r>
      <w:r w:rsidR="0045149B">
        <w:t>p</w:t>
      </w:r>
      <w:r w:rsidR="00B07D27">
        <w:t>erce</w:t>
      </w:r>
      <w:r w:rsidR="0045149B">
        <w:t>n</w:t>
      </w:r>
      <w:r w:rsidR="00B07D27">
        <w:t xml:space="preserve">tagem de </w:t>
      </w:r>
      <w:r w:rsidR="00F13A3B">
        <w:t>abstenção</w:t>
      </w:r>
      <w:r w:rsidR="00B07D27">
        <w:t xml:space="preserve"> apresenta uma correlação moderada </w:t>
      </w:r>
      <w:r w:rsidR="00F13A3B">
        <w:t>estiticamente significativa (</w:t>
      </w:r>
      <w:proofErr w:type="spellStart"/>
      <w:r w:rsidR="00F13A3B" w:rsidRPr="00FF12DA">
        <w:rPr>
          <w:i/>
        </w:rPr>
        <w:t>Sig</w:t>
      </w:r>
      <w:proofErr w:type="spellEnd"/>
      <w:r w:rsidR="00F13A3B">
        <w:t xml:space="preserve">. = 0,00 &lt; 0,01).  </w:t>
      </w:r>
      <w:r w:rsidR="00B07D27">
        <w:t xml:space="preserve">de 0,273, 0,444, 0,456, 0,385 e 0,375, respetivamente. </w:t>
      </w:r>
    </w:p>
    <w:p w14:paraId="3C9746DF" w14:textId="204A3E60" w:rsidR="002D6544" w:rsidRDefault="002D6544" w:rsidP="00735ADB">
      <w:pPr>
        <w:spacing w:line="360" w:lineRule="auto"/>
        <w:jc w:val="both"/>
      </w:pPr>
      <w:r>
        <w:t xml:space="preserve">As variáveis VEnd, PR e </w:t>
      </w:r>
      <w:proofErr w:type="spellStart"/>
      <w:r>
        <w:t>TxD</w:t>
      </w:r>
      <w:proofErr w:type="spellEnd"/>
      <w:r>
        <w:t xml:space="preserve"> estão fortemente correlacionadas </w:t>
      </w:r>
      <w:r w:rsidR="00A00CDC">
        <w:t xml:space="preserve">e </w:t>
      </w:r>
      <w:r>
        <w:t>não podem</w:t>
      </w:r>
      <w:r w:rsidR="00F1016C">
        <w:t>, por isso,</w:t>
      </w:r>
      <w:r>
        <w:t xml:space="preserve"> ser incluídas no Modelo de Regressão Linear</w:t>
      </w:r>
      <w:r w:rsidR="00F1016C">
        <w:t xml:space="preserve"> conjuntamente.</w:t>
      </w:r>
    </w:p>
    <w:p w14:paraId="0BA8A257" w14:textId="5B47B6E0" w:rsidR="00093FBC" w:rsidRDefault="00CF1D64" w:rsidP="00735ADB">
      <w:pPr>
        <w:spacing w:line="360" w:lineRule="auto"/>
        <w:jc w:val="both"/>
      </w:pPr>
      <w:r>
        <w:rPr>
          <w:noProof/>
          <w:lang w:eastAsia="pt-PT"/>
        </w:rPr>
        <w:lastRenderedPageBreak/>
        <mc:AlternateContent>
          <mc:Choice Requires="wps">
            <w:drawing>
              <wp:anchor distT="0" distB="0" distL="114300" distR="114300" simplePos="0" relativeHeight="251658241" behindDoc="0" locked="0" layoutInCell="1" allowOverlap="1" wp14:anchorId="083BFDEF" wp14:editId="323E9C8E">
                <wp:simplePos x="0" y="0"/>
                <wp:positionH relativeFrom="column">
                  <wp:posOffset>5495925</wp:posOffset>
                </wp:positionH>
                <wp:positionV relativeFrom="paragraph">
                  <wp:posOffset>609600</wp:posOffset>
                </wp:positionV>
                <wp:extent cx="552450" cy="276225"/>
                <wp:effectExtent l="0" t="0" r="0" b="9525"/>
                <wp:wrapNone/>
                <wp:docPr id="11"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276225"/>
                        </a:xfrm>
                        <a:prstGeom prst="rect">
                          <a:avLst/>
                        </a:prstGeom>
                        <a:solidFill>
                          <a:srgbClr val="FFFFFF"/>
                        </a:solidFill>
                        <a:ln w="9525">
                          <a:noFill/>
                          <a:miter lim="800000"/>
                          <a:headEnd/>
                          <a:tailEnd/>
                        </a:ln>
                      </wps:spPr>
                      <wps:txbx>
                        <w:txbxContent>
                          <w:p w14:paraId="4AE1DA88" w14:textId="10C89631" w:rsidR="00E054BB" w:rsidRDefault="00E054BB">
                            <w:r>
                              <w:t>(4.2)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83BFDEF" id="_x0000_s1027" type="#_x0000_t202" style="position:absolute;left:0;text-align:left;margin-left:432.75pt;margin-top:48pt;width:43.5pt;height:21.7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iYDJAIAACgEAAAOAAAAZHJzL2Uyb0RvYy54bWysU81u2zAMvg/YOwi6L06MuD9GnKJLl2FA&#10;1w1o9wC0JMfCZNGTlNjd04+S0zTbbsN0EEiR/Eh+pFY3Y2fYQTmv0VZ8MZtzpqxAqe2u4t+etu+u&#10;OPMBrASDVlX8WXl+s377ZjX0pcqxRSOVYwRifTn0FW9D6Mss86JVHfgZ9sqSsUHXQSDV7TLpYCD0&#10;zmT5fH6RDehk71Ao7+n1bjLydcJvGiXCl6bxKjBTcaotpNulu453tl5BuXPQt1ocy4B/qKIDbSnp&#10;CeoOArC9039BdVo49NiEmcAuw6bRQqUeqJvF/I9uHlvoVeqFyPH9iSb//2DFw+GrY1rS7BacWeho&#10;RhvQIzCp2JMaA7I8kjT0viTfx568w/geRwpIDfv+HsV3zyxuWrA7descDq0CSUUuYmR2Fjrh+AhS&#10;D59RUjLYB0xAY+O6yCBxwgidhvV8GhDVwQQ9FkW+LMgiyJRfXuR5kTJA+RLcOx8+KuxYFCruaP4J&#10;HA73PsRioHxxibk8Gi232pikuF29MY4dgHZlm84R/Tc3Y9lQ8euCcscoizE+rVGnA+2y0V3Fr+bx&#10;xHAoIxkfrExyAG0mmSox9shOJGSiJoz1OE0jxkbmapTPRJfDaXXpq5HQovvJ2UBrW3H/Yw9OcWY+&#10;WaL8erFcxj1PyrK4zElx55b63AJWEFTFA2eTuAnpb0yN3dJoGp1oe63kWDKtY2Lz+HXivp/ryev1&#10;g69/AQAA//8DAFBLAwQUAAYACAAAACEAKF9tD94AAAAKAQAADwAAAGRycy9kb3ducmV2LnhtbEyP&#10;wU7DMAyG70i8Q2QkLoilDNKtXdMJkEBcN/YAaeO11RqnarK1e3vMCY62P/3+/mI7u15ccAydJw1P&#10;iwQEUu1tR42Gw/fH4xpEiIas6T2hhisG2Ja3N4XJrZ9oh5d9bASHUMiNhjbGIZcy1C06ExZ+QOLb&#10;0Y/ORB7HRtrRTBzuerlMklQ60xF/aM2A7y3Wp/3ZaTh+TQ8qm6rPeFjtXtI3060qf9X6/m5+3YCI&#10;OMc/GH71WR1Kdqr8mWwQvYZ1qhSjGrKUOzGQqSUvKiafMwWyLOT/CuUPAAAA//8DAFBLAQItABQA&#10;BgAIAAAAIQC2gziS/gAAAOEBAAATAAAAAAAAAAAAAAAAAAAAAABbQ29udGVudF9UeXBlc10ueG1s&#10;UEsBAi0AFAAGAAgAAAAhADj9If/WAAAAlAEAAAsAAAAAAAAAAAAAAAAALwEAAF9yZWxzLy5yZWxz&#10;UEsBAi0AFAAGAAgAAAAhAIyqJgMkAgAAKAQAAA4AAAAAAAAAAAAAAAAALgIAAGRycy9lMm9Eb2Mu&#10;eG1sUEsBAi0AFAAGAAgAAAAhAChfbQ/eAAAACgEAAA8AAAAAAAAAAAAAAAAAfgQAAGRycy9kb3du&#10;cmV2LnhtbFBLBQYAAAAABAAEAPMAAACJBQAAAAA=&#10;" stroked="f">
                <v:textbox>
                  <w:txbxContent>
                    <w:p w14:paraId="4AE1DA88" w14:textId="10C89631" w:rsidR="00E054BB" w:rsidRDefault="00E054BB">
                      <w:r>
                        <w:t>(4.2)</w:t>
                      </w:r>
                    </w:p>
                  </w:txbxContent>
                </v:textbox>
              </v:shape>
            </w:pict>
          </mc:Fallback>
        </mc:AlternateContent>
      </w:r>
      <w:r w:rsidR="00093FBC">
        <w:t>Consequentemente, formaliza</w:t>
      </w:r>
      <w:r w:rsidR="00A00CDC">
        <w:t>m</w:t>
      </w:r>
      <w:r w:rsidR="00093FBC">
        <w:t xml:space="preserve">-se quatro modelos de </w:t>
      </w:r>
      <w:r w:rsidR="00C90AC5">
        <w:t>r</w:t>
      </w:r>
      <w:r w:rsidR="00093FBC">
        <w:t xml:space="preserve">egressão </w:t>
      </w:r>
      <w:r w:rsidR="00C90AC5">
        <w:t>l</w:t>
      </w:r>
      <w:r w:rsidR="00093FBC">
        <w:t xml:space="preserve">inear </w:t>
      </w:r>
      <w:r w:rsidR="00C90AC5">
        <w:t>m</w:t>
      </w:r>
      <w:r w:rsidR="00093FBC">
        <w:t xml:space="preserve">últipla com </w:t>
      </w:r>
      <w:r w:rsidR="00C90AC5">
        <w:t>d</w:t>
      </w:r>
      <w:r w:rsidR="00093FBC">
        <w:t xml:space="preserve">ados em </w:t>
      </w:r>
      <w:r w:rsidR="00C90AC5">
        <w:t>p</w:t>
      </w:r>
      <w:r w:rsidR="00093FBC">
        <w:t>ainel apresentados através das equações, 4.2, 4.3, 4.4, 4.5, que se irão estimar:</w:t>
      </w:r>
    </w:p>
    <w:p w14:paraId="1D302747" w14:textId="3AD3386B" w:rsidR="00093FBC" w:rsidRPr="00790AE6" w:rsidRDefault="00CF1D64" w:rsidP="00790AE6">
      <w:pPr>
        <w:spacing w:line="360" w:lineRule="auto"/>
        <w:jc w:val="center"/>
        <w:rPr>
          <w:rFonts w:eastAsiaTheme="minorEastAsia"/>
        </w:rPr>
      </w:pPr>
      <w:r>
        <w:rPr>
          <w:noProof/>
          <w:lang w:eastAsia="pt-PT"/>
        </w:rPr>
        <mc:AlternateContent>
          <mc:Choice Requires="wps">
            <w:drawing>
              <wp:anchor distT="0" distB="0" distL="114300" distR="114300" simplePos="0" relativeHeight="251658242" behindDoc="0" locked="0" layoutInCell="1" allowOverlap="1" wp14:anchorId="7BB3D85B" wp14:editId="2708C1BD">
                <wp:simplePos x="0" y="0"/>
                <wp:positionH relativeFrom="column">
                  <wp:posOffset>5495925</wp:posOffset>
                </wp:positionH>
                <wp:positionV relativeFrom="paragraph">
                  <wp:posOffset>353695</wp:posOffset>
                </wp:positionV>
                <wp:extent cx="552450" cy="276225"/>
                <wp:effectExtent l="0" t="0" r="0" b="9525"/>
                <wp:wrapNone/>
                <wp:docPr id="12"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276225"/>
                        </a:xfrm>
                        <a:prstGeom prst="rect">
                          <a:avLst/>
                        </a:prstGeom>
                        <a:solidFill>
                          <a:srgbClr val="FFFFFF"/>
                        </a:solidFill>
                        <a:ln w="9525">
                          <a:noFill/>
                          <a:miter lim="800000"/>
                          <a:headEnd/>
                          <a:tailEnd/>
                        </a:ln>
                      </wps:spPr>
                      <wps:txbx>
                        <w:txbxContent>
                          <w:p w14:paraId="71D4D162" w14:textId="41C65C75" w:rsidR="00E054BB" w:rsidRDefault="00E054BB" w:rsidP="00CF1D64">
                            <w:r>
                              <w:t>(4.3)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B3D85B" id="_x0000_s1028" type="#_x0000_t202" style="position:absolute;left:0;text-align:left;margin-left:432.75pt;margin-top:27.85pt;width:43.5pt;height:21.7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3YuJAIAACgEAAAOAAAAZHJzL2Uyb0RvYy54bWysU9tu2zAMfR+wfxD0vjgx4l6MOEWXLsOA&#10;7gK0+wBakmNhsuhJSuzs60fJaZZtb8P0IJAieUgeUqu7sTPsoJzXaCu+mM05U1ag1HZX8a/P2zc3&#10;nPkAVoJBqyp+VJ7frV+/Wg19qXJs0UjlGIFYXw59xdsQ+jLLvGhVB36GvbJkbNB1EEh1u0w6GAi9&#10;M1k+n19lAzrZOxTKe3p9mIx8nfCbRonwuWm8CsxUnGoL6XbpruOdrVdQ7hz0rRanMuAfquhAW0p6&#10;hnqAAGzv9F9QnRYOPTZhJrDLsGm0UKkH6mYx/6ObpxZ6lXohcnx/psn/P1jx6fDFMS1pdjlnFjqa&#10;0Qb0CEwq9qzGgCyPJA29L8n3qSfvML7FkQJSw75/RPHNM4ubFuxO3TuHQ6tAUpGLGJldhE44PoLU&#10;w0eUlAz2ARPQ2LguMkicMEKnYR3PA6I6mKDHosiXBVkEmfLrqzwvUgYoX4J758N7hR2LQsUdzT+B&#10;w+HRh1gMlC8uMZdHo+VWG5MUt6s3xrED0K5s0zmh/+ZmLBsqfltQ7hhlMcanNep0oF02uqv4zTye&#10;GA5lJOOdlUkOoM0kUyXGntiJhEzUhLEe0zTOpNcoj0SXw2l16auR0KL7wdlAa1tx/30PTnFmPlii&#10;/HaxXMY9T8qyuM5JcZeW+tICVhBUxQNnk7gJ6W9Mjd3TaBqdaIsznCo5lUzrmNg8fZ2475d68vr1&#10;wdc/AQAA//8DAFBLAwQUAAYACAAAACEAyaH5U90AAAAJAQAADwAAAGRycy9kb3ducmV2LnhtbEyP&#10;206DQBCG7018h8008cbYReJCQZZGTTTe9vAAA2yBlJ0l7LbQt3e80rs5fPnnm2K72EFczeR7Rxqe&#10;1xEIQ7Vremo1HA+fTxsQPiA1ODgyGm7Gw7a8vyswb9xMO3Pdh1ZwCPkcNXQhjLmUvu6MRb92oyHe&#10;ndxkMXA7tbKZcOZwO8g4ihJpsSe+0OFoPjpTn/cXq+H0PT+qbK6+wjHdvSTv2KeVu2n9sFreXkEE&#10;s4Q/GH71WR1KdqrchRovBg2bRClGNSiVgmAgUzEPKi6yGGRZyP8flD8AAAD//wMAUEsBAi0AFAAG&#10;AAgAAAAhALaDOJL+AAAA4QEAABMAAAAAAAAAAAAAAAAAAAAAAFtDb250ZW50X1R5cGVzXS54bWxQ&#10;SwECLQAUAAYACAAAACEAOP0h/9YAAACUAQAACwAAAAAAAAAAAAAAAAAvAQAAX3JlbHMvLnJlbHNQ&#10;SwECLQAUAAYACAAAACEA1t92LiQCAAAoBAAADgAAAAAAAAAAAAAAAAAuAgAAZHJzL2Uyb0RvYy54&#10;bWxQSwECLQAUAAYACAAAACEAyaH5U90AAAAJAQAADwAAAAAAAAAAAAAAAAB+BAAAZHJzL2Rvd25y&#10;ZXYueG1sUEsFBgAAAAAEAAQA8wAAAIgFAAAAAA==&#10;" stroked="f">
                <v:textbox>
                  <w:txbxContent>
                    <w:p w14:paraId="71D4D162" w14:textId="41C65C75" w:rsidR="00E054BB" w:rsidRDefault="00E054BB" w:rsidP="00CF1D64">
                      <w:r>
                        <w:t>(4.3)</w:t>
                      </w:r>
                    </w:p>
                  </w:txbxContent>
                </v:textbox>
              </v:shape>
            </w:pict>
          </mc:Fallback>
        </mc:AlternateContent>
      </w:r>
      <m:oMath>
        <m:sSub>
          <m:sSubPr>
            <m:ctrlPr>
              <w:rPr>
                <w:rFonts w:ascii="Cambria Math" w:hAnsi="Cambria Math"/>
                <w:i/>
              </w:rPr>
            </m:ctrlPr>
          </m:sSubPr>
          <m:e>
            <m:r>
              <w:rPr>
                <w:rFonts w:ascii="Cambria Math" w:hAnsi="Cambria Math"/>
              </w:rPr>
              <m:t>ITM</m:t>
            </m:r>
          </m:e>
          <m:sub>
            <m:r>
              <w:rPr>
                <w:rFonts w:ascii="Cambria Math" w:hAnsi="Cambria Math"/>
              </w:rPr>
              <m:t>it</m:t>
            </m:r>
          </m:sub>
        </m:sSub>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0</m:t>
            </m:r>
          </m:sub>
        </m:sSub>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1</m:t>
            </m:r>
          </m:sub>
        </m:sSub>
        <m:sSub>
          <m:sSubPr>
            <m:ctrlPr>
              <w:rPr>
                <w:rFonts w:ascii="Cambria Math" w:hAnsi="Cambria Math"/>
                <w:i/>
              </w:rPr>
            </m:ctrlPr>
          </m:sSubPr>
          <m:e>
            <m:r>
              <w:rPr>
                <w:rFonts w:ascii="Cambria Math" w:hAnsi="Cambria Math"/>
              </w:rPr>
              <m:t>CP</m:t>
            </m:r>
          </m:e>
          <m:sub>
            <m:r>
              <w:rPr>
                <w:rFonts w:ascii="Cambria Math" w:hAnsi="Cambria Math"/>
              </w:rPr>
              <m:t>it</m:t>
            </m:r>
          </m:sub>
        </m:sSub>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2</m:t>
            </m:r>
          </m:sub>
        </m:sSub>
        <m:sSub>
          <m:sSubPr>
            <m:ctrlPr>
              <w:rPr>
                <w:rFonts w:ascii="Cambria Math" w:eastAsiaTheme="minorEastAsia" w:hAnsi="Cambria Math"/>
                <w:i/>
              </w:rPr>
            </m:ctrlPr>
          </m:sSubPr>
          <m:e>
            <m:r>
              <w:rPr>
                <w:rFonts w:ascii="Cambria Math" w:hAnsi="Cambria Math"/>
              </w:rPr>
              <m:t>V</m:t>
            </m:r>
            <m:r>
              <w:rPr>
                <w:rFonts w:ascii="Cambria Math" w:eastAsiaTheme="minorEastAsia" w:hAnsi="Cambria Math"/>
              </w:rPr>
              <m:t>End</m:t>
            </m:r>
          </m:e>
          <m:sub>
            <m:r>
              <w:rPr>
                <w:rFonts w:ascii="Cambria Math" w:eastAsiaTheme="minorEastAsia" w:hAnsi="Cambria Math"/>
              </w:rPr>
              <m:t>it</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3</m:t>
            </m:r>
          </m:sub>
        </m:sSub>
        <m:sSub>
          <m:sSubPr>
            <m:ctrlPr>
              <w:rPr>
                <w:rFonts w:ascii="Cambria Math" w:eastAsiaTheme="minorEastAsia" w:hAnsi="Cambria Math"/>
                <w:i/>
              </w:rPr>
            </m:ctrlPr>
          </m:sSubPr>
          <m:e>
            <m:r>
              <w:rPr>
                <w:rFonts w:ascii="Cambria Math" w:eastAsiaTheme="minorEastAsia" w:hAnsi="Cambria Math"/>
              </w:rPr>
              <m:t>DE</m:t>
            </m:r>
          </m:e>
          <m:sub>
            <m:r>
              <w:rPr>
                <w:rFonts w:ascii="Cambria Math" w:eastAsiaTheme="minorEastAsia" w:hAnsi="Cambria Math"/>
              </w:rPr>
              <m:t>it</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4</m:t>
            </m:r>
          </m:sub>
        </m:sSub>
        <m:sSub>
          <m:sSubPr>
            <m:ctrlPr>
              <w:rPr>
                <w:rFonts w:ascii="Cambria Math" w:eastAsiaTheme="minorEastAsia" w:hAnsi="Cambria Math"/>
                <w:i/>
              </w:rPr>
            </m:ctrlPr>
          </m:sSubPr>
          <m:e>
            <m:r>
              <w:rPr>
                <w:rFonts w:ascii="Cambria Math" w:eastAsiaTheme="minorEastAsia" w:hAnsi="Cambria Math"/>
              </w:rPr>
              <m:t>TxPI</m:t>
            </m:r>
          </m:e>
          <m:sub>
            <m:r>
              <w:rPr>
                <w:rFonts w:ascii="Cambria Math" w:eastAsiaTheme="minorEastAsia" w:hAnsi="Cambria Math"/>
              </w:rPr>
              <m:t>it</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PA</m:t>
            </m:r>
          </m:e>
          <m:sub>
            <m:r>
              <w:rPr>
                <w:rFonts w:ascii="Cambria Math" w:eastAsiaTheme="minorEastAsia" w:hAnsi="Cambria Math"/>
              </w:rPr>
              <m:t>it</m:t>
            </m:r>
          </m:sub>
        </m:sSub>
      </m:oMath>
      <w:r w:rsidR="00790AE6">
        <w:rPr>
          <w:rFonts w:eastAsiaTheme="minorEastAsia"/>
        </w:rPr>
        <w:t xml:space="preserve">            </w:t>
      </w:r>
    </w:p>
    <w:p w14:paraId="552D9E4D" w14:textId="5212955C" w:rsidR="00B61D27" w:rsidRPr="00790AE6" w:rsidRDefault="00CF1D64" w:rsidP="00CF1D64">
      <w:pPr>
        <w:spacing w:line="360" w:lineRule="auto"/>
        <w:jc w:val="center"/>
        <w:rPr>
          <w:rFonts w:eastAsiaTheme="minorEastAsia"/>
        </w:rPr>
      </w:pPr>
      <w:r>
        <w:rPr>
          <w:noProof/>
          <w:lang w:eastAsia="pt-PT"/>
        </w:rPr>
        <mc:AlternateContent>
          <mc:Choice Requires="wps">
            <w:drawing>
              <wp:anchor distT="0" distB="0" distL="114300" distR="114300" simplePos="0" relativeHeight="251658243" behindDoc="0" locked="0" layoutInCell="1" allowOverlap="1" wp14:anchorId="3E199DF8" wp14:editId="15FD3472">
                <wp:simplePos x="0" y="0"/>
                <wp:positionH relativeFrom="column">
                  <wp:posOffset>5514975</wp:posOffset>
                </wp:positionH>
                <wp:positionV relativeFrom="paragraph">
                  <wp:posOffset>327025</wp:posOffset>
                </wp:positionV>
                <wp:extent cx="552450" cy="276225"/>
                <wp:effectExtent l="0" t="0" r="0" b="9525"/>
                <wp:wrapNone/>
                <wp:docPr id="13"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276225"/>
                        </a:xfrm>
                        <a:prstGeom prst="rect">
                          <a:avLst/>
                        </a:prstGeom>
                        <a:solidFill>
                          <a:srgbClr val="FFFFFF"/>
                        </a:solidFill>
                        <a:ln w="9525">
                          <a:noFill/>
                          <a:miter lim="800000"/>
                          <a:headEnd/>
                          <a:tailEnd/>
                        </a:ln>
                      </wps:spPr>
                      <wps:txbx>
                        <w:txbxContent>
                          <w:p w14:paraId="273F5027" w14:textId="337B6641" w:rsidR="00E054BB" w:rsidRDefault="00E054BB" w:rsidP="00CF1D64">
                            <w:r>
                              <w:t>(4.4)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E199DF8" id="_x0000_s1029" type="#_x0000_t202" style="position:absolute;left:0;text-align:left;margin-left:434.25pt;margin-top:25.75pt;width:43.5pt;height:21.7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paDJQIAACgEAAAOAAAAZHJzL2Uyb0RvYy54bWysU9tu2zAMfR+wfxD0vjhxk16MOEWXLsOA&#10;7gK0+wBakmNhsuhJSuzs60vJaZptb8P0IJAieUgeUsvboTVsr5zXaEs+m0w5U1ag1HZb8u9Pm3fX&#10;nPkAVoJBq0p+UJ7frt6+WfZdoXJs0EjlGIFYX/RdyZsQuiLLvGhUC36CnbJkrNG1EEh120w66Am9&#10;NVk+nV5mPTrZORTKe3q9H418lfDrWonwta69CsyUnGoL6XbpruKdrZZQbB10jRbHMuAfqmhBW0p6&#10;grqHAGzn9F9QrRYOPdZhIrDNsK61UKkH6mY2/aObxwY6lXohcnx3osn/P1jxZf/NMS1pdhecWWhp&#10;RmvQAzCp2JMaArI8ktR3viDfx468w/AeBwpIDfvuAcUPzyyuG7Bbdecc9o0CSUXOYmR2Fjri+AhS&#10;9Z9RUjLYBUxAQ+3ayCBxwgidhnU4DYjqYIIeF4t8viCLIFN+dZnni5QBipfgzvnwUWHLolByR/NP&#10;4LB/8CEWA8WLS8zl0Wi50cYkxW2rtXFsD7Qrm3SO6L+5Gcv6kt8sKHeMshjj0xq1OtAuG92W/Hoa&#10;TwyHIpLxwcokB9BmlKkSY4/sREJGasJQDWkaFzE2MlehPBBdDsfVpa9GQoPuF2c9rW3J/c8dOMWZ&#10;+WSJ8pvZfB73PCnzxVVOiju3VOcWsIKgSh44G8V1SH9jbOyORlPrRNtrJceSaR0Tm8evE/f9XE9e&#10;rx989QwAAP//AwBQSwMEFAAGAAgAAAAhAExCCjPdAAAACQEAAA8AAABkcnMvZG93bnJldi54bWxM&#10;j8FOwzAQRO9I/IO1SFwQdYpwmqZxKkACcW3pB2xiN4kar6PYbdK/Z3uC085qR7Nviu3senGxY+g8&#10;aVguEhCWam86ajQcfj6fMxAhIhnsPVkNVxtgW97fFZgbP9HOXvaxERxCIUcNbYxDLmWoW+swLPxg&#10;iW9HPzqMvI6NNCNOHO56+ZIkqXTYEX9ocbAfra1P+7PTcPyentR6qr7iYbV7Td+xW1X+qvXjw/y2&#10;ARHtHP/McMNndCiZqfJnMkH0GrI0U2zVoJY82bBWikV1EwnIspD/G5S/AAAA//8DAFBLAQItABQA&#10;BgAIAAAAIQC2gziS/gAAAOEBAAATAAAAAAAAAAAAAAAAAAAAAABbQ29udGVudF9UeXBlc10ueG1s&#10;UEsBAi0AFAAGAAgAAAAhADj9If/WAAAAlAEAAAsAAAAAAAAAAAAAAAAALwEAAF9yZWxzLy5yZWxz&#10;UEsBAi0AFAAGAAgAAAAhAN8OloMlAgAAKAQAAA4AAAAAAAAAAAAAAAAALgIAAGRycy9lMm9Eb2Mu&#10;eG1sUEsBAi0AFAAGAAgAAAAhAExCCjPdAAAACQEAAA8AAAAAAAAAAAAAAAAAfwQAAGRycy9kb3du&#10;cmV2LnhtbFBLBQYAAAAABAAEAPMAAACJBQAAAAA=&#10;" stroked="f">
                <v:textbox>
                  <w:txbxContent>
                    <w:p w14:paraId="273F5027" w14:textId="337B6641" w:rsidR="00E054BB" w:rsidRDefault="00E054BB" w:rsidP="00CF1D64">
                      <w:r>
                        <w:t>(4.4)</w:t>
                      </w:r>
                    </w:p>
                  </w:txbxContent>
                </v:textbox>
              </v:shape>
            </w:pict>
          </mc:Fallback>
        </mc:AlternateContent>
      </w:r>
      <m:oMath>
        <m:sSub>
          <m:sSubPr>
            <m:ctrlPr>
              <w:rPr>
                <w:rFonts w:ascii="Cambria Math" w:hAnsi="Cambria Math"/>
                <w:i/>
              </w:rPr>
            </m:ctrlPr>
          </m:sSubPr>
          <m:e>
            <m:r>
              <w:rPr>
                <w:rFonts w:ascii="Cambria Math" w:hAnsi="Cambria Math"/>
              </w:rPr>
              <m:t>ITM</m:t>
            </m:r>
          </m:e>
          <m:sub>
            <m:r>
              <w:rPr>
                <w:rFonts w:ascii="Cambria Math" w:hAnsi="Cambria Math"/>
              </w:rPr>
              <m:t>it</m:t>
            </m:r>
          </m:sub>
        </m:sSub>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0</m:t>
            </m:r>
          </m:sub>
        </m:sSub>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1</m:t>
            </m:r>
          </m:sub>
        </m:sSub>
        <m:sSub>
          <m:sSubPr>
            <m:ctrlPr>
              <w:rPr>
                <w:rFonts w:ascii="Cambria Math" w:hAnsi="Cambria Math"/>
                <w:i/>
              </w:rPr>
            </m:ctrlPr>
          </m:sSubPr>
          <m:e>
            <m:r>
              <w:rPr>
                <w:rFonts w:ascii="Cambria Math" w:hAnsi="Cambria Math"/>
              </w:rPr>
              <m:t>CP</m:t>
            </m:r>
          </m:e>
          <m:sub>
            <m:r>
              <w:rPr>
                <w:rFonts w:ascii="Cambria Math" w:hAnsi="Cambria Math"/>
              </w:rPr>
              <m:t>it</m:t>
            </m:r>
          </m:sub>
        </m:sSub>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2</m:t>
            </m:r>
          </m:sub>
        </m:sSub>
        <m:sSub>
          <m:sSubPr>
            <m:ctrlPr>
              <w:rPr>
                <w:rFonts w:ascii="Cambria Math" w:eastAsiaTheme="minorEastAsia" w:hAnsi="Cambria Math"/>
                <w:i/>
              </w:rPr>
            </m:ctrlPr>
          </m:sSubPr>
          <m:e>
            <m:r>
              <w:rPr>
                <w:rFonts w:ascii="Cambria Math" w:hAnsi="Cambria Math"/>
              </w:rPr>
              <m:t>DE</m:t>
            </m:r>
          </m:e>
          <m:sub>
            <m:r>
              <w:rPr>
                <w:rFonts w:ascii="Cambria Math" w:eastAsiaTheme="minorEastAsia" w:hAnsi="Cambria Math"/>
              </w:rPr>
              <m:t>it</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3</m:t>
            </m:r>
          </m:sub>
        </m:sSub>
        <m:sSub>
          <m:sSubPr>
            <m:ctrlPr>
              <w:rPr>
                <w:rFonts w:ascii="Cambria Math" w:eastAsiaTheme="minorEastAsia" w:hAnsi="Cambria Math"/>
                <w:i/>
              </w:rPr>
            </m:ctrlPr>
          </m:sSubPr>
          <m:e>
            <m:r>
              <w:rPr>
                <w:rFonts w:ascii="Cambria Math" w:eastAsiaTheme="minorEastAsia" w:hAnsi="Cambria Math"/>
              </w:rPr>
              <m:t>PR</m:t>
            </m:r>
          </m:e>
          <m:sub>
            <m:r>
              <w:rPr>
                <w:rFonts w:ascii="Cambria Math" w:eastAsiaTheme="minorEastAsia" w:hAnsi="Cambria Math"/>
              </w:rPr>
              <m:t>it</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4</m:t>
            </m:r>
          </m:sub>
        </m:sSub>
        <m:sSub>
          <m:sSubPr>
            <m:ctrlPr>
              <w:rPr>
                <w:rFonts w:ascii="Cambria Math" w:eastAsiaTheme="minorEastAsia" w:hAnsi="Cambria Math"/>
                <w:i/>
              </w:rPr>
            </m:ctrlPr>
          </m:sSubPr>
          <m:e>
            <m:r>
              <w:rPr>
                <w:rFonts w:ascii="Cambria Math" w:eastAsiaTheme="minorEastAsia" w:hAnsi="Cambria Math"/>
              </w:rPr>
              <m:t>TxPI</m:t>
            </m:r>
          </m:e>
          <m:sub>
            <m:r>
              <w:rPr>
                <w:rFonts w:ascii="Cambria Math" w:eastAsiaTheme="minorEastAsia" w:hAnsi="Cambria Math"/>
              </w:rPr>
              <m:t>it</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PA</m:t>
            </m:r>
          </m:e>
          <m:sub>
            <m:r>
              <w:rPr>
                <w:rFonts w:ascii="Cambria Math" w:eastAsiaTheme="minorEastAsia" w:hAnsi="Cambria Math"/>
              </w:rPr>
              <m:t>it</m:t>
            </m:r>
          </m:sub>
        </m:sSub>
      </m:oMath>
    </w:p>
    <w:p w14:paraId="10CD50EB" w14:textId="26360BBB" w:rsidR="00B61D27" w:rsidRPr="00790AE6" w:rsidRDefault="009C7E76" w:rsidP="009C7E76">
      <w:pPr>
        <w:spacing w:line="360" w:lineRule="auto"/>
        <w:jc w:val="center"/>
        <w:rPr>
          <w:rFonts w:eastAsiaTheme="minorEastAsia"/>
        </w:rPr>
      </w:pPr>
      <w:r>
        <w:rPr>
          <w:noProof/>
          <w:lang w:eastAsia="pt-PT"/>
        </w:rPr>
        <mc:AlternateContent>
          <mc:Choice Requires="wps">
            <w:drawing>
              <wp:anchor distT="0" distB="0" distL="114300" distR="114300" simplePos="0" relativeHeight="251658244" behindDoc="0" locked="0" layoutInCell="1" allowOverlap="1" wp14:anchorId="58A8592F" wp14:editId="2DD1C984">
                <wp:simplePos x="0" y="0"/>
                <wp:positionH relativeFrom="column">
                  <wp:posOffset>5524500</wp:posOffset>
                </wp:positionH>
                <wp:positionV relativeFrom="paragraph">
                  <wp:posOffset>309880</wp:posOffset>
                </wp:positionV>
                <wp:extent cx="552450" cy="276225"/>
                <wp:effectExtent l="0" t="0" r="0" b="9525"/>
                <wp:wrapNone/>
                <wp:docPr id="14"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276225"/>
                        </a:xfrm>
                        <a:prstGeom prst="rect">
                          <a:avLst/>
                        </a:prstGeom>
                        <a:solidFill>
                          <a:srgbClr val="FFFFFF"/>
                        </a:solidFill>
                        <a:ln w="9525">
                          <a:noFill/>
                          <a:miter lim="800000"/>
                          <a:headEnd/>
                          <a:tailEnd/>
                        </a:ln>
                      </wps:spPr>
                      <wps:txbx>
                        <w:txbxContent>
                          <w:p w14:paraId="6A7D8DB3" w14:textId="0F3E3ABF" w:rsidR="00E054BB" w:rsidRDefault="00E054BB" w:rsidP="009C7E76">
                            <w:r>
                              <w:t>(4.5)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A8592F" id="_x0000_s1030" type="#_x0000_t202" style="position:absolute;left:0;text-align:left;margin-left:435pt;margin-top:24.4pt;width:43.5pt;height:21.7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dZ0JQIAACgEAAAOAAAAZHJzL2Uyb0RvYy54bWysU81u2zAMvg/YOwi6L04Mpz9GnKJLl2FA&#10;1w1o9wC0JMfCZNGTlNjd04+S0zTbbsN0EEiR/Eh+pFY3Y2fYQTmv0VZ8MZtzpqxAqe2u4t+etu+u&#10;OPMBrASDVlX8WXl+s377ZjX0pcqxRSOVYwRifTn0FW9D6Mss86JVHfgZ9sqSsUHXQSDV7TLpYCD0&#10;zmT5fH6RDehk71Ao7+n1bjLydcJvGiXCl6bxKjBTcaotpNulu453tl5BuXPQt1ocy4B/qKIDbSnp&#10;CeoOArC9039BdVo49NiEmcAuw6bRQqUeqJvF/I9uHlvoVeqFyPH9iSb//2DFw+GrY1rS7ArOLHQ0&#10;ow3oEZhU7EmNAVkeSRp6X5LvY0/eYXyPIwWkhn1/j+K7ZxY3LdidunUOh1aBpCIXMTI7C51wfASp&#10;h88oKRnsAyagsXFdZJA4YYROw3o+DYjqYIIel8u8WJJFkCm/vMjzZcoA5Utw73z4qLBjUai4o/kn&#10;cDjc+xCLgfLFJebyaLTcamOS4nb1xjh2ANqVbTpH9N/cjGVDxa+XlDtGWYzxaY06HWiXje4qfjWP&#10;J4ZDGcn4YGWSA2gzyVSJsUd2IiETNWGsxzSNIsZG5mqUz0SXw2l16auR0KL7ydlAa1tx/2MPTnFm&#10;Plmi/HpRFHHPk1IsL3NS3LmlPreAFQRV8cDZJG5C+htTY7c0mkYn2l4rOZZM65jYPH6duO/nevJ6&#10;/eDrXwAAAP//AwBQSwMEFAAGAAgAAAAhADmBR5DeAAAACQEAAA8AAABkcnMvZG93bnJldi54bWxM&#10;j8FOw0AMRO9I/MPKlbgguqG0TRqyqQAJxLWlH+AkbhI1642y2yb9e8yJ3mzPaPwm2062UxcafOvY&#10;wPM8AkVcuqrl2sDh5/MpAeUDcoWdYzJwJQ/b/P4uw7RyI+/osg+1khD2KRpoQuhTrX3ZkEU/dz2x&#10;aEc3WAyyDrWuBhwl3HZ6EUVrbbFl+dBgTx8Nlaf92Ro4fo+Pq81YfIVDvFuu37GNC3c15mE2vb2C&#10;CjSFfzP84Qs65MJUuDNXXnUGkjiSLsHAMpEKYtisYjkUMixeQOeZvm2Q/wIAAP//AwBQSwECLQAU&#10;AAYACAAAACEAtoM4kv4AAADhAQAAEwAAAAAAAAAAAAAAAAAAAAAAW0NvbnRlbnRfVHlwZXNdLnht&#10;bFBLAQItABQABgAIAAAAIQA4/SH/1gAAAJQBAAALAAAAAAAAAAAAAAAAAC8BAABfcmVscy8ucmVs&#10;c1BLAQItABQABgAIAAAAIQBiNdZ0JQIAACgEAAAOAAAAAAAAAAAAAAAAAC4CAABkcnMvZTJvRG9j&#10;LnhtbFBLAQItABQABgAIAAAAIQA5gUeQ3gAAAAkBAAAPAAAAAAAAAAAAAAAAAH8EAABkcnMvZG93&#10;bnJldi54bWxQSwUGAAAAAAQABADzAAAAigUAAAAA&#10;" stroked="f">
                <v:textbox>
                  <w:txbxContent>
                    <w:p w14:paraId="6A7D8DB3" w14:textId="0F3E3ABF" w:rsidR="00E054BB" w:rsidRDefault="00E054BB" w:rsidP="009C7E76">
                      <w:r>
                        <w:t>(4.5)</w:t>
                      </w:r>
                    </w:p>
                  </w:txbxContent>
                </v:textbox>
              </v:shape>
            </w:pict>
          </mc:Fallback>
        </mc:AlternateContent>
      </w:r>
      <m:oMath>
        <m:sSub>
          <m:sSubPr>
            <m:ctrlPr>
              <w:rPr>
                <w:rFonts w:ascii="Cambria Math" w:hAnsi="Cambria Math"/>
                <w:i/>
              </w:rPr>
            </m:ctrlPr>
          </m:sSubPr>
          <m:e>
            <m:r>
              <w:rPr>
                <w:rFonts w:ascii="Cambria Math" w:hAnsi="Cambria Math"/>
              </w:rPr>
              <m:t>ITM</m:t>
            </m:r>
          </m:e>
          <m:sub>
            <m:r>
              <w:rPr>
                <w:rFonts w:ascii="Cambria Math" w:hAnsi="Cambria Math"/>
              </w:rPr>
              <m:t>it</m:t>
            </m:r>
          </m:sub>
        </m:sSub>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0</m:t>
            </m:r>
          </m:sub>
        </m:sSub>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1</m:t>
            </m:r>
          </m:sub>
        </m:sSub>
        <m:sSub>
          <m:sSubPr>
            <m:ctrlPr>
              <w:rPr>
                <w:rFonts w:ascii="Cambria Math" w:hAnsi="Cambria Math"/>
                <w:i/>
              </w:rPr>
            </m:ctrlPr>
          </m:sSubPr>
          <m:e>
            <m:r>
              <w:rPr>
                <w:rFonts w:ascii="Cambria Math" w:hAnsi="Cambria Math"/>
              </w:rPr>
              <m:t>CP</m:t>
            </m:r>
          </m:e>
          <m:sub>
            <m:r>
              <w:rPr>
                <w:rFonts w:ascii="Cambria Math" w:hAnsi="Cambria Math"/>
              </w:rPr>
              <m:t>it</m:t>
            </m:r>
          </m:sub>
        </m:sSub>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2</m:t>
            </m:r>
          </m:sub>
        </m:sSub>
        <m:sSub>
          <m:sSubPr>
            <m:ctrlPr>
              <w:rPr>
                <w:rFonts w:ascii="Cambria Math" w:eastAsiaTheme="minorEastAsia" w:hAnsi="Cambria Math"/>
                <w:i/>
              </w:rPr>
            </m:ctrlPr>
          </m:sSubPr>
          <m:e>
            <m:r>
              <w:rPr>
                <w:rFonts w:ascii="Cambria Math" w:hAnsi="Cambria Math"/>
              </w:rPr>
              <m:t>DE</m:t>
            </m:r>
          </m:e>
          <m:sub>
            <m:r>
              <w:rPr>
                <w:rFonts w:ascii="Cambria Math" w:eastAsiaTheme="minorEastAsia" w:hAnsi="Cambria Math"/>
              </w:rPr>
              <m:t>it</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3</m:t>
            </m:r>
          </m:sub>
        </m:sSub>
        <m:sSub>
          <m:sSubPr>
            <m:ctrlPr>
              <w:rPr>
                <w:rFonts w:ascii="Cambria Math" w:eastAsiaTheme="minorEastAsia" w:hAnsi="Cambria Math"/>
                <w:i/>
              </w:rPr>
            </m:ctrlPr>
          </m:sSubPr>
          <m:e>
            <m:r>
              <w:rPr>
                <w:rFonts w:ascii="Cambria Math" w:eastAsiaTheme="minorEastAsia" w:hAnsi="Cambria Math"/>
              </w:rPr>
              <m:t>TxPI</m:t>
            </m:r>
          </m:e>
          <m:sub>
            <m:r>
              <w:rPr>
                <w:rFonts w:ascii="Cambria Math" w:eastAsiaTheme="minorEastAsia" w:hAnsi="Cambria Math"/>
              </w:rPr>
              <m:t>it</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4</m:t>
            </m:r>
          </m:sub>
        </m:sSub>
        <m:sSub>
          <m:sSubPr>
            <m:ctrlPr>
              <w:rPr>
                <w:rFonts w:ascii="Cambria Math" w:eastAsiaTheme="minorEastAsia" w:hAnsi="Cambria Math"/>
                <w:i/>
              </w:rPr>
            </m:ctrlPr>
          </m:sSubPr>
          <m:e>
            <m:r>
              <w:rPr>
                <w:rFonts w:ascii="Cambria Math" w:eastAsiaTheme="minorEastAsia" w:hAnsi="Cambria Math"/>
              </w:rPr>
              <m:t>TxD</m:t>
            </m:r>
          </m:e>
          <m:sub>
            <m:r>
              <w:rPr>
                <w:rFonts w:ascii="Cambria Math" w:eastAsiaTheme="minorEastAsia" w:hAnsi="Cambria Math"/>
              </w:rPr>
              <m:t>it</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5</m:t>
            </m:r>
          </m:sub>
        </m:sSub>
        <m:sSub>
          <m:sSubPr>
            <m:ctrlPr>
              <w:rPr>
                <w:rFonts w:ascii="Cambria Math" w:eastAsiaTheme="minorEastAsia" w:hAnsi="Cambria Math"/>
                <w:i/>
              </w:rPr>
            </m:ctrlPr>
          </m:sSubPr>
          <m:e>
            <m:r>
              <w:rPr>
                <w:rFonts w:ascii="Cambria Math" w:eastAsiaTheme="minorEastAsia" w:hAnsi="Cambria Math"/>
              </w:rPr>
              <m:t>PA</m:t>
            </m:r>
          </m:e>
          <m:sub>
            <m:r>
              <w:rPr>
                <w:rFonts w:ascii="Cambria Math" w:eastAsiaTheme="minorEastAsia" w:hAnsi="Cambria Math"/>
              </w:rPr>
              <m:t>it</m:t>
            </m:r>
          </m:sub>
        </m:sSub>
      </m:oMath>
    </w:p>
    <w:p w14:paraId="04EE7A26" w14:textId="235DDE1E" w:rsidR="00B61D27" w:rsidRPr="00790AE6" w:rsidRDefault="0043154B" w:rsidP="00735ADB">
      <w:pPr>
        <w:spacing w:line="360" w:lineRule="auto"/>
        <w:jc w:val="both"/>
        <w:rPr>
          <w:rFonts w:eastAsiaTheme="minorEastAsia"/>
        </w:rPr>
      </w:pPr>
      <m:oMathPara>
        <m:oMath>
          <m:sSub>
            <m:sSubPr>
              <m:ctrlPr>
                <w:rPr>
                  <w:rFonts w:ascii="Cambria Math" w:hAnsi="Cambria Math"/>
                  <w:i/>
                </w:rPr>
              </m:ctrlPr>
            </m:sSubPr>
            <m:e>
              <m:r>
                <w:rPr>
                  <w:rFonts w:ascii="Cambria Math" w:hAnsi="Cambria Math"/>
                </w:rPr>
                <m:t>ITM</m:t>
              </m:r>
            </m:e>
            <m:sub>
              <m:r>
                <w:rPr>
                  <w:rFonts w:ascii="Cambria Math" w:hAnsi="Cambria Math"/>
                </w:rPr>
                <m:t>it</m:t>
              </m:r>
            </m:sub>
          </m:sSub>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0</m:t>
              </m:r>
            </m:sub>
          </m:sSub>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1</m:t>
              </m:r>
            </m:sub>
          </m:sSub>
          <m:sSub>
            <m:sSubPr>
              <m:ctrlPr>
                <w:rPr>
                  <w:rFonts w:ascii="Cambria Math" w:hAnsi="Cambria Math"/>
                  <w:i/>
                </w:rPr>
              </m:ctrlPr>
            </m:sSubPr>
            <m:e>
              <m:r>
                <w:rPr>
                  <w:rFonts w:ascii="Cambria Math" w:hAnsi="Cambria Math"/>
                </w:rPr>
                <m:t>CP</m:t>
              </m:r>
            </m:e>
            <m:sub>
              <m:r>
                <w:rPr>
                  <w:rFonts w:ascii="Cambria Math" w:hAnsi="Cambria Math"/>
                </w:rPr>
                <m:t>it</m:t>
              </m:r>
            </m:sub>
          </m:sSub>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2</m:t>
              </m:r>
            </m:sub>
          </m:sSub>
          <m:sSub>
            <m:sSubPr>
              <m:ctrlPr>
                <w:rPr>
                  <w:rFonts w:ascii="Cambria Math" w:eastAsiaTheme="minorEastAsia" w:hAnsi="Cambria Math"/>
                  <w:i/>
                </w:rPr>
              </m:ctrlPr>
            </m:sSubPr>
            <m:e>
              <m:r>
                <w:rPr>
                  <w:rFonts w:ascii="Cambria Math" w:hAnsi="Cambria Math"/>
                </w:rPr>
                <m:t>DE</m:t>
              </m:r>
            </m:e>
            <m:sub>
              <m:r>
                <w:rPr>
                  <w:rFonts w:ascii="Cambria Math" w:eastAsiaTheme="minorEastAsia" w:hAnsi="Cambria Math"/>
                </w:rPr>
                <m:t>it</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3</m:t>
              </m:r>
            </m:sub>
          </m:sSub>
          <m:sSub>
            <m:sSubPr>
              <m:ctrlPr>
                <w:rPr>
                  <w:rFonts w:ascii="Cambria Math" w:eastAsiaTheme="minorEastAsia" w:hAnsi="Cambria Math"/>
                  <w:i/>
                </w:rPr>
              </m:ctrlPr>
            </m:sSubPr>
            <m:e>
              <m:r>
                <w:rPr>
                  <w:rFonts w:ascii="Cambria Math" w:eastAsiaTheme="minorEastAsia" w:hAnsi="Cambria Math"/>
                </w:rPr>
                <m:t>TxPI</m:t>
              </m:r>
            </m:e>
            <m:sub>
              <m:r>
                <w:rPr>
                  <w:rFonts w:ascii="Cambria Math" w:eastAsiaTheme="minorEastAsia" w:hAnsi="Cambria Math"/>
                </w:rPr>
                <m:t>it</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4</m:t>
              </m:r>
            </m:sub>
          </m:sSub>
          <m:sSub>
            <m:sSubPr>
              <m:ctrlPr>
                <w:rPr>
                  <w:rFonts w:ascii="Cambria Math" w:eastAsiaTheme="minorEastAsia" w:hAnsi="Cambria Math"/>
                  <w:i/>
                </w:rPr>
              </m:ctrlPr>
            </m:sSubPr>
            <m:e>
              <m:r>
                <w:rPr>
                  <w:rFonts w:ascii="Cambria Math" w:eastAsiaTheme="minorEastAsia" w:hAnsi="Cambria Math"/>
                </w:rPr>
                <m:t>PA</m:t>
              </m:r>
            </m:e>
            <m:sub>
              <m:r>
                <w:rPr>
                  <w:rFonts w:ascii="Cambria Math" w:eastAsiaTheme="minorEastAsia" w:hAnsi="Cambria Math"/>
                </w:rPr>
                <m:t>it</m:t>
              </m:r>
            </m:sub>
          </m:sSub>
        </m:oMath>
      </m:oMathPara>
    </w:p>
    <w:p w14:paraId="08586F26" w14:textId="19C6EECB" w:rsidR="00B61D27" w:rsidRDefault="00F1016C" w:rsidP="00735ADB">
      <w:pPr>
        <w:spacing w:line="360" w:lineRule="auto"/>
        <w:jc w:val="both"/>
        <w:rPr>
          <w:rFonts w:eastAsiaTheme="minorEastAsia"/>
        </w:rPr>
      </w:pPr>
      <w:r>
        <w:rPr>
          <w:rFonts w:eastAsiaTheme="minorEastAsia"/>
        </w:rPr>
        <w:t>Uma</w:t>
      </w:r>
      <w:r w:rsidR="00114CE6">
        <w:rPr>
          <w:rFonts w:eastAsiaTheme="minorEastAsia"/>
        </w:rPr>
        <w:t xml:space="preserve"> das vantagens referente ao uso de dados em painel, segundo Murteira e Castro (2018, p.247), </w:t>
      </w:r>
      <w:r>
        <w:rPr>
          <w:rFonts w:eastAsiaTheme="minorEastAsia"/>
        </w:rPr>
        <w:t xml:space="preserve">é </w:t>
      </w:r>
      <w:r w:rsidR="00114CE6">
        <w:rPr>
          <w:rFonts w:eastAsiaTheme="minorEastAsia"/>
        </w:rPr>
        <w:t>«o acom</w:t>
      </w:r>
      <w:r w:rsidR="005F51F8">
        <w:rPr>
          <w:rFonts w:eastAsiaTheme="minorEastAsia"/>
        </w:rPr>
        <w:t xml:space="preserve">panhamento de um grupo de indivíduos ao longo de vários </w:t>
      </w:r>
      <w:proofErr w:type="gramStart"/>
      <w:r w:rsidR="005F51F8">
        <w:rPr>
          <w:rFonts w:eastAsiaTheme="minorEastAsia"/>
        </w:rPr>
        <w:t>períodos de tempo</w:t>
      </w:r>
      <w:proofErr w:type="gramEnd"/>
      <w:r w:rsidR="005F51F8">
        <w:rPr>
          <w:rFonts w:eastAsiaTheme="minorEastAsia"/>
        </w:rPr>
        <w:t xml:space="preserve"> proporciona uma informação mais rica do que os dados meramente seccionais ou temporais, permitindo obter estimadores mais eficientes dos parâmetros de regressão». Desta forma, através dos dados em painel conseguimos identificar, bem como estimar efeitos que não são detetáveis através de </w:t>
      </w:r>
      <w:r w:rsidR="00B74F48">
        <w:rPr>
          <w:rFonts w:eastAsiaTheme="minorEastAsia"/>
        </w:rPr>
        <w:t>séries</w:t>
      </w:r>
      <w:r w:rsidR="005F51F8">
        <w:rPr>
          <w:rFonts w:eastAsiaTheme="minorEastAsia"/>
        </w:rPr>
        <w:t xml:space="preserve"> temporais ou seccionais (Murteira &amp; Castro, 2018).</w:t>
      </w:r>
    </w:p>
    <w:p w14:paraId="6E3DAF88" w14:textId="1E2FCEF3" w:rsidR="005F51F8" w:rsidRPr="00920BE6" w:rsidRDefault="005F51F8" w:rsidP="00735ADB">
      <w:pPr>
        <w:spacing w:line="360" w:lineRule="auto"/>
        <w:jc w:val="both"/>
      </w:pPr>
      <w:r>
        <w:rPr>
          <w:rFonts w:eastAsiaTheme="minorEastAsia"/>
        </w:rPr>
        <w:t>No presente estudo, tem-se um painel equilibrado pois, segundo Murteira e Castro (2018, p.249), «</w:t>
      </w:r>
      <m:oMath>
        <m:sSub>
          <m:sSubPr>
            <m:ctrlPr>
              <w:rPr>
                <w:rFonts w:ascii="Cambria Math" w:eastAsiaTheme="minorEastAsia" w:hAnsi="Cambria Math"/>
                <w:i/>
              </w:rPr>
            </m:ctrlPr>
          </m:sSubPr>
          <m:e>
            <m:r>
              <m:rPr>
                <m:sty m:val="p"/>
              </m:rPr>
              <w:rPr>
                <w:rFonts w:ascii="Cambria Math" w:eastAsiaTheme="minorEastAsia" w:hAnsi="Cambria Math"/>
              </w:rPr>
              <m:t>T</m:t>
            </m:r>
          </m:e>
          <m:sub>
            <m:r>
              <w:rPr>
                <w:rFonts w:ascii="Cambria Math" w:eastAsiaTheme="minorEastAsia" w:hAnsi="Cambria Math"/>
              </w:rPr>
              <m:t>i</m:t>
            </m:r>
          </m:sub>
        </m:sSub>
      </m:oMath>
      <w:r>
        <w:rPr>
          <w:rFonts w:eastAsiaTheme="minorEastAsia"/>
        </w:rPr>
        <w:t xml:space="preserve"> = T para todos os indivíduos», ou seja, o </w:t>
      </w:r>
      <w:r w:rsidR="00B00D47">
        <w:rPr>
          <w:rFonts w:eastAsiaTheme="minorEastAsia"/>
        </w:rPr>
        <w:t>número</w:t>
      </w:r>
      <w:r>
        <w:rPr>
          <w:rFonts w:eastAsiaTheme="minorEastAsia"/>
        </w:rPr>
        <w:t xml:space="preserve"> de dados é igual para todos os anos em analise</w:t>
      </w:r>
      <w:r w:rsidR="00B00D47">
        <w:rPr>
          <w:rFonts w:eastAsiaTheme="minorEastAsia"/>
        </w:rPr>
        <w:t xml:space="preserve">, no qual estuda-se dados enquadrados em diversos fatores referentes a 308 Municípios Portugueses ao longo de 5 anos, 2013 </w:t>
      </w:r>
      <w:r w:rsidR="0022728A">
        <w:rPr>
          <w:rFonts w:eastAsiaTheme="minorEastAsia"/>
        </w:rPr>
        <w:t xml:space="preserve">a </w:t>
      </w:r>
      <w:r w:rsidR="00B00D47">
        <w:rPr>
          <w:rFonts w:eastAsiaTheme="minorEastAsia"/>
        </w:rPr>
        <w:t>2017, sem quaisquer falhas de dados.</w:t>
      </w:r>
    </w:p>
    <w:p w14:paraId="41166B05" w14:textId="5A2DCE71" w:rsidR="005F51F8" w:rsidRDefault="00B00D47" w:rsidP="00735ADB">
      <w:pPr>
        <w:spacing w:line="360" w:lineRule="auto"/>
        <w:jc w:val="both"/>
        <w:rPr>
          <w:rFonts w:eastAsiaTheme="minorEastAsia"/>
        </w:rPr>
      </w:pPr>
      <w:r>
        <w:rPr>
          <w:rFonts w:eastAsiaTheme="minorEastAsia"/>
        </w:rPr>
        <w:t xml:space="preserve">Os dados em painel são ainda considerados como um painel curto ou painel longo. Conforme Gujarati e </w:t>
      </w:r>
      <w:proofErr w:type="spellStart"/>
      <w:r>
        <w:rPr>
          <w:rFonts w:eastAsiaTheme="minorEastAsia"/>
        </w:rPr>
        <w:t>Porter</w:t>
      </w:r>
      <w:proofErr w:type="spellEnd"/>
      <w:r>
        <w:rPr>
          <w:rFonts w:eastAsiaTheme="minorEastAsia"/>
        </w:rPr>
        <w:t xml:space="preserve"> (2011) estamos perante um painel curto quando o número de observações (N) é maior do que o período temporal alvo de estudo (T). Por outro lado, um painel longo é aquele que apresentar T maior que N. Neste caso em concreto, considera</w:t>
      </w:r>
      <w:r w:rsidR="00A00CDC">
        <w:rPr>
          <w:rFonts w:eastAsiaTheme="minorEastAsia"/>
        </w:rPr>
        <w:t>m</w:t>
      </w:r>
      <w:r>
        <w:rPr>
          <w:rFonts w:eastAsiaTheme="minorEastAsia"/>
        </w:rPr>
        <w:t xml:space="preserve">-se os dados em painel como um painel curto uma vez que são estudados 5 anos (T) e </w:t>
      </w:r>
      <w:r w:rsidR="00B4646C">
        <w:rPr>
          <w:rFonts w:eastAsiaTheme="minorEastAsia"/>
        </w:rPr>
        <w:t>apresenta-se</w:t>
      </w:r>
      <w:r>
        <w:rPr>
          <w:rFonts w:eastAsiaTheme="minorEastAsia"/>
        </w:rPr>
        <w:t xml:space="preserve"> um </w:t>
      </w:r>
      <w:r w:rsidR="00C96DD2">
        <w:rPr>
          <w:rFonts w:eastAsiaTheme="minorEastAsia"/>
        </w:rPr>
        <w:t>número</w:t>
      </w:r>
      <w:r>
        <w:rPr>
          <w:rFonts w:eastAsiaTheme="minorEastAsia"/>
        </w:rPr>
        <w:t xml:space="preserve"> de observações </w:t>
      </w:r>
      <w:r w:rsidR="00C96DD2">
        <w:rPr>
          <w:rFonts w:eastAsiaTheme="minorEastAsia"/>
        </w:rPr>
        <w:t xml:space="preserve">(N) </w:t>
      </w:r>
      <w:r>
        <w:rPr>
          <w:rFonts w:eastAsiaTheme="minorEastAsia"/>
        </w:rPr>
        <w:t>de 1540 (</w:t>
      </w:r>
      <w:r w:rsidR="00C96DD2">
        <w:rPr>
          <w:rFonts w:eastAsiaTheme="minorEastAsia"/>
        </w:rPr>
        <w:t>308*5), ou seja, N superior que T.</w:t>
      </w:r>
    </w:p>
    <w:p w14:paraId="034D6939" w14:textId="0F3786C0" w:rsidR="00C96DD2" w:rsidRDefault="00C96DD2" w:rsidP="00735ADB">
      <w:pPr>
        <w:spacing w:line="360" w:lineRule="auto"/>
        <w:jc w:val="both"/>
        <w:rPr>
          <w:rFonts w:eastAsiaTheme="minorEastAsia"/>
        </w:rPr>
      </w:pPr>
      <w:r>
        <w:rPr>
          <w:rFonts w:eastAsiaTheme="minorEastAsia"/>
        </w:rPr>
        <w:t xml:space="preserve">Tendo em conta todas estas características, segundo Gujarati e </w:t>
      </w:r>
      <w:proofErr w:type="spellStart"/>
      <w:r>
        <w:rPr>
          <w:rFonts w:eastAsiaTheme="minorEastAsia"/>
        </w:rPr>
        <w:t>Porter</w:t>
      </w:r>
      <w:proofErr w:type="spellEnd"/>
      <w:r>
        <w:rPr>
          <w:rFonts w:eastAsiaTheme="minorEastAsia"/>
        </w:rPr>
        <w:t xml:space="preserve"> </w:t>
      </w:r>
      <w:r w:rsidR="00A00CDC">
        <w:rPr>
          <w:rFonts w:eastAsiaTheme="minorEastAsia"/>
        </w:rPr>
        <w:t>(</w:t>
      </w:r>
      <w:r>
        <w:rPr>
          <w:rFonts w:eastAsiaTheme="minorEastAsia"/>
        </w:rPr>
        <w:t>2011</w:t>
      </w:r>
      <w:r w:rsidR="00A00CDC">
        <w:rPr>
          <w:rFonts w:eastAsiaTheme="minorEastAsia"/>
        </w:rPr>
        <w:t>)</w:t>
      </w:r>
      <w:r>
        <w:rPr>
          <w:rFonts w:eastAsiaTheme="minorEastAsia"/>
        </w:rPr>
        <w:t>, independentemente de se tratar de um painel curto ou longo, existem três técnicas de estimação mais adequadas:</w:t>
      </w:r>
    </w:p>
    <w:p w14:paraId="3FB27AF0" w14:textId="5EAD16F7" w:rsidR="00C96DD2" w:rsidRDefault="00C96DD2" w:rsidP="00C96DD2">
      <w:pPr>
        <w:pStyle w:val="PargrafodaLista"/>
        <w:numPr>
          <w:ilvl w:val="0"/>
          <w:numId w:val="13"/>
        </w:numPr>
        <w:spacing w:line="360" w:lineRule="auto"/>
        <w:jc w:val="both"/>
        <w:rPr>
          <w:rFonts w:eastAsiaTheme="minorEastAsia"/>
        </w:rPr>
      </w:pPr>
      <w:r>
        <w:rPr>
          <w:rFonts w:eastAsiaTheme="minorEastAsia"/>
        </w:rPr>
        <w:t>O modelo para dados empilhados (</w:t>
      </w:r>
      <w:r w:rsidRPr="00C96DD2">
        <w:rPr>
          <w:rFonts w:eastAsiaTheme="minorEastAsia"/>
          <w:i/>
          <w:iCs/>
        </w:rPr>
        <w:t>Pooled</w:t>
      </w:r>
      <w:r>
        <w:rPr>
          <w:rFonts w:eastAsiaTheme="minorEastAsia"/>
        </w:rPr>
        <w:t>);</w:t>
      </w:r>
    </w:p>
    <w:p w14:paraId="3156E1B7" w14:textId="73E46C1B" w:rsidR="00C96DD2" w:rsidRDefault="00C96DD2" w:rsidP="00C96DD2">
      <w:pPr>
        <w:pStyle w:val="PargrafodaLista"/>
        <w:numPr>
          <w:ilvl w:val="0"/>
          <w:numId w:val="13"/>
        </w:numPr>
        <w:spacing w:line="360" w:lineRule="auto"/>
        <w:jc w:val="both"/>
        <w:rPr>
          <w:rFonts w:eastAsiaTheme="minorEastAsia"/>
        </w:rPr>
      </w:pPr>
      <w:r>
        <w:rPr>
          <w:rFonts w:eastAsiaTheme="minorEastAsia"/>
        </w:rPr>
        <w:t>O modelo de efeitos fixos;</w:t>
      </w:r>
    </w:p>
    <w:p w14:paraId="0EE4D229" w14:textId="0F240820" w:rsidR="00793028" w:rsidRPr="00C2720F" w:rsidRDefault="00C96DD2" w:rsidP="00793028">
      <w:pPr>
        <w:pStyle w:val="PargrafodaLista"/>
        <w:numPr>
          <w:ilvl w:val="0"/>
          <w:numId w:val="13"/>
        </w:numPr>
        <w:spacing w:line="360" w:lineRule="auto"/>
        <w:jc w:val="both"/>
        <w:rPr>
          <w:rFonts w:eastAsiaTheme="minorEastAsia"/>
        </w:rPr>
      </w:pPr>
      <w:r>
        <w:rPr>
          <w:rFonts w:eastAsiaTheme="minorEastAsia"/>
        </w:rPr>
        <w:t>O modelo de efeitos aleatórios.</w:t>
      </w:r>
    </w:p>
    <w:p w14:paraId="75DF106C" w14:textId="65FD9347" w:rsidR="00201690" w:rsidRDefault="00F42C23" w:rsidP="000A3876">
      <w:pPr>
        <w:pStyle w:val="Ttulo2"/>
        <w:numPr>
          <w:ilvl w:val="3"/>
          <w:numId w:val="2"/>
        </w:numPr>
        <w:rPr>
          <w:rFonts w:eastAsiaTheme="minorEastAsia"/>
          <w:i/>
          <w:iCs/>
        </w:rPr>
      </w:pPr>
      <w:r>
        <w:rPr>
          <w:rFonts w:eastAsiaTheme="minorEastAsia"/>
        </w:rPr>
        <w:lastRenderedPageBreak/>
        <w:t xml:space="preserve"> </w:t>
      </w:r>
      <w:bookmarkStart w:id="124" w:name="_Toc66624213"/>
      <w:r>
        <w:rPr>
          <w:rFonts w:eastAsiaTheme="minorEastAsia"/>
        </w:rPr>
        <w:t xml:space="preserve">Modelo </w:t>
      </w:r>
      <w:r w:rsidR="00793028">
        <w:rPr>
          <w:rFonts w:eastAsiaTheme="minorEastAsia"/>
          <w:i/>
          <w:iCs/>
        </w:rPr>
        <w:t>Pooled</w:t>
      </w:r>
      <w:bookmarkEnd w:id="124"/>
    </w:p>
    <w:p w14:paraId="232391CA" w14:textId="77777777" w:rsidR="00793028" w:rsidRPr="00793028" w:rsidRDefault="00793028" w:rsidP="00793028"/>
    <w:p w14:paraId="2AF6740E" w14:textId="462322EC" w:rsidR="00201690" w:rsidRPr="00135B66" w:rsidRDefault="00201690" w:rsidP="00793028">
      <w:pPr>
        <w:spacing w:line="360" w:lineRule="auto"/>
        <w:jc w:val="both"/>
        <w:rPr>
          <w:rFonts w:eastAsiaTheme="minorEastAsia"/>
        </w:rPr>
      </w:pPr>
      <w:r w:rsidRPr="00135B66">
        <w:rPr>
          <w:rFonts w:eastAsiaTheme="minorEastAsia"/>
        </w:rPr>
        <w:t xml:space="preserve">O modelo </w:t>
      </w:r>
      <w:proofErr w:type="spellStart"/>
      <w:r w:rsidR="00457CE5">
        <w:rPr>
          <w:rFonts w:eastAsiaTheme="minorEastAsia"/>
          <w:i/>
          <w:iCs/>
        </w:rPr>
        <w:t>p</w:t>
      </w:r>
      <w:r w:rsidRPr="00C111E1">
        <w:rPr>
          <w:rFonts w:eastAsiaTheme="minorEastAsia"/>
          <w:i/>
          <w:iCs/>
        </w:rPr>
        <w:t>ooled</w:t>
      </w:r>
      <w:proofErr w:type="spellEnd"/>
      <w:r w:rsidRPr="00135B66">
        <w:rPr>
          <w:rFonts w:eastAsiaTheme="minorEastAsia"/>
        </w:rPr>
        <w:t xml:space="preserve"> é usado «sob a hipótese adjacente à abordagem de efeitos aleatórios, como se tratasse de uma amostra seccional com </w:t>
      </w:r>
      <w:proofErr w:type="spellStart"/>
      <w:r w:rsidRPr="00135B66">
        <w:rPr>
          <w:rFonts w:eastAsiaTheme="minorEastAsia"/>
        </w:rPr>
        <w:t>nT</w:t>
      </w:r>
      <w:proofErr w:type="spellEnd"/>
      <w:r w:rsidRPr="00135B66">
        <w:rPr>
          <w:rFonts w:eastAsiaTheme="minorEastAsia"/>
        </w:rPr>
        <w:t xml:space="preserve"> observações independentes» afirma Murteira e Castro (2018, p. 256)</w:t>
      </w:r>
      <w:r>
        <w:rPr>
          <w:rFonts w:eastAsiaTheme="minorEastAsia"/>
        </w:rPr>
        <w:t>.</w:t>
      </w:r>
      <w:r w:rsidR="00793028">
        <w:rPr>
          <w:rFonts w:eastAsiaTheme="minorEastAsia"/>
        </w:rPr>
        <w:t xml:space="preserve"> </w:t>
      </w:r>
      <w:r>
        <w:t xml:space="preserve">A estimação deste modelo é feita, segundo Menezes (2017) assumindo que os parâmetros </w:t>
      </w:r>
      <w:r>
        <w:rPr>
          <w:rFonts w:ascii="Courier New" w:hAnsi="Courier New" w:cs="Courier New"/>
        </w:rPr>
        <w:t>α</w:t>
      </w:r>
      <w:r>
        <w:t xml:space="preserve"> e </w:t>
      </w:r>
      <w:r>
        <w:rPr>
          <w:rFonts w:ascii="Courier New" w:hAnsi="Courier New" w:cs="Courier New"/>
        </w:rPr>
        <w:t xml:space="preserve">β </w:t>
      </w:r>
      <w:r w:rsidRPr="00135B66">
        <w:rPr>
          <w:rFonts w:eastAsiaTheme="minorEastAsia"/>
        </w:rPr>
        <w:t>são comuns para todos os indivíduos</w:t>
      </w:r>
      <w:r>
        <w:rPr>
          <w:rFonts w:eastAsiaTheme="minorEastAsia"/>
        </w:rPr>
        <w:t xml:space="preserve">. </w:t>
      </w:r>
    </w:p>
    <w:p w14:paraId="7629C2CB" w14:textId="60392E91" w:rsidR="00A2100C" w:rsidRDefault="00A2100C" w:rsidP="00A2100C">
      <w:pPr>
        <w:spacing w:line="360" w:lineRule="auto"/>
        <w:jc w:val="both"/>
        <w:rPr>
          <w:rFonts w:eastAsiaTheme="minorEastAsia"/>
        </w:rPr>
      </w:pPr>
      <w:r w:rsidRPr="00135B66">
        <w:rPr>
          <w:rFonts w:eastAsiaTheme="minorEastAsia"/>
        </w:rPr>
        <w:t xml:space="preserve">Neste modelo aplica-se o </w:t>
      </w:r>
      <w:r w:rsidR="00457CE5">
        <w:rPr>
          <w:rFonts w:eastAsiaTheme="minorEastAsia"/>
        </w:rPr>
        <w:t>t</w:t>
      </w:r>
      <w:r w:rsidRPr="00135B66">
        <w:rPr>
          <w:rFonts w:eastAsiaTheme="minorEastAsia"/>
        </w:rPr>
        <w:t xml:space="preserve">este </w:t>
      </w:r>
      <w:r w:rsidRPr="00F1016C">
        <w:rPr>
          <w:rFonts w:eastAsiaTheme="minorEastAsia"/>
          <w:i/>
          <w:iCs/>
        </w:rPr>
        <w:t>F</w:t>
      </w:r>
      <w:r w:rsidRPr="00135B66">
        <w:rPr>
          <w:rFonts w:eastAsiaTheme="minorEastAsia"/>
        </w:rPr>
        <w:t xml:space="preserve"> que avalia se o modelo mais adequado é o </w:t>
      </w:r>
      <w:r w:rsidR="00C111E1">
        <w:rPr>
          <w:rFonts w:eastAsiaTheme="minorEastAsia"/>
        </w:rPr>
        <w:t>m</w:t>
      </w:r>
      <w:r w:rsidRPr="00135B66">
        <w:rPr>
          <w:rFonts w:eastAsiaTheme="minorEastAsia"/>
        </w:rPr>
        <w:t xml:space="preserve">odelo </w:t>
      </w:r>
      <w:proofErr w:type="spellStart"/>
      <w:r w:rsidR="00457CE5">
        <w:rPr>
          <w:rFonts w:eastAsiaTheme="minorEastAsia"/>
          <w:i/>
          <w:iCs/>
        </w:rPr>
        <w:t>p</w:t>
      </w:r>
      <w:r w:rsidRPr="00C111E1">
        <w:rPr>
          <w:rFonts w:eastAsiaTheme="minorEastAsia"/>
          <w:i/>
          <w:iCs/>
        </w:rPr>
        <w:t>ooled</w:t>
      </w:r>
      <w:proofErr w:type="spellEnd"/>
      <w:r w:rsidRPr="00135B66">
        <w:rPr>
          <w:rFonts w:eastAsiaTheme="minorEastAsia"/>
        </w:rPr>
        <w:t xml:space="preserve"> ou o </w:t>
      </w:r>
      <w:r w:rsidR="00C111E1">
        <w:rPr>
          <w:rFonts w:eastAsiaTheme="minorEastAsia"/>
        </w:rPr>
        <w:t>m</w:t>
      </w:r>
      <w:r w:rsidRPr="00135B66">
        <w:rPr>
          <w:rFonts w:eastAsiaTheme="minorEastAsia"/>
        </w:rPr>
        <w:t xml:space="preserve">odelo </w:t>
      </w:r>
      <w:r w:rsidR="001A1AC2">
        <w:rPr>
          <w:rFonts w:eastAsiaTheme="minorEastAsia"/>
        </w:rPr>
        <w:t xml:space="preserve">de </w:t>
      </w:r>
      <w:r w:rsidR="00C111E1">
        <w:rPr>
          <w:rFonts w:eastAsiaTheme="minorEastAsia"/>
        </w:rPr>
        <w:t>e</w:t>
      </w:r>
      <w:r w:rsidRPr="00135B66">
        <w:rPr>
          <w:rFonts w:eastAsiaTheme="minorEastAsia"/>
        </w:rPr>
        <w:t xml:space="preserve">feitos </w:t>
      </w:r>
      <w:r w:rsidR="00C111E1">
        <w:rPr>
          <w:rFonts w:eastAsiaTheme="minorEastAsia"/>
        </w:rPr>
        <w:t>f</w:t>
      </w:r>
      <w:r w:rsidRPr="00135B66">
        <w:rPr>
          <w:rFonts w:eastAsiaTheme="minorEastAsia"/>
        </w:rPr>
        <w:t>ixos (Menezes, 2017). Segundo o mesmo autor, o teste F utiliza-se «para avaliar a hipótese nula de que todas as unidades seccionais possuem o mesmo intercepto».</w:t>
      </w:r>
    </w:p>
    <w:p w14:paraId="783CB9D5" w14:textId="4A8D7803" w:rsidR="00A2100C" w:rsidRDefault="00A2100C" w:rsidP="00A2100C">
      <w:pPr>
        <w:spacing w:line="360" w:lineRule="auto"/>
        <w:jc w:val="both"/>
        <w:rPr>
          <w:rFonts w:eastAsiaTheme="minorEastAsia"/>
        </w:rPr>
      </w:pPr>
      <w:r>
        <w:rPr>
          <w:rFonts w:eastAsiaTheme="minorEastAsia"/>
        </w:rPr>
        <w:t xml:space="preserve">Desta forma, considera-se que, pela </w:t>
      </w:r>
      <w:r w:rsidR="00C111E1">
        <w:rPr>
          <w:rFonts w:eastAsiaTheme="minorEastAsia"/>
        </w:rPr>
        <w:t>h</w:t>
      </w:r>
      <w:r w:rsidR="00135B66">
        <w:rPr>
          <w:rFonts w:eastAsiaTheme="minorEastAsia"/>
        </w:rPr>
        <w:t>ipótese</w:t>
      </w:r>
      <w:r>
        <w:rPr>
          <w:rFonts w:eastAsiaTheme="minorEastAsia"/>
        </w:rPr>
        <w:t xml:space="preserve"> nula (H</w:t>
      </w:r>
      <w:r w:rsidRPr="00E1729C">
        <w:rPr>
          <w:rFonts w:eastAsiaTheme="minorEastAsia"/>
          <w:vertAlign w:val="subscript"/>
        </w:rPr>
        <w:t>0</w:t>
      </w:r>
      <w:r>
        <w:rPr>
          <w:rFonts w:eastAsiaTheme="minorEastAsia"/>
        </w:rPr>
        <w:t xml:space="preserve">), o </w:t>
      </w:r>
      <w:r w:rsidR="00C111E1">
        <w:rPr>
          <w:rFonts w:eastAsiaTheme="minorEastAsia"/>
        </w:rPr>
        <w:t>m</w:t>
      </w:r>
      <w:r>
        <w:rPr>
          <w:rFonts w:eastAsiaTheme="minorEastAsia"/>
        </w:rPr>
        <w:t xml:space="preserve">odelo </w:t>
      </w:r>
      <w:proofErr w:type="spellStart"/>
      <w:r w:rsidR="00457CE5">
        <w:rPr>
          <w:rFonts w:eastAsiaTheme="minorEastAsia"/>
          <w:i/>
          <w:iCs/>
        </w:rPr>
        <w:t>p</w:t>
      </w:r>
      <w:r w:rsidRPr="00C111E1">
        <w:rPr>
          <w:rFonts w:eastAsiaTheme="minorEastAsia"/>
          <w:i/>
          <w:iCs/>
        </w:rPr>
        <w:t>ooled</w:t>
      </w:r>
      <w:proofErr w:type="spellEnd"/>
      <w:r>
        <w:rPr>
          <w:rFonts w:eastAsiaTheme="minorEastAsia"/>
        </w:rPr>
        <w:t xml:space="preserve"> é o mais adequado; e, como </w:t>
      </w:r>
      <w:r w:rsidR="00C111E1">
        <w:rPr>
          <w:rFonts w:eastAsiaTheme="minorEastAsia"/>
        </w:rPr>
        <w:t>h</w:t>
      </w:r>
      <w:r w:rsidR="00135B66">
        <w:rPr>
          <w:rFonts w:eastAsiaTheme="minorEastAsia"/>
        </w:rPr>
        <w:t>ipótese</w:t>
      </w:r>
      <w:r>
        <w:rPr>
          <w:rFonts w:eastAsiaTheme="minorEastAsia"/>
        </w:rPr>
        <w:t xml:space="preserve"> 1 (H</w:t>
      </w:r>
      <w:r w:rsidRPr="00E1729C">
        <w:rPr>
          <w:rFonts w:eastAsiaTheme="minorEastAsia"/>
          <w:vertAlign w:val="subscript"/>
        </w:rPr>
        <w:t>1</w:t>
      </w:r>
      <w:r>
        <w:rPr>
          <w:rFonts w:eastAsiaTheme="minorEastAsia"/>
        </w:rPr>
        <w:t xml:space="preserve">), o </w:t>
      </w:r>
      <w:r w:rsidR="00C111E1">
        <w:rPr>
          <w:rFonts w:eastAsiaTheme="minorEastAsia"/>
        </w:rPr>
        <w:t>m</w:t>
      </w:r>
      <w:r>
        <w:rPr>
          <w:rFonts w:eastAsiaTheme="minorEastAsia"/>
        </w:rPr>
        <w:t xml:space="preserve">odelo de </w:t>
      </w:r>
      <w:r w:rsidR="00C111E1">
        <w:rPr>
          <w:rFonts w:eastAsiaTheme="minorEastAsia"/>
        </w:rPr>
        <w:t>e</w:t>
      </w:r>
      <w:r>
        <w:rPr>
          <w:rFonts w:eastAsiaTheme="minorEastAsia"/>
        </w:rPr>
        <w:t xml:space="preserve">feitos </w:t>
      </w:r>
      <w:r w:rsidR="00C111E1">
        <w:rPr>
          <w:rFonts w:eastAsiaTheme="minorEastAsia"/>
        </w:rPr>
        <w:t>f</w:t>
      </w:r>
      <w:r>
        <w:rPr>
          <w:rFonts w:eastAsiaTheme="minorEastAsia"/>
        </w:rPr>
        <w:t>ixos é o mais adequado.</w:t>
      </w:r>
    </w:p>
    <w:p w14:paraId="198C8A54" w14:textId="1D3FCE24" w:rsidR="00A2100C" w:rsidRDefault="00A2100C" w:rsidP="00A2100C">
      <w:pPr>
        <w:spacing w:line="360" w:lineRule="auto"/>
        <w:jc w:val="both"/>
        <w:rPr>
          <w:rFonts w:eastAsiaTheme="minorEastAsia"/>
        </w:rPr>
      </w:pPr>
      <w:r>
        <w:rPr>
          <w:rFonts w:eastAsiaTheme="minorEastAsia"/>
        </w:rPr>
        <w:t xml:space="preserve">Caso o p-valor no </w:t>
      </w:r>
      <w:r w:rsidR="00C111E1">
        <w:rPr>
          <w:rFonts w:eastAsiaTheme="minorEastAsia"/>
        </w:rPr>
        <w:t>t</w:t>
      </w:r>
      <w:r>
        <w:rPr>
          <w:rFonts w:eastAsiaTheme="minorEastAsia"/>
        </w:rPr>
        <w:t xml:space="preserve">este </w:t>
      </w:r>
      <w:r w:rsidRPr="00F1016C">
        <w:rPr>
          <w:rFonts w:eastAsiaTheme="minorEastAsia"/>
          <w:i/>
          <w:iCs/>
        </w:rPr>
        <w:t>F</w:t>
      </w:r>
      <w:r>
        <w:rPr>
          <w:rFonts w:eastAsiaTheme="minorEastAsia"/>
        </w:rPr>
        <w:t xml:space="preserve"> seja inferior a 0,05</w:t>
      </w:r>
      <w:r w:rsidR="00135B66">
        <w:rPr>
          <w:rFonts w:eastAsiaTheme="minorEastAsia"/>
        </w:rPr>
        <w:t xml:space="preserve"> considera-se o </w:t>
      </w:r>
      <w:r w:rsidR="00C111E1">
        <w:rPr>
          <w:rFonts w:eastAsiaTheme="minorEastAsia"/>
        </w:rPr>
        <w:t>m</w:t>
      </w:r>
      <w:r w:rsidR="00135B66">
        <w:rPr>
          <w:rFonts w:eastAsiaTheme="minorEastAsia"/>
        </w:rPr>
        <w:t xml:space="preserve">odelo de </w:t>
      </w:r>
      <w:r w:rsidR="00C111E1">
        <w:rPr>
          <w:rFonts w:eastAsiaTheme="minorEastAsia"/>
        </w:rPr>
        <w:t>e</w:t>
      </w:r>
      <w:r w:rsidR="00135B66">
        <w:rPr>
          <w:rFonts w:eastAsiaTheme="minorEastAsia"/>
        </w:rPr>
        <w:t xml:space="preserve">feitos </w:t>
      </w:r>
      <w:r w:rsidR="00C111E1">
        <w:rPr>
          <w:rFonts w:eastAsiaTheme="minorEastAsia"/>
        </w:rPr>
        <w:t>f</w:t>
      </w:r>
      <w:r w:rsidR="00135B66">
        <w:rPr>
          <w:rFonts w:eastAsiaTheme="minorEastAsia"/>
        </w:rPr>
        <w:t xml:space="preserve">ixos mais adequado, rejeitando a </w:t>
      </w:r>
      <w:r w:rsidR="00C111E1">
        <w:rPr>
          <w:rFonts w:eastAsiaTheme="minorEastAsia"/>
        </w:rPr>
        <w:t>H</w:t>
      </w:r>
      <w:r w:rsidR="00C111E1" w:rsidRPr="00E1729C">
        <w:rPr>
          <w:rFonts w:eastAsiaTheme="minorEastAsia"/>
          <w:vertAlign w:val="subscript"/>
        </w:rPr>
        <w:t>0</w:t>
      </w:r>
      <w:r w:rsidR="00C111E1">
        <w:rPr>
          <w:rFonts w:eastAsiaTheme="minorEastAsia"/>
        </w:rPr>
        <w:t xml:space="preserve"> </w:t>
      </w:r>
      <w:r w:rsidR="00135B66">
        <w:rPr>
          <w:rFonts w:eastAsiaTheme="minorEastAsia"/>
        </w:rPr>
        <w:t>(Menezes, 2017)</w:t>
      </w:r>
      <w:r w:rsidR="001A1AC2">
        <w:rPr>
          <w:rFonts w:eastAsiaTheme="minorEastAsia"/>
        </w:rPr>
        <w:t>.</w:t>
      </w:r>
    </w:p>
    <w:p w14:paraId="45AB4FF4" w14:textId="7381A129" w:rsidR="00135B66" w:rsidRPr="00175FA8" w:rsidRDefault="00135B66" w:rsidP="00175FA8">
      <w:pPr>
        <w:pStyle w:val="Ttulo2"/>
        <w:numPr>
          <w:ilvl w:val="3"/>
          <w:numId w:val="2"/>
        </w:numPr>
        <w:spacing w:line="360" w:lineRule="auto"/>
        <w:rPr>
          <w:rFonts w:eastAsiaTheme="minorEastAsia"/>
        </w:rPr>
      </w:pPr>
      <w:bookmarkStart w:id="125" w:name="_Toc66624214"/>
      <w:r w:rsidRPr="00135B66">
        <w:rPr>
          <w:rFonts w:eastAsiaTheme="minorEastAsia"/>
        </w:rPr>
        <w:t xml:space="preserve">Modelo de </w:t>
      </w:r>
      <w:r w:rsidR="000A0E57">
        <w:rPr>
          <w:rFonts w:eastAsiaTheme="minorEastAsia"/>
        </w:rPr>
        <w:t>e</w:t>
      </w:r>
      <w:r w:rsidRPr="00135B66">
        <w:rPr>
          <w:rFonts w:eastAsiaTheme="minorEastAsia"/>
        </w:rPr>
        <w:t xml:space="preserve">feitos </w:t>
      </w:r>
      <w:r w:rsidR="000A0E57">
        <w:rPr>
          <w:rFonts w:eastAsiaTheme="minorEastAsia"/>
        </w:rPr>
        <w:t>f</w:t>
      </w:r>
      <w:r w:rsidRPr="00135B66">
        <w:rPr>
          <w:rFonts w:eastAsiaTheme="minorEastAsia"/>
        </w:rPr>
        <w:t xml:space="preserve">ixos </w:t>
      </w:r>
      <w:r w:rsidRPr="000A0E57">
        <w:rPr>
          <w:rFonts w:eastAsiaTheme="minorEastAsia"/>
          <w:i/>
          <w:iCs/>
        </w:rPr>
        <w:t>versus</w:t>
      </w:r>
      <w:r w:rsidRPr="00175FA8">
        <w:rPr>
          <w:rFonts w:eastAsiaTheme="minorEastAsia"/>
        </w:rPr>
        <w:t xml:space="preserve"> </w:t>
      </w:r>
      <w:r w:rsidR="000A0E57">
        <w:rPr>
          <w:rFonts w:eastAsiaTheme="minorEastAsia"/>
        </w:rPr>
        <w:t>m</w:t>
      </w:r>
      <w:r w:rsidRPr="00135B66">
        <w:rPr>
          <w:rFonts w:eastAsiaTheme="minorEastAsia"/>
        </w:rPr>
        <w:t xml:space="preserve">odelo de </w:t>
      </w:r>
      <w:r w:rsidR="000A0E57">
        <w:rPr>
          <w:rFonts w:eastAsiaTheme="minorEastAsia"/>
        </w:rPr>
        <w:t>e</w:t>
      </w:r>
      <w:r w:rsidRPr="00135B66">
        <w:rPr>
          <w:rFonts w:eastAsiaTheme="minorEastAsia"/>
        </w:rPr>
        <w:t xml:space="preserve">feitos </w:t>
      </w:r>
      <w:r w:rsidR="000A0E57">
        <w:rPr>
          <w:rFonts w:eastAsiaTheme="minorEastAsia"/>
        </w:rPr>
        <w:t>a</w:t>
      </w:r>
      <w:r w:rsidRPr="00135B66">
        <w:rPr>
          <w:rFonts w:eastAsiaTheme="minorEastAsia"/>
        </w:rPr>
        <w:t>leatórios</w:t>
      </w:r>
      <w:bookmarkEnd w:id="125"/>
      <w:r w:rsidRPr="00135B66">
        <w:rPr>
          <w:rFonts w:eastAsiaTheme="minorEastAsia"/>
        </w:rPr>
        <w:t xml:space="preserve"> </w:t>
      </w:r>
    </w:p>
    <w:p w14:paraId="53587F20" w14:textId="1B151693" w:rsidR="00135B66" w:rsidRPr="00175FA8" w:rsidRDefault="00135B66" w:rsidP="00175FA8">
      <w:pPr>
        <w:spacing w:line="360" w:lineRule="auto"/>
        <w:jc w:val="both"/>
        <w:rPr>
          <w:rFonts w:eastAsiaTheme="minorEastAsia"/>
        </w:rPr>
      </w:pPr>
      <w:r w:rsidRPr="00175FA8">
        <w:rPr>
          <w:rFonts w:eastAsiaTheme="minorEastAsia"/>
        </w:rPr>
        <w:t xml:space="preserve">Segundo Menezes (2017), o </w:t>
      </w:r>
      <w:r w:rsidR="00C90AC5">
        <w:rPr>
          <w:rFonts w:eastAsiaTheme="minorEastAsia"/>
        </w:rPr>
        <w:t>m</w:t>
      </w:r>
      <w:r w:rsidRPr="00175FA8">
        <w:rPr>
          <w:rFonts w:eastAsiaTheme="minorEastAsia"/>
        </w:rPr>
        <w:t xml:space="preserve">odelo de </w:t>
      </w:r>
      <w:r w:rsidR="00C90AC5">
        <w:rPr>
          <w:rFonts w:eastAsiaTheme="minorEastAsia"/>
        </w:rPr>
        <w:t>e</w:t>
      </w:r>
      <w:r w:rsidRPr="00175FA8">
        <w:rPr>
          <w:rFonts w:eastAsiaTheme="minorEastAsia"/>
        </w:rPr>
        <w:t xml:space="preserve">feitos </w:t>
      </w:r>
      <w:r w:rsidR="00C90AC5">
        <w:rPr>
          <w:rFonts w:eastAsiaTheme="minorEastAsia"/>
        </w:rPr>
        <w:t>f</w:t>
      </w:r>
      <w:r w:rsidRPr="00175FA8">
        <w:rPr>
          <w:rFonts w:eastAsiaTheme="minorEastAsia"/>
        </w:rPr>
        <w:t xml:space="preserve">ixos é estimado «assumindo que a heterogeneidade dos indivíduos se capta na </w:t>
      </w:r>
      <w:r w:rsidR="00175FA8" w:rsidRPr="00175FA8">
        <w:rPr>
          <w:rFonts w:eastAsiaTheme="minorEastAsia"/>
        </w:rPr>
        <w:t>parte</w:t>
      </w:r>
      <w:r w:rsidRPr="00175FA8">
        <w:rPr>
          <w:rFonts w:eastAsiaTheme="minorEastAsia"/>
        </w:rPr>
        <w:t xml:space="preserve"> constante, que é diferente de individuo para individuo, ou seja, a parte constante é diferente para cada </w:t>
      </w:r>
      <w:r w:rsidR="00175FA8" w:rsidRPr="00175FA8">
        <w:rPr>
          <w:rFonts w:eastAsiaTheme="minorEastAsia"/>
        </w:rPr>
        <w:t>indivíduo</w:t>
      </w:r>
      <w:r w:rsidRPr="00175FA8">
        <w:rPr>
          <w:rFonts w:eastAsiaTheme="minorEastAsia"/>
          <w:b/>
          <w:bCs/>
        </w:rPr>
        <w:t xml:space="preserve">, </w:t>
      </w:r>
      <w:r w:rsidRPr="00175FA8">
        <w:rPr>
          <w:rFonts w:eastAsiaTheme="minorEastAsia"/>
        </w:rPr>
        <w:t xml:space="preserve">captando diferenças invariantes no tempo».  </w:t>
      </w:r>
    </w:p>
    <w:p w14:paraId="4E843E5F" w14:textId="58EC84DB" w:rsidR="00175FA8" w:rsidRDefault="00175FA8" w:rsidP="00175FA8">
      <w:pPr>
        <w:spacing w:line="360" w:lineRule="auto"/>
        <w:jc w:val="both"/>
        <w:rPr>
          <w:rFonts w:eastAsiaTheme="minorEastAsia"/>
        </w:rPr>
      </w:pPr>
      <w:r>
        <w:rPr>
          <w:rFonts w:eastAsiaTheme="minorEastAsia"/>
        </w:rPr>
        <w:t xml:space="preserve">Por sua vez, e segundo o mesmo autor, a estimação do </w:t>
      </w:r>
      <w:r w:rsidR="00F27A74">
        <w:rPr>
          <w:rFonts w:eastAsiaTheme="minorEastAsia"/>
        </w:rPr>
        <w:t>m</w:t>
      </w:r>
      <w:r>
        <w:rPr>
          <w:rFonts w:eastAsiaTheme="minorEastAsia"/>
        </w:rPr>
        <w:t xml:space="preserve">odelo dos </w:t>
      </w:r>
      <w:r w:rsidR="00F27A74">
        <w:rPr>
          <w:rFonts w:eastAsiaTheme="minorEastAsia"/>
        </w:rPr>
        <w:t>e</w:t>
      </w:r>
      <w:r>
        <w:rPr>
          <w:rFonts w:eastAsiaTheme="minorEastAsia"/>
        </w:rPr>
        <w:t xml:space="preserve">feitos </w:t>
      </w:r>
      <w:r w:rsidR="00F27A74">
        <w:rPr>
          <w:rFonts w:eastAsiaTheme="minorEastAsia"/>
        </w:rPr>
        <w:t>a</w:t>
      </w:r>
      <w:r>
        <w:rPr>
          <w:rFonts w:eastAsiaTheme="minorEastAsia"/>
        </w:rPr>
        <w:t>leatórios é feita através da introdução da heterogeneidade dos indivíduos no termo de erro. Neste modelo considera-se a constante como um parâmetro aleatório não observável, ao invés de um parâmetro fixo (Menezes, 2017).</w:t>
      </w:r>
    </w:p>
    <w:p w14:paraId="61C57160" w14:textId="33D3F599" w:rsidR="00175FA8" w:rsidRDefault="00175FA8" w:rsidP="00175FA8">
      <w:pPr>
        <w:spacing w:line="360" w:lineRule="auto"/>
        <w:jc w:val="both"/>
        <w:rPr>
          <w:rFonts w:eastAsiaTheme="minorEastAsia"/>
        </w:rPr>
      </w:pPr>
      <w:r>
        <w:rPr>
          <w:rFonts w:eastAsiaTheme="minorEastAsia"/>
        </w:rPr>
        <w:t xml:space="preserve">Por forma a comparar os resultados do efeito fixo e do efeito aleatório usa-se o </w:t>
      </w:r>
      <w:r w:rsidR="00F27A74">
        <w:rPr>
          <w:rFonts w:eastAsiaTheme="minorEastAsia"/>
        </w:rPr>
        <w:t>t</w:t>
      </w:r>
      <w:r>
        <w:rPr>
          <w:rFonts w:eastAsiaTheme="minorEastAsia"/>
        </w:rPr>
        <w:t xml:space="preserve">este de </w:t>
      </w:r>
      <w:proofErr w:type="spellStart"/>
      <w:r w:rsidRPr="00457CE5">
        <w:rPr>
          <w:rFonts w:eastAsiaTheme="minorEastAsia"/>
          <w:i/>
          <w:iCs/>
        </w:rPr>
        <w:t>Hausman</w:t>
      </w:r>
      <w:proofErr w:type="spellEnd"/>
      <w:r>
        <w:rPr>
          <w:rFonts w:eastAsiaTheme="minorEastAsia"/>
        </w:rPr>
        <w:t xml:space="preserve"> (Gujarati e </w:t>
      </w:r>
      <w:proofErr w:type="spellStart"/>
      <w:r>
        <w:rPr>
          <w:rFonts w:eastAsiaTheme="minorEastAsia"/>
        </w:rPr>
        <w:t>Porter</w:t>
      </w:r>
      <w:proofErr w:type="spellEnd"/>
      <w:r>
        <w:rPr>
          <w:rFonts w:eastAsiaTheme="minorEastAsia"/>
        </w:rPr>
        <w:t>, 2011). Através deste teste, percebe-se se existiram diferença</w:t>
      </w:r>
      <w:r w:rsidR="001A1AC2">
        <w:rPr>
          <w:rFonts w:eastAsiaTheme="minorEastAsia"/>
        </w:rPr>
        <w:t>s</w:t>
      </w:r>
      <w:r>
        <w:rPr>
          <w:rFonts w:eastAsiaTheme="minorEastAsia"/>
        </w:rPr>
        <w:t xml:space="preserve"> substanciais entre estes dois modelos, concluindo qual o mais apropriado. </w:t>
      </w:r>
    </w:p>
    <w:p w14:paraId="4CCC42CB" w14:textId="5B1C7573" w:rsidR="00175FA8" w:rsidRDefault="00175FA8" w:rsidP="00175FA8">
      <w:pPr>
        <w:spacing w:line="360" w:lineRule="auto"/>
        <w:jc w:val="both"/>
        <w:rPr>
          <w:rFonts w:eastAsiaTheme="minorEastAsia"/>
        </w:rPr>
      </w:pPr>
      <w:r>
        <w:rPr>
          <w:rFonts w:eastAsiaTheme="minorEastAsia"/>
        </w:rPr>
        <w:t xml:space="preserve">Neste teste considera-se na </w:t>
      </w:r>
      <w:r w:rsidR="00F27A74">
        <w:rPr>
          <w:rFonts w:eastAsiaTheme="minorEastAsia"/>
        </w:rPr>
        <w:t>h</w:t>
      </w:r>
      <w:r>
        <w:rPr>
          <w:rFonts w:eastAsiaTheme="minorEastAsia"/>
        </w:rPr>
        <w:t>ipótese nula (H</w:t>
      </w:r>
      <w:r w:rsidRPr="009B098D">
        <w:rPr>
          <w:rFonts w:eastAsiaTheme="minorEastAsia"/>
          <w:vertAlign w:val="subscript"/>
        </w:rPr>
        <w:t>0</w:t>
      </w:r>
      <w:r>
        <w:rPr>
          <w:rFonts w:eastAsiaTheme="minorEastAsia"/>
        </w:rPr>
        <w:t>)</w:t>
      </w:r>
      <w:r w:rsidR="003F27DE">
        <w:rPr>
          <w:rFonts w:eastAsiaTheme="minorEastAsia"/>
        </w:rPr>
        <w:t xml:space="preserve"> que o </w:t>
      </w:r>
      <w:r w:rsidR="00F27A74">
        <w:rPr>
          <w:rFonts w:eastAsiaTheme="minorEastAsia"/>
        </w:rPr>
        <w:t>m</w:t>
      </w:r>
      <w:r w:rsidR="003F27DE">
        <w:rPr>
          <w:rFonts w:eastAsiaTheme="minorEastAsia"/>
        </w:rPr>
        <w:t xml:space="preserve">odelo de </w:t>
      </w:r>
      <w:r w:rsidR="00F27A74">
        <w:rPr>
          <w:rFonts w:eastAsiaTheme="minorEastAsia"/>
        </w:rPr>
        <w:t>e</w:t>
      </w:r>
      <w:r w:rsidR="003F27DE">
        <w:rPr>
          <w:rFonts w:eastAsiaTheme="minorEastAsia"/>
        </w:rPr>
        <w:t xml:space="preserve">feitos </w:t>
      </w:r>
      <w:r w:rsidR="00F27A74">
        <w:rPr>
          <w:rFonts w:eastAsiaTheme="minorEastAsia"/>
        </w:rPr>
        <w:t>a</w:t>
      </w:r>
      <w:r w:rsidR="003F27DE">
        <w:rPr>
          <w:rFonts w:eastAsiaTheme="minorEastAsia"/>
        </w:rPr>
        <w:t xml:space="preserve">leatórios é o mais apropriado e na </w:t>
      </w:r>
      <w:r w:rsidR="00457CE5">
        <w:rPr>
          <w:rFonts w:eastAsiaTheme="minorEastAsia"/>
        </w:rPr>
        <w:t>h</w:t>
      </w:r>
      <w:r w:rsidR="003F27DE">
        <w:rPr>
          <w:rFonts w:eastAsiaTheme="minorEastAsia"/>
        </w:rPr>
        <w:t>ipótese 1 (H</w:t>
      </w:r>
      <w:r w:rsidR="003F27DE" w:rsidRPr="009B098D">
        <w:rPr>
          <w:rFonts w:eastAsiaTheme="minorEastAsia"/>
          <w:vertAlign w:val="subscript"/>
        </w:rPr>
        <w:t>1</w:t>
      </w:r>
      <w:r w:rsidR="003F27DE">
        <w:rPr>
          <w:rFonts w:eastAsiaTheme="minorEastAsia"/>
        </w:rPr>
        <w:t xml:space="preserve">) o inverso, ou seja, o </w:t>
      </w:r>
      <w:r w:rsidR="00457CE5">
        <w:rPr>
          <w:rFonts w:eastAsiaTheme="minorEastAsia"/>
        </w:rPr>
        <w:t>m</w:t>
      </w:r>
      <w:r w:rsidR="003F27DE">
        <w:rPr>
          <w:rFonts w:eastAsiaTheme="minorEastAsia"/>
        </w:rPr>
        <w:t xml:space="preserve">odelo de </w:t>
      </w:r>
      <w:r w:rsidR="00457CE5">
        <w:rPr>
          <w:rFonts w:eastAsiaTheme="minorEastAsia"/>
        </w:rPr>
        <w:t>e</w:t>
      </w:r>
      <w:r w:rsidR="003F27DE">
        <w:rPr>
          <w:rFonts w:eastAsiaTheme="minorEastAsia"/>
        </w:rPr>
        <w:t xml:space="preserve">feitos </w:t>
      </w:r>
      <w:r w:rsidR="00457CE5">
        <w:rPr>
          <w:rFonts w:eastAsiaTheme="minorEastAsia"/>
        </w:rPr>
        <w:t>f</w:t>
      </w:r>
      <w:r w:rsidR="003F27DE">
        <w:rPr>
          <w:rFonts w:eastAsiaTheme="minorEastAsia"/>
        </w:rPr>
        <w:t xml:space="preserve">ixos é o mais adequado. </w:t>
      </w:r>
      <w:r w:rsidR="003F27DE">
        <w:rPr>
          <w:rFonts w:eastAsiaTheme="minorEastAsia"/>
        </w:rPr>
        <w:lastRenderedPageBreak/>
        <w:t xml:space="preserve">Se </w:t>
      </w:r>
      <w:r w:rsidR="0095701C">
        <w:rPr>
          <w:rFonts w:eastAsiaTheme="minorEastAsia"/>
        </w:rPr>
        <w:t xml:space="preserve">o valor </w:t>
      </w:r>
      <w:r w:rsidR="0095701C" w:rsidRPr="0095701C">
        <w:rPr>
          <w:rFonts w:eastAsiaTheme="minorEastAsia"/>
          <w:i/>
          <w:iCs/>
        </w:rPr>
        <w:t>p-</w:t>
      </w:r>
      <w:proofErr w:type="spellStart"/>
      <w:r w:rsidR="0095701C" w:rsidRPr="0095701C">
        <w:rPr>
          <w:rFonts w:eastAsiaTheme="minorEastAsia"/>
          <w:i/>
          <w:iCs/>
        </w:rPr>
        <w:t>value</w:t>
      </w:r>
      <w:proofErr w:type="spellEnd"/>
      <w:r w:rsidR="003F27DE">
        <w:rPr>
          <w:rFonts w:eastAsiaTheme="minorEastAsia"/>
        </w:rPr>
        <w:t xml:space="preserve"> for inferior a 0,05 considera-se o </w:t>
      </w:r>
      <w:r w:rsidR="00457CE5">
        <w:rPr>
          <w:rFonts w:eastAsiaTheme="minorEastAsia"/>
        </w:rPr>
        <w:t>m</w:t>
      </w:r>
      <w:r w:rsidR="003F27DE">
        <w:rPr>
          <w:rFonts w:eastAsiaTheme="minorEastAsia"/>
        </w:rPr>
        <w:t xml:space="preserve">odelo de </w:t>
      </w:r>
      <w:r w:rsidR="00457CE5">
        <w:rPr>
          <w:rFonts w:eastAsiaTheme="minorEastAsia"/>
        </w:rPr>
        <w:t>e</w:t>
      </w:r>
      <w:r w:rsidR="003F27DE">
        <w:rPr>
          <w:rFonts w:eastAsiaTheme="minorEastAsia"/>
        </w:rPr>
        <w:t xml:space="preserve">feitos </w:t>
      </w:r>
      <w:r w:rsidR="00457CE5">
        <w:rPr>
          <w:rFonts w:eastAsiaTheme="minorEastAsia"/>
        </w:rPr>
        <w:t>a</w:t>
      </w:r>
      <w:r w:rsidR="003F27DE">
        <w:rPr>
          <w:rFonts w:eastAsiaTheme="minorEastAsia"/>
        </w:rPr>
        <w:t>leatórios menos apropriado, validando a H</w:t>
      </w:r>
      <w:r w:rsidR="003F27DE" w:rsidRPr="009B098D">
        <w:rPr>
          <w:rFonts w:eastAsiaTheme="minorEastAsia"/>
          <w:vertAlign w:val="subscript"/>
        </w:rPr>
        <w:t>1</w:t>
      </w:r>
      <w:r w:rsidR="003F27DE">
        <w:rPr>
          <w:rFonts w:eastAsiaTheme="minorEastAsia"/>
        </w:rPr>
        <w:t>.</w:t>
      </w:r>
    </w:p>
    <w:p w14:paraId="099EB6E6" w14:textId="208A3FC3" w:rsidR="001B55D8" w:rsidRDefault="0050634C" w:rsidP="006907B9">
      <w:pPr>
        <w:spacing w:line="360" w:lineRule="auto"/>
        <w:jc w:val="both"/>
        <w:rPr>
          <w:rFonts w:eastAsiaTheme="minorEastAsia"/>
        </w:rPr>
      </w:pPr>
      <w:r>
        <w:rPr>
          <w:rFonts w:eastAsiaTheme="minorEastAsia"/>
        </w:rPr>
        <w:t>O</w:t>
      </w:r>
      <w:r w:rsidR="001B55D8">
        <w:rPr>
          <w:rFonts w:eastAsiaTheme="minorEastAsia"/>
        </w:rPr>
        <w:t>s resultado</w:t>
      </w:r>
      <w:r w:rsidR="006907B9">
        <w:rPr>
          <w:rFonts w:eastAsiaTheme="minorEastAsia"/>
        </w:rPr>
        <w:t>s</w:t>
      </w:r>
      <w:r w:rsidR="001B55D8">
        <w:rPr>
          <w:rFonts w:eastAsiaTheme="minorEastAsia"/>
        </w:rPr>
        <w:t xml:space="preserve">, </w:t>
      </w:r>
      <w:r w:rsidR="006907B9">
        <w:rPr>
          <w:rFonts w:eastAsiaTheme="minorEastAsia"/>
        </w:rPr>
        <w:t xml:space="preserve">relativos ao </w:t>
      </w:r>
      <w:r w:rsidR="00457CE5">
        <w:rPr>
          <w:rFonts w:eastAsiaTheme="minorEastAsia"/>
        </w:rPr>
        <w:t>m</w:t>
      </w:r>
      <w:r w:rsidR="006907B9">
        <w:rPr>
          <w:rFonts w:eastAsiaTheme="minorEastAsia"/>
        </w:rPr>
        <w:t xml:space="preserve">odelo de </w:t>
      </w:r>
      <w:r w:rsidR="00457CE5">
        <w:rPr>
          <w:rFonts w:eastAsiaTheme="minorEastAsia"/>
        </w:rPr>
        <w:t>r</w:t>
      </w:r>
      <w:r w:rsidR="006907B9">
        <w:rPr>
          <w:rFonts w:eastAsiaTheme="minorEastAsia"/>
        </w:rPr>
        <w:t xml:space="preserve">egressão </w:t>
      </w:r>
      <w:r w:rsidR="00457CE5">
        <w:rPr>
          <w:rFonts w:eastAsiaTheme="minorEastAsia"/>
        </w:rPr>
        <w:t>l</w:t>
      </w:r>
      <w:r w:rsidR="006907B9">
        <w:rPr>
          <w:rFonts w:eastAsiaTheme="minorEastAsia"/>
        </w:rPr>
        <w:t xml:space="preserve">inear </w:t>
      </w:r>
      <w:r w:rsidR="00457CE5">
        <w:rPr>
          <w:rFonts w:eastAsiaTheme="minorEastAsia"/>
        </w:rPr>
        <w:t>m</w:t>
      </w:r>
      <w:r w:rsidR="006907B9">
        <w:rPr>
          <w:rFonts w:eastAsiaTheme="minorEastAsia"/>
        </w:rPr>
        <w:t xml:space="preserve">últipla com </w:t>
      </w:r>
      <w:r w:rsidR="00457CE5">
        <w:rPr>
          <w:rFonts w:eastAsiaTheme="minorEastAsia"/>
        </w:rPr>
        <w:t>d</w:t>
      </w:r>
      <w:r w:rsidR="006907B9">
        <w:rPr>
          <w:rFonts w:eastAsiaTheme="minorEastAsia"/>
        </w:rPr>
        <w:t xml:space="preserve">ados em </w:t>
      </w:r>
      <w:r w:rsidR="00457CE5">
        <w:rPr>
          <w:rFonts w:eastAsiaTheme="minorEastAsia"/>
        </w:rPr>
        <w:t>p</w:t>
      </w:r>
      <w:r w:rsidR="006907B9">
        <w:rPr>
          <w:rFonts w:eastAsiaTheme="minorEastAsia"/>
        </w:rPr>
        <w:t xml:space="preserve">ainel, bem como, os respetivos testes estatísticos para aferir qual a técnica de estimação a utilizar, foram </w:t>
      </w:r>
      <w:r w:rsidR="001B55D8">
        <w:rPr>
          <w:rFonts w:eastAsiaTheme="minorEastAsia"/>
        </w:rPr>
        <w:t xml:space="preserve">apurados com recurso ao </w:t>
      </w:r>
      <w:r w:rsidR="001B55D8" w:rsidRPr="001B55D8">
        <w:rPr>
          <w:rFonts w:eastAsiaTheme="minorEastAsia"/>
          <w:i/>
          <w:iCs/>
        </w:rPr>
        <w:t xml:space="preserve">Software </w:t>
      </w:r>
      <w:proofErr w:type="spellStart"/>
      <w:r w:rsidR="001B55D8" w:rsidRPr="001B55D8">
        <w:rPr>
          <w:rFonts w:eastAsiaTheme="minorEastAsia"/>
          <w:i/>
          <w:iCs/>
        </w:rPr>
        <w:t>Eviews</w:t>
      </w:r>
      <w:proofErr w:type="spellEnd"/>
      <w:r w:rsidR="001B55D8">
        <w:rPr>
          <w:rFonts w:eastAsiaTheme="minorEastAsia"/>
        </w:rPr>
        <w:t xml:space="preserve"> 11</w:t>
      </w:r>
      <w:r w:rsidR="0095701C">
        <w:rPr>
          <w:rFonts w:eastAsiaTheme="minorEastAsia"/>
        </w:rPr>
        <w:t xml:space="preserve">. </w:t>
      </w:r>
      <w:r w:rsidR="0095701C" w:rsidRPr="0095701C">
        <w:rPr>
          <w:rFonts w:eastAsiaTheme="minorEastAsia"/>
        </w:rPr>
        <w:t>O valor de significância estatística (“</w:t>
      </w:r>
      <w:proofErr w:type="spellStart"/>
      <w:r w:rsidR="0095701C">
        <w:rPr>
          <w:rFonts w:eastAsiaTheme="minorEastAsia"/>
        </w:rPr>
        <w:t>S</w:t>
      </w:r>
      <w:r w:rsidR="0095701C" w:rsidRPr="0095701C">
        <w:rPr>
          <w:rFonts w:eastAsiaTheme="minorEastAsia"/>
        </w:rPr>
        <w:t>ig</w:t>
      </w:r>
      <w:proofErr w:type="spellEnd"/>
      <w:r w:rsidR="0095701C" w:rsidRPr="0095701C">
        <w:rPr>
          <w:rFonts w:eastAsiaTheme="minorEastAsia"/>
        </w:rPr>
        <w:t>.”)</w:t>
      </w:r>
      <w:r w:rsidR="0095701C">
        <w:rPr>
          <w:rFonts w:eastAsiaTheme="minorEastAsia"/>
        </w:rPr>
        <w:t>, na análise anteriormente feita através</w:t>
      </w:r>
      <w:r w:rsidR="0095701C" w:rsidRPr="0095701C">
        <w:rPr>
          <w:rFonts w:eastAsiaTheme="minorEastAsia"/>
        </w:rPr>
        <w:t xml:space="preserve"> </w:t>
      </w:r>
      <w:r w:rsidR="0095701C">
        <w:rPr>
          <w:rFonts w:eastAsiaTheme="minorEastAsia"/>
        </w:rPr>
        <w:t>d</w:t>
      </w:r>
      <w:r w:rsidR="0095701C" w:rsidRPr="0095701C">
        <w:rPr>
          <w:rFonts w:eastAsiaTheme="minorEastAsia"/>
        </w:rPr>
        <w:t>o SPSS</w:t>
      </w:r>
      <w:r w:rsidR="0095701C">
        <w:rPr>
          <w:rFonts w:eastAsiaTheme="minorEastAsia"/>
        </w:rPr>
        <w:t>,</w:t>
      </w:r>
      <w:r w:rsidR="0095701C" w:rsidRPr="0095701C">
        <w:rPr>
          <w:rFonts w:eastAsiaTheme="minorEastAsia"/>
        </w:rPr>
        <w:t xml:space="preserve"> é aqui conhecido como “</w:t>
      </w:r>
      <w:r w:rsidR="0095701C" w:rsidRPr="00793028">
        <w:rPr>
          <w:rFonts w:eastAsiaTheme="minorEastAsia"/>
          <w:i/>
          <w:iCs/>
        </w:rPr>
        <w:t>p-</w:t>
      </w:r>
      <w:proofErr w:type="spellStart"/>
      <w:r w:rsidR="0095701C" w:rsidRPr="00793028">
        <w:rPr>
          <w:rFonts w:eastAsiaTheme="minorEastAsia"/>
          <w:i/>
          <w:iCs/>
        </w:rPr>
        <w:t>value</w:t>
      </w:r>
      <w:proofErr w:type="spellEnd"/>
      <w:r w:rsidR="0095701C" w:rsidRPr="0095701C">
        <w:rPr>
          <w:rFonts w:eastAsiaTheme="minorEastAsia"/>
        </w:rPr>
        <w:t>”</w:t>
      </w:r>
      <w:r w:rsidR="00BD43A4">
        <w:rPr>
          <w:rFonts w:eastAsiaTheme="minorEastAsia"/>
        </w:rPr>
        <w:t>.</w:t>
      </w:r>
    </w:p>
    <w:p w14:paraId="39B57917" w14:textId="72BCCD24" w:rsidR="00BC7CF8" w:rsidRPr="00FA27A6" w:rsidRDefault="00BC7CF8" w:rsidP="001B55D8">
      <w:pPr>
        <w:spacing w:line="360" w:lineRule="auto"/>
        <w:jc w:val="both"/>
        <w:rPr>
          <w:rFonts w:eastAsiaTheme="minorEastAsia"/>
          <w:i/>
          <w:iCs/>
        </w:rPr>
      </w:pPr>
      <w:r>
        <w:rPr>
          <w:rFonts w:eastAsiaTheme="minorEastAsia"/>
        </w:rPr>
        <w:t xml:space="preserve">A </w:t>
      </w:r>
      <w:r w:rsidR="004A4E1E">
        <w:rPr>
          <w:rFonts w:eastAsiaTheme="minorEastAsia"/>
        </w:rPr>
        <w:t>T</w:t>
      </w:r>
      <w:r>
        <w:rPr>
          <w:rFonts w:eastAsiaTheme="minorEastAsia"/>
        </w:rPr>
        <w:t xml:space="preserve">abela </w:t>
      </w:r>
      <w:r w:rsidRPr="00C808BF">
        <w:rPr>
          <w:rFonts w:eastAsiaTheme="minorEastAsia"/>
        </w:rPr>
        <w:t>4.</w:t>
      </w:r>
      <w:r w:rsidR="009E6753">
        <w:rPr>
          <w:rFonts w:eastAsiaTheme="minorEastAsia"/>
        </w:rPr>
        <w:t>16</w:t>
      </w:r>
      <w:r>
        <w:rPr>
          <w:rFonts w:eastAsiaTheme="minorEastAsia"/>
        </w:rPr>
        <w:t xml:space="preserve"> apresenta o teste estatístico que averigua entre o </w:t>
      </w:r>
      <w:r w:rsidR="00457CE5">
        <w:rPr>
          <w:rFonts w:eastAsiaTheme="minorEastAsia"/>
        </w:rPr>
        <w:t>m</w:t>
      </w:r>
      <w:r>
        <w:rPr>
          <w:rFonts w:eastAsiaTheme="minorEastAsia"/>
        </w:rPr>
        <w:t xml:space="preserve">odelo: </w:t>
      </w:r>
      <w:proofErr w:type="spellStart"/>
      <w:r w:rsidR="00457CE5">
        <w:rPr>
          <w:rFonts w:eastAsiaTheme="minorEastAsia"/>
          <w:i/>
          <w:iCs/>
        </w:rPr>
        <w:t>p</w:t>
      </w:r>
      <w:r w:rsidRPr="00FA27A6">
        <w:rPr>
          <w:rFonts w:eastAsiaTheme="minorEastAsia"/>
          <w:i/>
          <w:iCs/>
        </w:rPr>
        <w:t>ooled</w:t>
      </w:r>
      <w:proofErr w:type="spellEnd"/>
      <w:r>
        <w:rPr>
          <w:rFonts w:eastAsiaTheme="minorEastAsia"/>
        </w:rPr>
        <w:t xml:space="preserve"> ou </w:t>
      </w:r>
      <w:r w:rsidR="00457CE5">
        <w:rPr>
          <w:rFonts w:eastAsiaTheme="minorEastAsia"/>
        </w:rPr>
        <w:t>e</w:t>
      </w:r>
      <w:r>
        <w:rPr>
          <w:rFonts w:eastAsiaTheme="minorEastAsia"/>
        </w:rPr>
        <w:t xml:space="preserve">feitos </w:t>
      </w:r>
      <w:r w:rsidR="00457CE5">
        <w:rPr>
          <w:rFonts w:eastAsiaTheme="minorEastAsia"/>
        </w:rPr>
        <w:t>f</w:t>
      </w:r>
      <w:r>
        <w:rPr>
          <w:rFonts w:eastAsiaTheme="minorEastAsia"/>
        </w:rPr>
        <w:t xml:space="preserve">ixos, qual o mais adequado. Este teste é denominado de </w:t>
      </w:r>
      <w:r w:rsidR="00457CE5">
        <w:rPr>
          <w:rFonts w:eastAsiaTheme="minorEastAsia"/>
        </w:rPr>
        <w:t>t</w:t>
      </w:r>
      <w:r>
        <w:rPr>
          <w:rFonts w:eastAsiaTheme="minorEastAsia"/>
        </w:rPr>
        <w:t xml:space="preserve">este </w:t>
      </w:r>
      <w:r w:rsidRPr="00FA27A6">
        <w:rPr>
          <w:rFonts w:eastAsiaTheme="minorEastAsia"/>
          <w:i/>
          <w:iCs/>
        </w:rPr>
        <w:t>F</w:t>
      </w:r>
      <w:r w:rsidR="00BD43A4">
        <w:rPr>
          <w:rFonts w:eastAsiaTheme="minorEastAsia"/>
          <w:i/>
          <w:iCs/>
        </w:rPr>
        <w:t>.</w:t>
      </w:r>
    </w:p>
    <w:p w14:paraId="428B5664" w14:textId="04512DB3" w:rsidR="00C00290" w:rsidRPr="00C00290" w:rsidRDefault="00C00290" w:rsidP="00C65C8B">
      <w:pPr>
        <w:pStyle w:val="Legenda"/>
        <w:keepNext/>
        <w:spacing w:after="60"/>
        <w:jc w:val="center"/>
        <w:rPr>
          <w:i/>
          <w:color w:val="auto"/>
          <w:sz w:val="24"/>
        </w:rPr>
      </w:pPr>
      <w:bookmarkStart w:id="126" w:name="_Toc58853176"/>
      <w:bookmarkStart w:id="127" w:name="_Toc66624265"/>
      <w:r w:rsidRPr="00C00290">
        <w:rPr>
          <w:color w:val="auto"/>
          <w:sz w:val="24"/>
        </w:rPr>
        <w:t xml:space="preserve">Tabela </w:t>
      </w:r>
      <w:r w:rsidR="00843BFC">
        <w:rPr>
          <w:color w:val="auto"/>
          <w:sz w:val="24"/>
        </w:rPr>
        <w:fldChar w:fldCharType="begin"/>
      </w:r>
      <w:r w:rsidR="00843BFC">
        <w:rPr>
          <w:color w:val="auto"/>
          <w:sz w:val="24"/>
        </w:rPr>
        <w:instrText xml:space="preserve"> STYLEREF 1 \s </w:instrText>
      </w:r>
      <w:r w:rsidR="00843BFC">
        <w:rPr>
          <w:color w:val="auto"/>
          <w:sz w:val="24"/>
        </w:rPr>
        <w:fldChar w:fldCharType="separate"/>
      </w:r>
      <w:r w:rsidR="00380A6F">
        <w:rPr>
          <w:noProof/>
          <w:color w:val="auto"/>
          <w:sz w:val="24"/>
        </w:rPr>
        <w:t>4</w:t>
      </w:r>
      <w:r w:rsidR="00843BFC">
        <w:rPr>
          <w:color w:val="auto"/>
          <w:sz w:val="24"/>
        </w:rPr>
        <w:fldChar w:fldCharType="end"/>
      </w:r>
      <w:r w:rsidR="00843BFC">
        <w:rPr>
          <w:color w:val="auto"/>
          <w:sz w:val="24"/>
        </w:rPr>
        <w:t>.</w:t>
      </w:r>
      <w:r w:rsidR="00843BFC">
        <w:rPr>
          <w:color w:val="auto"/>
          <w:sz w:val="24"/>
        </w:rPr>
        <w:fldChar w:fldCharType="begin"/>
      </w:r>
      <w:r w:rsidR="00843BFC">
        <w:rPr>
          <w:color w:val="auto"/>
          <w:sz w:val="24"/>
        </w:rPr>
        <w:instrText xml:space="preserve"> SEQ Tabela \* ARABIC \s 1 </w:instrText>
      </w:r>
      <w:r w:rsidR="00843BFC">
        <w:rPr>
          <w:color w:val="auto"/>
          <w:sz w:val="24"/>
        </w:rPr>
        <w:fldChar w:fldCharType="separate"/>
      </w:r>
      <w:r w:rsidR="00380A6F">
        <w:rPr>
          <w:noProof/>
          <w:color w:val="auto"/>
          <w:sz w:val="24"/>
        </w:rPr>
        <w:t>16</w:t>
      </w:r>
      <w:r w:rsidR="00843BFC">
        <w:rPr>
          <w:color w:val="auto"/>
          <w:sz w:val="24"/>
        </w:rPr>
        <w:fldChar w:fldCharType="end"/>
      </w:r>
      <w:r w:rsidRPr="00C00290">
        <w:rPr>
          <w:color w:val="auto"/>
          <w:sz w:val="24"/>
        </w:rPr>
        <w:t xml:space="preserve"> – </w:t>
      </w:r>
      <w:r w:rsidRPr="00C00290">
        <w:rPr>
          <w:b w:val="0"/>
          <w:color w:val="auto"/>
          <w:sz w:val="24"/>
        </w:rPr>
        <w:t>Teste</w:t>
      </w:r>
      <w:r w:rsidRPr="00C00290">
        <w:rPr>
          <w:color w:val="auto"/>
          <w:sz w:val="24"/>
        </w:rPr>
        <w:t xml:space="preserve"> </w:t>
      </w:r>
      <w:r w:rsidRPr="00C00290">
        <w:rPr>
          <w:b w:val="0"/>
          <w:i/>
          <w:color w:val="auto"/>
          <w:sz w:val="24"/>
        </w:rPr>
        <w:t>F</w:t>
      </w:r>
      <w:bookmarkEnd w:id="126"/>
      <w:bookmarkEnd w:id="127"/>
    </w:p>
    <w:tbl>
      <w:tblPr>
        <w:tblStyle w:val="TabeladeLista6Colorida2"/>
        <w:tblW w:w="6718" w:type="dxa"/>
        <w:jc w:val="center"/>
        <w:tblLook w:val="04A0" w:firstRow="1" w:lastRow="0" w:firstColumn="1" w:lastColumn="0" w:noHBand="0" w:noVBand="1"/>
      </w:tblPr>
      <w:tblGrid>
        <w:gridCol w:w="2835"/>
        <w:gridCol w:w="1003"/>
        <w:gridCol w:w="1340"/>
        <w:gridCol w:w="1540"/>
      </w:tblGrid>
      <w:tr w:rsidR="00BC7CF8" w:rsidRPr="00793028" w14:paraId="3B0D540E" w14:textId="77777777" w:rsidTr="00A32816">
        <w:trPr>
          <w:cnfStyle w:val="100000000000" w:firstRow="1" w:lastRow="0" w:firstColumn="0" w:lastColumn="0" w:oddVBand="0" w:evenVBand="0" w:oddHBand="0" w:evenHBand="0" w:firstRowFirstColumn="0" w:firstRowLastColumn="0" w:lastRowFirstColumn="0" w:lastRowLastColumn="0"/>
          <w:trHeight w:val="309"/>
          <w:jc w:val="center"/>
        </w:trPr>
        <w:tc>
          <w:tcPr>
            <w:cnfStyle w:val="001000000000" w:firstRow="0" w:lastRow="0" w:firstColumn="1" w:lastColumn="0" w:oddVBand="0" w:evenVBand="0" w:oddHBand="0" w:evenHBand="0" w:firstRowFirstColumn="0" w:firstRowLastColumn="0" w:lastRowFirstColumn="0" w:lastRowLastColumn="0"/>
            <w:tcW w:w="2835" w:type="dxa"/>
            <w:tcBorders>
              <w:top w:val="double" w:sz="4" w:space="0" w:color="auto"/>
            </w:tcBorders>
            <w:noWrap/>
            <w:hideMark/>
          </w:tcPr>
          <w:p w14:paraId="0D036D0A" w14:textId="77777777" w:rsidR="00BC7CF8" w:rsidRPr="00793028" w:rsidRDefault="00BC7CF8" w:rsidP="00A32816">
            <w:pPr>
              <w:spacing w:line="276" w:lineRule="auto"/>
              <w:jc w:val="center"/>
              <w:rPr>
                <w:rFonts w:eastAsia="Times New Roman" w:cs="Times New Roman"/>
                <w:i/>
                <w:iCs/>
                <w:color w:val="000000"/>
                <w:sz w:val="22"/>
                <w:lang w:eastAsia="pt-PT"/>
              </w:rPr>
            </w:pPr>
            <w:proofErr w:type="spellStart"/>
            <w:r w:rsidRPr="00793028">
              <w:rPr>
                <w:rFonts w:eastAsia="Times New Roman" w:cs="Times New Roman"/>
                <w:i/>
                <w:iCs/>
                <w:color w:val="000000"/>
                <w:sz w:val="22"/>
                <w:lang w:eastAsia="pt-PT"/>
              </w:rPr>
              <w:t>Effects</w:t>
            </w:r>
            <w:proofErr w:type="spellEnd"/>
            <w:r w:rsidRPr="00793028">
              <w:rPr>
                <w:rFonts w:eastAsia="Times New Roman" w:cs="Times New Roman"/>
                <w:i/>
                <w:iCs/>
                <w:color w:val="000000"/>
                <w:sz w:val="22"/>
                <w:lang w:eastAsia="pt-PT"/>
              </w:rPr>
              <w:t xml:space="preserve"> </w:t>
            </w:r>
            <w:proofErr w:type="spellStart"/>
            <w:r w:rsidRPr="00793028">
              <w:rPr>
                <w:rFonts w:eastAsia="Times New Roman" w:cs="Times New Roman"/>
                <w:i/>
                <w:iCs/>
                <w:color w:val="000000"/>
                <w:sz w:val="22"/>
                <w:lang w:eastAsia="pt-PT"/>
              </w:rPr>
              <w:t>Test</w:t>
            </w:r>
            <w:proofErr w:type="spellEnd"/>
          </w:p>
        </w:tc>
        <w:tc>
          <w:tcPr>
            <w:tcW w:w="1003" w:type="dxa"/>
            <w:tcBorders>
              <w:top w:val="double" w:sz="4" w:space="0" w:color="auto"/>
            </w:tcBorders>
            <w:noWrap/>
            <w:hideMark/>
          </w:tcPr>
          <w:p w14:paraId="577ABEC5" w14:textId="77777777" w:rsidR="00BC7CF8" w:rsidRPr="00793028" w:rsidRDefault="00BC7CF8" w:rsidP="00A32816">
            <w:pPr>
              <w:spacing w:line="276"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
                <w:iCs/>
                <w:color w:val="000000"/>
                <w:sz w:val="22"/>
                <w:lang w:eastAsia="pt-PT"/>
              </w:rPr>
            </w:pPr>
            <w:proofErr w:type="spellStart"/>
            <w:r w:rsidRPr="00793028">
              <w:rPr>
                <w:rFonts w:eastAsia="Times New Roman" w:cs="Times New Roman"/>
                <w:i/>
                <w:iCs/>
                <w:color w:val="000000"/>
                <w:sz w:val="22"/>
                <w:lang w:eastAsia="pt-PT"/>
              </w:rPr>
              <w:t>Statistic</w:t>
            </w:r>
            <w:proofErr w:type="spellEnd"/>
          </w:p>
        </w:tc>
        <w:tc>
          <w:tcPr>
            <w:tcW w:w="1340" w:type="dxa"/>
            <w:tcBorders>
              <w:top w:val="double" w:sz="4" w:space="0" w:color="auto"/>
            </w:tcBorders>
            <w:noWrap/>
            <w:hideMark/>
          </w:tcPr>
          <w:p w14:paraId="1AF576DE" w14:textId="77777777" w:rsidR="00BC7CF8" w:rsidRPr="00793028" w:rsidRDefault="00BC7CF8" w:rsidP="00A32816">
            <w:pPr>
              <w:spacing w:line="276"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
                <w:iCs/>
                <w:color w:val="000000"/>
                <w:sz w:val="22"/>
                <w:lang w:eastAsia="pt-PT"/>
              </w:rPr>
            </w:pPr>
            <w:proofErr w:type="spellStart"/>
            <w:r w:rsidRPr="00793028">
              <w:rPr>
                <w:rFonts w:eastAsia="Times New Roman" w:cs="Times New Roman"/>
                <w:i/>
                <w:iCs/>
                <w:color w:val="000000"/>
                <w:sz w:val="22"/>
                <w:lang w:eastAsia="pt-PT"/>
              </w:rPr>
              <w:t>d.f</w:t>
            </w:r>
            <w:proofErr w:type="spellEnd"/>
          </w:p>
        </w:tc>
        <w:tc>
          <w:tcPr>
            <w:tcW w:w="1540" w:type="dxa"/>
            <w:tcBorders>
              <w:top w:val="double" w:sz="4" w:space="0" w:color="auto"/>
            </w:tcBorders>
            <w:noWrap/>
            <w:hideMark/>
          </w:tcPr>
          <w:p w14:paraId="55DDDA52" w14:textId="1C8F7029" w:rsidR="00BC7CF8" w:rsidRPr="00793028" w:rsidRDefault="00793028" w:rsidP="00A32816">
            <w:pPr>
              <w:spacing w:line="276"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
                <w:iCs/>
                <w:color w:val="000000"/>
                <w:sz w:val="22"/>
                <w:lang w:eastAsia="pt-PT"/>
              </w:rPr>
            </w:pPr>
            <w:r w:rsidRPr="00793028">
              <w:rPr>
                <w:rFonts w:eastAsia="Times New Roman" w:cs="Times New Roman"/>
                <w:i/>
                <w:iCs/>
                <w:color w:val="000000"/>
                <w:sz w:val="22"/>
                <w:lang w:eastAsia="pt-PT"/>
              </w:rPr>
              <w:t>p-</w:t>
            </w:r>
            <w:proofErr w:type="spellStart"/>
            <w:r w:rsidRPr="00793028">
              <w:rPr>
                <w:rFonts w:eastAsia="Times New Roman" w:cs="Times New Roman"/>
                <w:i/>
                <w:iCs/>
                <w:color w:val="000000"/>
                <w:sz w:val="22"/>
                <w:lang w:eastAsia="pt-PT"/>
              </w:rPr>
              <w:t>value</w:t>
            </w:r>
            <w:proofErr w:type="spellEnd"/>
          </w:p>
        </w:tc>
      </w:tr>
      <w:tr w:rsidR="00BC7CF8" w:rsidRPr="00793028" w14:paraId="77A0FA04" w14:textId="77777777" w:rsidTr="00A32816">
        <w:trPr>
          <w:cnfStyle w:val="000000100000" w:firstRow="0" w:lastRow="0" w:firstColumn="0" w:lastColumn="0" w:oddVBand="0" w:evenVBand="0" w:oddHBand="1" w:evenHBand="0" w:firstRowFirstColumn="0" w:firstRowLastColumn="0" w:lastRowFirstColumn="0" w:lastRowLastColumn="0"/>
          <w:trHeight w:val="441"/>
          <w:jc w:val="center"/>
        </w:trPr>
        <w:tc>
          <w:tcPr>
            <w:cnfStyle w:val="001000000000" w:firstRow="0" w:lastRow="0" w:firstColumn="1" w:lastColumn="0" w:oddVBand="0" w:evenVBand="0" w:oddHBand="0" w:evenHBand="0" w:firstRowFirstColumn="0" w:firstRowLastColumn="0" w:lastRowFirstColumn="0" w:lastRowLastColumn="0"/>
            <w:tcW w:w="2835" w:type="dxa"/>
            <w:shd w:val="clear" w:color="auto" w:fill="E7E6E6" w:themeFill="background2"/>
            <w:noWrap/>
            <w:hideMark/>
          </w:tcPr>
          <w:p w14:paraId="095E75E1" w14:textId="77777777" w:rsidR="00BC7CF8" w:rsidRPr="00793028" w:rsidRDefault="00BC7CF8" w:rsidP="00A32816">
            <w:pPr>
              <w:spacing w:line="276" w:lineRule="auto"/>
              <w:jc w:val="center"/>
              <w:rPr>
                <w:rFonts w:eastAsia="Times New Roman" w:cs="Times New Roman"/>
                <w:i/>
                <w:iCs/>
                <w:color w:val="000000"/>
                <w:sz w:val="22"/>
                <w:lang w:eastAsia="pt-PT"/>
              </w:rPr>
            </w:pPr>
            <w:r w:rsidRPr="00793028">
              <w:rPr>
                <w:rFonts w:eastAsia="Times New Roman" w:cs="Times New Roman"/>
                <w:i/>
                <w:iCs/>
                <w:color w:val="000000"/>
                <w:sz w:val="22"/>
                <w:lang w:eastAsia="pt-PT"/>
              </w:rPr>
              <w:t>Cross-</w:t>
            </w:r>
            <w:proofErr w:type="spellStart"/>
            <w:r w:rsidRPr="00793028">
              <w:rPr>
                <w:rFonts w:eastAsia="Times New Roman" w:cs="Times New Roman"/>
                <w:i/>
                <w:iCs/>
                <w:color w:val="000000"/>
                <w:sz w:val="22"/>
                <w:lang w:eastAsia="pt-PT"/>
              </w:rPr>
              <w:t>section</w:t>
            </w:r>
            <w:proofErr w:type="spellEnd"/>
            <w:r w:rsidRPr="00793028">
              <w:rPr>
                <w:rFonts w:eastAsia="Times New Roman" w:cs="Times New Roman"/>
                <w:i/>
                <w:iCs/>
                <w:color w:val="000000"/>
                <w:sz w:val="22"/>
                <w:lang w:eastAsia="pt-PT"/>
              </w:rPr>
              <w:t xml:space="preserve"> F</w:t>
            </w:r>
          </w:p>
        </w:tc>
        <w:tc>
          <w:tcPr>
            <w:tcW w:w="1003" w:type="dxa"/>
            <w:shd w:val="clear" w:color="auto" w:fill="E7E6E6" w:themeFill="background2"/>
            <w:noWrap/>
            <w:hideMark/>
          </w:tcPr>
          <w:p w14:paraId="07DCF595" w14:textId="77777777" w:rsidR="00BC7CF8" w:rsidRPr="00793028" w:rsidRDefault="00BC7CF8" w:rsidP="00A32816">
            <w:pPr>
              <w:spacing w:line="276"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793028">
              <w:rPr>
                <w:rFonts w:eastAsia="Times New Roman" w:cs="Times New Roman"/>
                <w:color w:val="000000"/>
                <w:sz w:val="22"/>
                <w:lang w:eastAsia="pt-PT"/>
              </w:rPr>
              <w:t>2,489</w:t>
            </w:r>
          </w:p>
        </w:tc>
        <w:tc>
          <w:tcPr>
            <w:tcW w:w="1340" w:type="dxa"/>
            <w:shd w:val="clear" w:color="auto" w:fill="E7E6E6" w:themeFill="background2"/>
            <w:noWrap/>
            <w:hideMark/>
          </w:tcPr>
          <w:p w14:paraId="42C61B7D" w14:textId="77777777" w:rsidR="00BC7CF8" w:rsidRPr="00793028" w:rsidRDefault="00BC7CF8" w:rsidP="00A32816">
            <w:pPr>
              <w:spacing w:line="276"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793028">
              <w:rPr>
                <w:rFonts w:eastAsia="Times New Roman" w:cs="Times New Roman"/>
                <w:color w:val="000000"/>
                <w:sz w:val="22"/>
                <w:lang w:eastAsia="pt-PT"/>
              </w:rPr>
              <w:t>-307,12</w:t>
            </w:r>
          </w:p>
        </w:tc>
        <w:tc>
          <w:tcPr>
            <w:tcW w:w="1540" w:type="dxa"/>
            <w:shd w:val="clear" w:color="auto" w:fill="E7E6E6" w:themeFill="background2"/>
            <w:noWrap/>
            <w:hideMark/>
          </w:tcPr>
          <w:p w14:paraId="45195364" w14:textId="77777777" w:rsidR="00BC7CF8" w:rsidRPr="00793028" w:rsidRDefault="00BC7CF8" w:rsidP="00A32816">
            <w:pPr>
              <w:spacing w:line="276"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lang w:eastAsia="pt-PT"/>
              </w:rPr>
            </w:pPr>
            <w:r w:rsidRPr="00793028">
              <w:rPr>
                <w:rFonts w:eastAsia="Times New Roman" w:cs="Times New Roman"/>
                <w:color w:val="000000"/>
                <w:sz w:val="22"/>
                <w:lang w:eastAsia="pt-PT"/>
              </w:rPr>
              <w:t>0,000</w:t>
            </w:r>
          </w:p>
        </w:tc>
      </w:tr>
      <w:tr w:rsidR="00BC7CF8" w:rsidRPr="00793028" w14:paraId="630B59A2" w14:textId="77777777" w:rsidTr="00A32816">
        <w:trPr>
          <w:trHeight w:val="429"/>
          <w:jc w:val="center"/>
        </w:trPr>
        <w:tc>
          <w:tcPr>
            <w:cnfStyle w:val="001000000000" w:firstRow="0" w:lastRow="0" w:firstColumn="1" w:lastColumn="0" w:oddVBand="0" w:evenVBand="0" w:oddHBand="0" w:evenHBand="0" w:firstRowFirstColumn="0" w:firstRowLastColumn="0" w:lastRowFirstColumn="0" w:lastRowLastColumn="0"/>
            <w:tcW w:w="2835" w:type="dxa"/>
            <w:tcBorders>
              <w:bottom w:val="double" w:sz="4" w:space="0" w:color="auto"/>
            </w:tcBorders>
            <w:noWrap/>
            <w:hideMark/>
          </w:tcPr>
          <w:p w14:paraId="75A471B9" w14:textId="77777777" w:rsidR="00BC7CF8" w:rsidRPr="00793028" w:rsidRDefault="00BC7CF8" w:rsidP="00A32816">
            <w:pPr>
              <w:spacing w:line="276" w:lineRule="auto"/>
              <w:rPr>
                <w:rFonts w:eastAsia="Times New Roman" w:cs="Times New Roman"/>
                <w:i/>
                <w:iCs/>
                <w:color w:val="000000"/>
                <w:sz w:val="22"/>
                <w:lang w:eastAsia="pt-PT"/>
              </w:rPr>
            </w:pPr>
            <w:r w:rsidRPr="00793028">
              <w:rPr>
                <w:rFonts w:eastAsia="Times New Roman" w:cs="Times New Roman"/>
                <w:i/>
                <w:iCs/>
                <w:color w:val="000000"/>
                <w:sz w:val="22"/>
                <w:lang w:eastAsia="pt-PT"/>
              </w:rPr>
              <w:t>Cross-</w:t>
            </w:r>
            <w:proofErr w:type="spellStart"/>
            <w:r w:rsidRPr="00793028">
              <w:rPr>
                <w:rFonts w:eastAsia="Times New Roman" w:cs="Times New Roman"/>
                <w:i/>
                <w:iCs/>
                <w:color w:val="000000"/>
                <w:sz w:val="22"/>
                <w:lang w:eastAsia="pt-PT"/>
              </w:rPr>
              <w:t>section</w:t>
            </w:r>
            <w:proofErr w:type="spellEnd"/>
            <w:r w:rsidRPr="00793028">
              <w:rPr>
                <w:rFonts w:eastAsia="Times New Roman" w:cs="Times New Roman"/>
                <w:i/>
                <w:iCs/>
                <w:color w:val="000000"/>
                <w:sz w:val="22"/>
                <w:lang w:eastAsia="pt-PT"/>
              </w:rPr>
              <w:t xml:space="preserve"> Chi-</w:t>
            </w:r>
            <w:proofErr w:type="spellStart"/>
            <w:r w:rsidRPr="00793028">
              <w:rPr>
                <w:rFonts w:eastAsia="Times New Roman" w:cs="Times New Roman"/>
                <w:i/>
                <w:iCs/>
                <w:color w:val="000000"/>
                <w:sz w:val="22"/>
                <w:lang w:eastAsia="pt-PT"/>
              </w:rPr>
              <w:t>square</w:t>
            </w:r>
            <w:proofErr w:type="spellEnd"/>
          </w:p>
        </w:tc>
        <w:tc>
          <w:tcPr>
            <w:tcW w:w="1003" w:type="dxa"/>
            <w:tcBorders>
              <w:bottom w:val="double" w:sz="4" w:space="0" w:color="auto"/>
            </w:tcBorders>
            <w:noWrap/>
            <w:hideMark/>
          </w:tcPr>
          <w:p w14:paraId="40ABB33A" w14:textId="77777777" w:rsidR="00BC7CF8" w:rsidRPr="00793028" w:rsidRDefault="00BC7CF8" w:rsidP="00A32816">
            <w:pPr>
              <w:spacing w:line="276"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793028">
              <w:rPr>
                <w:rFonts w:eastAsia="Times New Roman" w:cs="Times New Roman"/>
                <w:color w:val="000000"/>
                <w:sz w:val="22"/>
                <w:lang w:eastAsia="pt-PT"/>
              </w:rPr>
              <w:t>745,51</w:t>
            </w:r>
          </w:p>
        </w:tc>
        <w:tc>
          <w:tcPr>
            <w:tcW w:w="1340" w:type="dxa"/>
            <w:tcBorders>
              <w:bottom w:val="double" w:sz="4" w:space="0" w:color="auto"/>
            </w:tcBorders>
            <w:noWrap/>
            <w:hideMark/>
          </w:tcPr>
          <w:p w14:paraId="16079D00" w14:textId="77777777" w:rsidR="00BC7CF8" w:rsidRPr="00793028" w:rsidRDefault="00BC7CF8" w:rsidP="00A32816">
            <w:pPr>
              <w:spacing w:line="276"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793028">
              <w:rPr>
                <w:rFonts w:eastAsia="Times New Roman" w:cs="Times New Roman"/>
                <w:color w:val="000000"/>
                <w:sz w:val="22"/>
                <w:lang w:eastAsia="pt-PT"/>
              </w:rPr>
              <w:t>307</w:t>
            </w:r>
          </w:p>
        </w:tc>
        <w:tc>
          <w:tcPr>
            <w:tcW w:w="1540" w:type="dxa"/>
            <w:tcBorders>
              <w:bottom w:val="double" w:sz="4" w:space="0" w:color="auto"/>
            </w:tcBorders>
            <w:noWrap/>
            <w:hideMark/>
          </w:tcPr>
          <w:p w14:paraId="3D1ED62D" w14:textId="77777777" w:rsidR="00BC7CF8" w:rsidRPr="00793028" w:rsidRDefault="00BC7CF8" w:rsidP="00A32816">
            <w:pPr>
              <w:spacing w:line="276"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pt-PT"/>
              </w:rPr>
            </w:pPr>
            <w:r w:rsidRPr="00793028">
              <w:rPr>
                <w:rFonts w:eastAsia="Times New Roman" w:cs="Times New Roman"/>
                <w:color w:val="000000"/>
                <w:sz w:val="22"/>
                <w:lang w:eastAsia="pt-PT"/>
              </w:rPr>
              <w:t>0,000</w:t>
            </w:r>
          </w:p>
        </w:tc>
      </w:tr>
    </w:tbl>
    <w:p w14:paraId="02116D6B" w14:textId="13ACFA48" w:rsidR="001B55D8" w:rsidRDefault="00BC7CF8" w:rsidP="00CD3802">
      <w:pPr>
        <w:spacing w:before="240" w:line="360" w:lineRule="auto"/>
        <w:jc w:val="both"/>
        <w:rPr>
          <w:rFonts w:eastAsiaTheme="minorEastAsia"/>
          <w:iCs/>
        </w:rPr>
      </w:pPr>
      <w:r>
        <w:rPr>
          <w:rFonts w:eastAsiaTheme="minorEastAsia"/>
        </w:rPr>
        <w:t xml:space="preserve">O </w:t>
      </w:r>
      <w:r w:rsidR="00457CE5">
        <w:rPr>
          <w:rFonts w:eastAsiaTheme="minorEastAsia"/>
        </w:rPr>
        <w:t>t</w:t>
      </w:r>
      <w:r>
        <w:rPr>
          <w:rFonts w:eastAsiaTheme="minorEastAsia"/>
        </w:rPr>
        <w:t xml:space="preserve">este </w:t>
      </w:r>
      <w:r w:rsidRPr="00FA27A6">
        <w:rPr>
          <w:rFonts w:eastAsiaTheme="minorEastAsia"/>
          <w:i/>
          <w:iCs/>
        </w:rPr>
        <w:t>F</w:t>
      </w:r>
      <w:r>
        <w:rPr>
          <w:rFonts w:eastAsiaTheme="minorEastAsia"/>
        </w:rPr>
        <w:t>, como já enunciado, apresenta na</w:t>
      </w:r>
      <w:r w:rsidRPr="00FA27A6">
        <w:rPr>
          <w:rFonts w:eastAsiaTheme="minorEastAsia"/>
          <w:iCs/>
        </w:rPr>
        <w:t xml:space="preserve"> </w:t>
      </w:r>
      <m:oMath>
        <m:sSub>
          <m:sSubPr>
            <m:ctrlPr>
              <w:rPr>
                <w:rFonts w:ascii="Cambria Math" w:eastAsiaTheme="minorEastAsia" w:hAnsi="Cambria Math"/>
                <w:iCs/>
              </w:rPr>
            </m:ctrlPr>
          </m:sSubPr>
          <m:e>
            <m:r>
              <m:rPr>
                <m:sty m:val="p"/>
              </m:rPr>
              <w:rPr>
                <w:rFonts w:ascii="Cambria Math" w:eastAsiaTheme="minorEastAsia" w:hAnsi="Cambria Math"/>
              </w:rPr>
              <m:t>H</m:t>
            </m:r>
          </m:e>
          <m:sub>
            <m:r>
              <m:rPr>
                <m:sty m:val="p"/>
              </m:rPr>
              <w:rPr>
                <w:rFonts w:ascii="Cambria Math" w:eastAsiaTheme="minorEastAsia" w:hAnsi="Cambria Math"/>
              </w:rPr>
              <m:t>0</m:t>
            </m:r>
          </m:sub>
        </m:sSub>
      </m:oMath>
      <w:r>
        <w:rPr>
          <w:rFonts w:eastAsiaTheme="minorEastAsia"/>
        </w:rPr>
        <w:t xml:space="preserve"> o </w:t>
      </w:r>
      <w:r w:rsidR="00457CE5">
        <w:rPr>
          <w:rFonts w:eastAsiaTheme="minorEastAsia"/>
        </w:rPr>
        <w:t>m</w:t>
      </w:r>
      <w:r>
        <w:rPr>
          <w:rFonts w:eastAsiaTheme="minorEastAsia"/>
        </w:rPr>
        <w:t xml:space="preserve">odelo </w:t>
      </w:r>
      <w:proofErr w:type="spellStart"/>
      <w:r w:rsidR="00457CE5">
        <w:rPr>
          <w:rFonts w:eastAsiaTheme="minorEastAsia"/>
          <w:i/>
          <w:iCs/>
        </w:rPr>
        <w:t>p</w:t>
      </w:r>
      <w:r w:rsidRPr="00FA27A6">
        <w:rPr>
          <w:rFonts w:eastAsiaTheme="minorEastAsia"/>
          <w:i/>
          <w:iCs/>
        </w:rPr>
        <w:t>ooled</w:t>
      </w:r>
      <w:proofErr w:type="spellEnd"/>
      <w:r>
        <w:rPr>
          <w:rFonts w:eastAsiaTheme="minorEastAsia"/>
        </w:rPr>
        <w:t xml:space="preserve"> como o mais adequado. Por sua vez, a </w:t>
      </w:r>
      <m:oMath>
        <m:sSub>
          <m:sSubPr>
            <m:ctrlPr>
              <w:rPr>
                <w:rFonts w:ascii="Cambria Math" w:eastAsiaTheme="minorEastAsia" w:hAnsi="Cambria Math"/>
                <w:iCs/>
              </w:rPr>
            </m:ctrlPr>
          </m:sSubPr>
          <m:e>
            <m:r>
              <m:rPr>
                <m:sty m:val="p"/>
              </m:rPr>
              <w:rPr>
                <w:rFonts w:ascii="Cambria Math" w:eastAsiaTheme="minorEastAsia" w:hAnsi="Cambria Math"/>
              </w:rPr>
              <m:t>H</m:t>
            </m:r>
          </m:e>
          <m:sub>
            <m:r>
              <m:rPr>
                <m:sty m:val="p"/>
              </m:rPr>
              <w:rPr>
                <w:rFonts w:ascii="Cambria Math" w:eastAsiaTheme="minorEastAsia" w:hAnsi="Cambria Math"/>
              </w:rPr>
              <m:t>1</m:t>
            </m:r>
          </m:sub>
        </m:sSub>
      </m:oMath>
      <w:r>
        <w:rPr>
          <w:rFonts w:eastAsiaTheme="minorEastAsia"/>
          <w:iCs/>
        </w:rPr>
        <w:t xml:space="preserve"> indica que o </w:t>
      </w:r>
      <w:r w:rsidR="00457CE5">
        <w:rPr>
          <w:rFonts w:eastAsiaTheme="minorEastAsia"/>
          <w:iCs/>
        </w:rPr>
        <w:t>m</w:t>
      </w:r>
      <w:r>
        <w:rPr>
          <w:rFonts w:eastAsiaTheme="minorEastAsia"/>
          <w:iCs/>
        </w:rPr>
        <w:t xml:space="preserve">odelo de </w:t>
      </w:r>
      <w:r w:rsidR="00457CE5">
        <w:rPr>
          <w:rFonts w:eastAsiaTheme="minorEastAsia"/>
          <w:iCs/>
        </w:rPr>
        <w:t>e</w:t>
      </w:r>
      <w:r>
        <w:rPr>
          <w:rFonts w:eastAsiaTheme="minorEastAsia"/>
          <w:iCs/>
        </w:rPr>
        <w:t xml:space="preserve">feitos </w:t>
      </w:r>
      <w:r w:rsidR="00457CE5">
        <w:rPr>
          <w:rFonts w:eastAsiaTheme="minorEastAsia"/>
          <w:iCs/>
        </w:rPr>
        <w:t>f</w:t>
      </w:r>
      <w:r>
        <w:rPr>
          <w:rFonts w:eastAsiaTheme="minorEastAsia"/>
          <w:iCs/>
        </w:rPr>
        <w:t>ixos é o mais apropriado.</w:t>
      </w:r>
    </w:p>
    <w:p w14:paraId="45D5C6AC" w14:textId="6075CF3E" w:rsidR="00BC7CF8" w:rsidRDefault="00BC7CF8" w:rsidP="001B55D8">
      <w:pPr>
        <w:spacing w:line="360" w:lineRule="auto"/>
        <w:jc w:val="both"/>
        <w:rPr>
          <w:rFonts w:eastAsiaTheme="minorEastAsia"/>
        </w:rPr>
      </w:pPr>
      <w:r>
        <w:rPr>
          <w:rFonts w:eastAsiaTheme="minorEastAsia"/>
        </w:rPr>
        <w:t xml:space="preserve">Para verificar qual o modelo mais apropriado, </w:t>
      </w:r>
      <w:r w:rsidR="00B4646C">
        <w:rPr>
          <w:rFonts w:eastAsiaTheme="minorEastAsia"/>
        </w:rPr>
        <w:t>analisa-se</w:t>
      </w:r>
      <w:r w:rsidR="00E72F2D">
        <w:rPr>
          <w:rFonts w:eastAsiaTheme="minorEastAsia"/>
        </w:rPr>
        <w:t xml:space="preserve"> o</w:t>
      </w:r>
      <w:r w:rsidR="00113672">
        <w:rPr>
          <w:rFonts w:eastAsiaTheme="minorEastAsia"/>
        </w:rPr>
        <w:t xml:space="preserve"> valor</w:t>
      </w:r>
      <w:r>
        <w:rPr>
          <w:rFonts w:eastAsiaTheme="minorEastAsia"/>
        </w:rPr>
        <w:t xml:space="preserve"> </w:t>
      </w:r>
      <w:r w:rsidRPr="00FA27A6">
        <w:rPr>
          <w:rFonts w:eastAsiaTheme="minorEastAsia"/>
          <w:i/>
          <w:iCs/>
        </w:rPr>
        <w:t>p-</w:t>
      </w:r>
      <w:proofErr w:type="spellStart"/>
      <w:r w:rsidRPr="00FA27A6">
        <w:rPr>
          <w:rFonts w:eastAsiaTheme="minorEastAsia"/>
          <w:i/>
          <w:iCs/>
        </w:rPr>
        <w:t>value</w:t>
      </w:r>
      <w:proofErr w:type="spellEnd"/>
      <w:r>
        <w:rPr>
          <w:rFonts w:eastAsiaTheme="minorEastAsia"/>
          <w:i/>
          <w:iCs/>
        </w:rPr>
        <w:t xml:space="preserve">. </w:t>
      </w:r>
      <w:r w:rsidRPr="00FA27A6">
        <w:rPr>
          <w:rFonts w:eastAsiaTheme="minorEastAsia"/>
        </w:rPr>
        <w:t xml:space="preserve">Através da </w:t>
      </w:r>
      <w:r w:rsidR="004A4E1E">
        <w:rPr>
          <w:rFonts w:eastAsiaTheme="minorEastAsia"/>
        </w:rPr>
        <w:t>T</w:t>
      </w:r>
      <w:r w:rsidRPr="00FA27A6">
        <w:rPr>
          <w:rFonts w:eastAsiaTheme="minorEastAsia"/>
        </w:rPr>
        <w:t>abela 4.</w:t>
      </w:r>
      <w:r w:rsidR="007F6D51">
        <w:rPr>
          <w:rFonts w:eastAsiaTheme="minorEastAsia"/>
        </w:rPr>
        <w:t>16</w:t>
      </w:r>
      <w:r w:rsidRPr="00FA27A6">
        <w:rPr>
          <w:rFonts w:eastAsiaTheme="minorEastAsia"/>
        </w:rPr>
        <w:t xml:space="preserve"> </w:t>
      </w:r>
      <w:r w:rsidR="00B4646C">
        <w:rPr>
          <w:rFonts w:eastAsiaTheme="minorEastAsia"/>
        </w:rPr>
        <w:t xml:space="preserve">pode-se </w:t>
      </w:r>
      <w:r w:rsidRPr="00FA27A6">
        <w:rPr>
          <w:rFonts w:eastAsiaTheme="minorEastAsia"/>
        </w:rPr>
        <w:t>constatar que o</w:t>
      </w:r>
      <w:r w:rsidR="00E122D8">
        <w:rPr>
          <w:rFonts w:eastAsiaTheme="minorEastAsia"/>
        </w:rPr>
        <w:t xml:space="preserve"> valor</w:t>
      </w:r>
      <w:r>
        <w:rPr>
          <w:rFonts w:eastAsiaTheme="minorEastAsia"/>
          <w:i/>
          <w:iCs/>
        </w:rPr>
        <w:t xml:space="preserve"> p-</w:t>
      </w:r>
      <w:proofErr w:type="spellStart"/>
      <w:r>
        <w:rPr>
          <w:rFonts w:eastAsiaTheme="minorEastAsia"/>
          <w:i/>
          <w:iCs/>
        </w:rPr>
        <w:t>value</w:t>
      </w:r>
      <w:proofErr w:type="spellEnd"/>
      <w:r>
        <w:rPr>
          <w:rFonts w:eastAsiaTheme="minorEastAsia"/>
          <w:i/>
          <w:iCs/>
        </w:rPr>
        <w:t xml:space="preserve"> </w:t>
      </w:r>
      <w:r w:rsidRPr="00FA27A6">
        <w:rPr>
          <w:rFonts w:eastAsiaTheme="minorEastAsia"/>
        </w:rPr>
        <w:t>é inferior a 0,05</w:t>
      </w:r>
      <w:r>
        <w:rPr>
          <w:rFonts w:eastAsiaTheme="minorEastAsia"/>
          <w:i/>
          <w:iCs/>
        </w:rPr>
        <w:t xml:space="preserve"> </w:t>
      </w:r>
      <w:r w:rsidRPr="00FA27A6">
        <w:rPr>
          <w:rFonts w:eastAsiaTheme="minorEastAsia"/>
        </w:rPr>
        <w:t>(</w:t>
      </w:r>
      <w:r w:rsidR="00793028">
        <w:rPr>
          <w:rFonts w:eastAsiaTheme="minorEastAsia"/>
          <w:i/>
          <w:iCs/>
        </w:rPr>
        <w:t>p-</w:t>
      </w:r>
      <w:proofErr w:type="spellStart"/>
      <w:r w:rsidR="00793028">
        <w:rPr>
          <w:rFonts w:eastAsiaTheme="minorEastAsia"/>
          <w:i/>
          <w:iCs/>
        </w:rPr>
        <w:t>value</w:t>
      </w:r>
      <w:proofErr w:type="spellEnd"/>
      <w:r>
        <w:rPr>
          <w:rFonts w:eastAsiaTheme="minorEastAsia"/>
          <w:i/>
          <w:iCs/>
        </w:rPr>
        <w:t xml:space="preserve"> = </w:t>
      </w:r>
      <w:r w:rsidRPr="00FA27A6">
        <w:rPr>
          <w:rFonts w:eastAsiaTheme="minorEastAsia"/>
        </w:rPr>
        <w:t>0,00)</w:t>
      </w:r>
      <w:r>
        <w:rPr>
          <w:rFonts w:eastAsiaTheme="minorEastAsia"/>
          <w:i/>
          <w:iCs/>
        </w:rPr>
        <w:t xml:space="preserve">, </w:t>
      </w:r>
      <w:r w:rsidRPr="00FA27A6">
        <w:rPr>
          <w:rFonts w:eastAsiaTheme="minorEastAsia"/>
        </w:rPr>
        <w:t xml:space="preserve">o que indica que a </w:t>
      </w:r>
      <w:r w:rsidR="00457CE5">
        <w:rPr>
          <w:rFonts w:eastAsiaTheme="minorEastAsia"/>
        </w:rPr>
        <w:t>h</w:t>
      </w:r>
      <w:r w:rsidR="00FA27A6" w:rsidRPr="00FA27A6">
        <w:rPr>
          <w:rFonts w:eastAsiaTheme="minorEastAsia"/>
        </w:rPr>
        <w:t>ipótese</w:t>
      </w:r>
      <w:r w:rsidRPr="00FA27A6">
        <w:rPr>
          <w:rFonts w:eastAsiaTheme="minorEastAsia"/>
        </w:rPr>
        <w:t xml:space="preserve"> </w:t>
      </w:r>
      <w:r w:rsidR="00457CE5">
        <w:rPr>
          <w:rFonts w:eastAsiaTheme="minorEastAsia"/>
        </w:rPr>
        <w:t>n</w:t>
      </w:r>
      <w:r w:rsidRPr="00FA27A6">
        <w:rPr>
          <w:rFonts w:eastAsiaTheme="minorEastAsia"/>
        </w:rPr>
        <w:t xml:space="preserve">ula será rejeitada e, segundo este teste estatístico, o </w:t>
      </w:r>
      <w:r w:rsidR="00457CE5">
        <w:rPr>
          <w:rFonts w:eastAsiaTheme="minorEastAsia"/>
        </w:rPr>
        <w:t>m</w:t>
      </w:r>
      <w:r w:rsidRPr="00FA27A6">
        <w:rPr>
          <w:rFonts w:eastAsiaTheme="minorEastAsia"/>
        </w:rPr>
        <w:t xml:space="preserve">odelo de </w:t>
      </w:r>
      <w:r w:rsidR="00457CE5">
        <w:rPr>
          <w:rFonts w:eastAsiaTheme="minorEastAsia"/>
        </w:rPr>
        <w:t>e</w:t>
      </w:r>
      <w:r w:rsidRPr="00FA27A6">
        <w:rPr>
          <w:rFonts w:eastAsiaTheme="minorEastAsia"/>
        </w:rPr>
        <w:t xml:space="preserve">feitos </w:t>
      </w:r>
      <w:r w:rsidR="00457CE5">
        <w:rPr>
          <w:rFonts w:eastAsiaTheme="minorEastAsia"/>
        </w:rPr>
        <w:t>f</w:t>
      </w:r>
      <w:r w:rsidRPr="00FA27A6">
        <w:rPr>
          <w:rFonts w:eastAsiaTheme="minorEastAsia"/>
        </w:rPr>
        <w:t>ixos é o mais apropriado.</w:t>
      </w:r>
    </w:p>
    <w:p w14:paraId="0A0BB2BF" w14:textId="7DD4FE6F" w:rsidR="00B4646C" w:rsidRDefault="00FA27A6" w:rsidP="001B55D8">
      <w:pPr>
        <w:spacing w:line="360" w:lineRule="auto"/>
        <w:jc w:val="both"/>
        <w:rPr>
          <w:rFonts w:eastAsiaTheme="minorEastAsia"/>
        </w:rPr>
      </w:pPr>
      <w:r>
        <w:rPr>
          <w:rFonts w:eastAsiaTheme="minorEastAsia"/>
        </w:rPr>
        <w:t xml:space="preserve">Outro teste estatístico a que se recorre é o </w:t>
      </w:r>
      <w:r w:rsidR="00457CE5">
        <w:rPr>
          <w:rFonts w:eastAsiaTheme="minorEastAsia"/>
        </w:rPr>
        <w:t>t</w:t>
      </w:r>
      <w:r>
        <w:rPr>
          <w:rFonts w:eastAsiaTheme="minorEastAsia"/>
        </w:rPr>
        <w:t xml:space="preserve">este de </w:t>
      </w:r>
      <w:proofErr w:type="spellStart"/>
      <w:r w:rsidRPr="00BE4B8A">
        <w:rPr>
          <w:rFonts w:eastAsiaTheme="minorEastAsia"/>
          <w:i/>
          <w:iCs/>
        </w:rPr>
        <w:t>Hausman</w:t>
      </w:r>
      <w:proofErr w:type="spellEnd"/>
      <w:r>
        <w:rPr>
          <w:rFonts w:eastAsiaTheme="minorEastAsia"/>
        </w:rPr>
        <w:t xml:space="preserve">. Neste compara-se o </w:t>
      </w:r>
      <w:r w:rsidR="00457CE5">
        <w:rPr>
          <w:rFonts w:eastAsiaTheme="minorEastAsia"/>
        </w:rPr>
        <w:t>m</w:t>
      </w:r>
      <w:r>
        <w:rPr>
          <w:rFonts w:eastAsiaTheme="minorEastAsia"/>
        </w:rPr>
        <w:t xml:space="preserve">odelo de </w:t>
      </w:r>
      <w:r w:rsidR="00457CE5">
        <w:rPr>
          <w:rFonts w:eastAsiaTheme="minorEastAsia"/>
        </w:rPr>
        <w:t>e</w:t>
      </w:r>
      <w:r>
        <w:rPr>
          <w:rFonts w:eastAsiaTheme="minorEastAsia"/>
        </w:rPr>
        <w:t xml:space="preserve">feitos </w:t>
      </w:r>
      <w:r w:rsidR="00457CE5">
        <w:rPr>
          <w:rFonts w:eastAsiaTheme="minorEastAsia"/>
        </w:rPr>
        <w:t>a</w:t>
      </w:r>
      <w:r>
        <w:rPr>
          <w:rFonts w:eastAsiaTheme="minorEastAsia"/>
        </w:rPr>
        <w:t xml:space="preserve">leatórios com o </w:t>
      </w:r>
      <w:r w:rsidR="00457CE5">
        <w:rPr>
          <w:rFonts w:eastAsiaTheme="minorEastAsia"/>
        </w:rPr>
        <w:t>m</w:t>
      </w:r>
      <w:r>
        <w:rPr>
          <w:rFonts w:eastAsiaTheme="minorEastAsia"/>
        </w:rPr>
        <w:t xml:space="preserve">odelo de </w:t>
      </w:r>
      <w:r w:rsidR="00457CE5">
        <w:rPr>
          <w:rFonts w:eastAsiaTheme="minorEastAsia"/>
        </w:rPr>
        <w:t>e</w:t>
      </w:r>
      <w:r>
        <w:rPr>
          <w:rFonts w:eastAsiaTheme="minorEastAsia"/>
        </w:rPr>
        <w:t xml:space="preserve">feitos </w:t>
      </w:r>
      <w:r w:rsidR="00457CE5">
        <w:rPr>
          <w:rFonts w:eastAsiaTheme="minorEastAsia"/>
        </w:rPr>
        <w:t>f</w:t>
      </w:r>
      <w:r>
        <w:rPr>
          <w:rFonts w:eastAsiaTheme="minorEastAsia"/>
        </w:rPr>
        <w:t xml:space="preserve">ixos. Os resultados obtidos deste teste são apresentados na </w:t>
      </w:r>
      <w:r w:rsidR="004A4E1E">
        <w:rPr>
          <w:rFonts w:eastAsiaTheme="minorEastAsia"/>
        </w:rPr>
        <w:t>T</w:t>
      </w:r>
      <w:r>
        <w:rPr>
          <w:rFonts w:eastAsiaTheme="minorEastAsia"/>
        </w:rPr>
        <w:t xml:space="preserve">abela </w:t>
      </w:r>
      <w:r w:rsidRPr="00C808BF">
        <w:rPr>
          <w:rFonts w:eastAsiaTheme="minorEastAsia"/>
        </w:rPr>
        <w:t>4.1</w:t>
      </w:r>
      <w:r w:rsidR="007F6D51">
        <w:rPr>
          <w:rFonts w:eastAsiaTheme="minorEastAsia"/>
        </w:rPr>
        <w:t>7</w:t>
      </w:r>
      <w:r>
        <w:rPr>
          <w:rFonts w:eastAsiaTheme="minorEastAsia"/>
        </w:rPr>
        <w:t>.</w:t>
      </w:r>
    </w:p>
    <w:p w14:paraId="045579B9" w14:textId="743F64EB" w:rsidR="00C00290" w:rsidRPr="00C00290" w:rsidRDefault="00C00290" w:rsidP="00C65C8B">
      <w:pPr>
        <w:pStyle w:val="Legenda"/>
        <w:keepNext/>
        <w:spacing w:after="60"/>
        <w:jc w:val="center"/>
        <w:rPr>
          <w:color w:val="auto"/>
          <w:sz w:val="24"/>
        </w:rPr>
      </w:pPr>
      <w:bookmarkStart w:id="128" w:name="_Toc58853177"/>
      <w:bookmarkStart w:id="129" w:name="_Toc66624266"/>
      <w:r w:rsidRPr="00C00290">
        <w:rPr>
          <w:color w:val="auto"/>
          <w:sz w:val="24"/>
        </w:rPr>
        <w:t xml:space="preserve">Tabela </w:t>
      </w:r>
      <w:r w:rsidR="00843BFC">
        <w:rPr>
          <w:color w:val="auto"/>
          <w:sz w:val="24"/>
        </w:rPr>
        <w:fldChar w:fldCharType="begin"/>
      </w:r>
      <w:r w:rsidR="00843BFC">
        <w:rPr>
          <w:color w:val="auto"/>
          <w:sz w:val="24"/>
        </w:rPr>
        <w:instrText xml:space="preserve"> STYLEREF 1 \s </w:instrText>
      </w:r>
      <w:r w:rsidR="00843BFC">
        <w:rPr>
          <w:color w:val="auto"/>
          <w:sz w:val="24"/>
        </w:rPr>
        <w:fldChar w:fldCharType="separate"/>
      </w:r>
      <w:r w:rsidR="00380A6F">
        <w:rPr>
          <w:noProof/>
          <w:color w:val="auto"/>
          <w:sz w:val="24"/>
        </w:rPr>
        <w:t>4</w:t>
      </w:r>
      <w:r w:rsidR="00843BFC">
        <w:rPr>
          <w:color w:val="auto"/>
          <w:sz w:val="24"/>
        </w:rPr>
        <w:fldChar w:fldCharType="end"/>
      </w:r>
      <w:r w:rsidR="00843BFC">
        <w:rPr>
          <w:color w:val="auto"/>
          <w:sz w:val="24"/>
        </w:rPr>
        <w:t>.</w:t>
      </w:r>
      <w:r w:rsidR="00843BFC">
        <w:rPr>
          <w:color w:val="auto"/>
          <w:sz w:val="24"/>
        </w:rPr>
        <w:fldChar w:fldCharType="begin"/>
      </w:r>
      <w:r w:rsidR="00843BFC">
        <w:rPr>
          <w:color w:val="auto"/>
          <w:sz w:val="24"/>
        </w:rPr>
        <w:instrText xml:space="preserve"> SEQ Tabela \* ARABIC \s 1 </w:instrText>
      </w:r>
      <w:r w:rsidR="00843BFC">
        <w:rPr>
          <w:color w:val="auto"/>
          <w:sz w:val="24"/>
        </w:rPr>
        <w:fldChar w:fldCharType="separate"/>
      </w:r>
      <w:r w:rsidR="00380A6F">
        <w:rPr>
          <w:noProof/>
          <w:color w:val="auto"/>
          <w:sz w:val="24"/>
        </w:rPr>
        <w:t>17</w:t>
      </w:r>
      <w:r w:rsidR="00843BFC">
        <w:rPr>
          <w:color w:val="auto"/>
          <w:sz w:val="24"/>
        </w:rPr>
        <w:fldChar w:fldCharType="end"/>
      </w:r>
      <w:r w:rsidRPr="00C00290">
        <w:rPr>
          <w:color w:val="auto"/>
          <w:sz w:val="24"/>
        </w:rPr>
        <w:t xml:space="preserve"> – </w:t>
      </w:r>
      <w:r w:rsidRPr="00C00290">
        <w:rPr>
          <w:b w:val="0"/>
          <w:color w:val="auto"/>
          <w:sz w:val="24"/>
        </w:rPr>
        <w:t xml:space="preserve">Teste de </w:t>
      </w:r>
      <w:proofErr w:type="spellStart"/>
      <w:r w:rsidRPr="00C00290">
        <w:rPr>
          <w:b w:val="0"/>
          <w:i/>
          <w:color w:val="auto"/>
          <w:sz w:val="24"/>
        </w:rPr>
        <w:t>Hausman</w:t>
      </w:r>
      <w:bookmarkEnd w:id="128"/>
      <w:bookmarkEnd w:id="129"/>
      <w:proofErr w:type="spellEnd"/>
    </w:p>
    <w:tbl>
      <w:tblPr>
        <w:tblStyle w:val="TabeladeLista6Colorida2"/>
        <w:tblW w:w="6804" w:type="dxa"/>
        <w:jc w:val="center"/>
        <w:tblLook w:val="04A0" w:firstRow="1" w:lastRow="0" w:firstColumn="1" w:lastColumn="0" w:noHBand="0" w:noVBand="1"/>
      </w:tblPr>
      <w:tblGrid>
        <w:gridCol w:w="2694"/>
        <w:gridCol w:w="1701"/>
        <w:gridCol w:w="1275"/>
        <w:gridCol w:w="1134"/>
      </w:tblGrid>
      <w:tr w:rsidR="00FA27A6" w:rsidRPr="00793028" w14:paraId="50F6C12D" w14:textId="77777777" w:rsidTr="006D0F80">
        <w:trPr>
          <w:cnfStyle w:val="100000000000" w:firstRow="1" w:lastRow="0" w:firstColumn="0" w:lastColumn="0" w:oddVBand="0" w:evenVBand="0" w:oddHBand="0" w:evenHBand="0" w:firstRowFirstColumn="0" w:firstRowLastColumn="0" w:lastRowFirstColumn="0" w:lastRowLastColumn="0"/>
          <w:trHeight w:val="443"/>
          <w:jc w:val="center"/>
        </w:trPr>
        <w:tc>
          <w:tcPr>
            <w:cnfStyle w:val="001000000000" w:firstRow="0" w:lastRow="0" w:firstColumn="1" w:lastColumn="0" w:oddVBand="0" w:evenVBand="0" w:oddHBand="0" w:evenHBand="0" w:firstRowFirstColumn="0" w:firstRowLastColumn="0" w:lastRowFirstColumn="0" w:lastRowLastColumn="0"/>
            <w:tcW w:w="2694" w:type="dxa"/>
            <w:tcBorders>
              <w:top w:val="double" w:sz="4" w:space="0" w:color="auto"/>
            </w:tcBorders>
            <w:noWrap/>
            <w:hideMark/>
          </w:tcPr>
          <w:p w14:paraId="2D55BBBD" w14:textId="77777777" w:rsidR="00FA27A6" w:rsidRPr="00793028" w:rsidRDefault="00FA27A6" w:rsidP="00BE4B8A">
            <w:pPr>
              <w:jc w:val="center"/>
              <w:rPr>
                <w:rFonts w:eastAsia="Times New Roman" w:cs="Times New Roman"/>
                <w:i/>
                <w:iCs/>
                <w:color w:val="000000"/>
                <w:sz w:val="22"/>
                <w:lang w:eastAsia="pt-PT"/>
              </w:rPr>
            </w:pPr>
            <w:proofErr w:type="spellStart"/>
            <w:r w:rsidRPr="00793028">
              <w:rPr>
                <w:rFonts w:eastAsia="Times New Roman" w:cs="Times New Roman"/>
                <w:i/>
                <w:iCs/>
                <w:color w:val="000000"/>
                <w:sz w:val="22"/>
                <w:lang w:eastAsia="pt-PT"/>
              </w:rPr>
              <w:t>Test</w:t>
            </w:r>
            <w:proofErr w:type="spellEnd"/>
            <w:r w:rsidRPr="00793028">
              <w:rPr>
                <w:rFonts w:eastAsia="Times New Roman" w:cs="Times New Roman"/>
                <w:i/>
                <w:iCs/>
                <w:color w:val="000000"/>
                <w:sz w:val="22"/>
                <w:lang w:eastAsia="pt-PT"/>
              </w:rPr>
              <w:t xml:space="preserve"> </w:t>
            </w:r>
            <w:proofErr w:type="spellStart"/>
            <w:r w:rsidRPr="00793028">
              <w:rPr>
                <w:rFonts w:eastAsia="Times New Roman" w:cs="Times New Roman"/>
                <w:i/>
                <w:iCs/>
                <w:color w:val="000000"/>
                <w:sz w:val="22"/>
                <w:lang w:eastAsia="pt-PT"/>
              </w:rPr>
              <w:t>Summary</w:t>
            </w:r>
            <w:proofErr w:type="spellEnd"/>
          </w:p>
        </w:tc>
        <w:tc>
          <w:tcPr>
            <w:tcW w:w="1701" w:type="dxa"/>
            <w:tcBorders>
              <w:top w:val="double" w:sz="4" w:space="0" w:color="auto"/>
            </w:tcBorders>
            <w:noWrap/>
            <w:hideMark/>
          </w:tcPr>
          <w:p w14:paraId="4D101415" w14:textId="77777777" w:rsidR="00FA27A6" w:rsidRPr="00793028" w:rsidRDefault="00FA27A6" w:rsidP="00BE4B8A">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
                <w:iCs/>
                <w:color w:val="000000"/>
                <w:sz w:val="22"/>
                <w:lang w:eastAsia="pt-PT"/>
              </w:rPr>
            </w:pPr>
            <w:r w:rsidRPr="00793028">
              <w:rPr>
                <w:rFonts w:eastAsia="Times New Roman" w:cs="Times New Roman"/>
                <w:i/>
                <w:iCs/>
                <w:color w:val="000000"/>
                <w:sz w:val="22"/>
                <w:lang w:eastAsia="pt-PT"/>
              </w:rPr>
              <w:t>Chi-</w:t>
            </w:r>
            <w:proofErr w:type="spellStart"/>
            <w:r w:rsidRPr="00793028">
              <w:rPr>
                <w:rFonts w:eastAsia="Times New Roman" w:cs="Times New Roman"/>
                <w:i/>
                <w:iCs/>
                <w:color w:val="000000"/>
                <w:sz w:val="22"/>
                <w:lang w:eastAsia="pt-PT"/>
              </w:rPr>
              <w:t>Sq</w:t>
            </w:r>
            <w:proofErr w:type="spellEnd"/>
            <w:r w:rsidRPr="00793028">
              <w:rPr>
                <w:rFonts w:eastAsia="Times New Roman" w:cs="Times New Roman"/>
                <w:i/>
                <w:iCs/>
                <w:color w:val="000000"/>
                <w:sz w:val="22"/>
                <w:lang w:eastAsia="pt-PT"/>
              </w:rPr>
              <w:t xml:space="preserve">. </w:t>
            </w:r>
            <w:proofErr w:type="spellStart"/>
            <w:r w:rsidRPr="00793028">
              <w:rPr>
                <w:rFonts w:eastAsia="Times New Roman" w:cs="Times New Roman"/>
                <w:i/>
                <w:iCs/>
                <w:color w:val="000000"/>
                <w:sz w:val="22"/>
                <w:lang w:eastAsia="pt-PT"/>
              </w:rPr>
              <w:t>Statistic</w:t>
            </w:r>
            <w:proofErr w:type="spellEnd"/>
          </w:p>
        </w:tc>
        <w:tc>
          <w:tcPr>
            <w:tcW w:w="1275" w:type="dxa"/>
            <w:tcBorders>
              <w:top w:val="double" w:sz="4" w:space="0" w:color="auto"/>
            </w:tcBorders>
            <w:noWrap/>
            <w:hideMark/>
          </w:tcPr>
          <w:p w14:paraId="7CDF3BF9" w14:textId="77777777" w:rsidR="00FA27A6" w:rsidRPr="00793028" w:rsidRDefault="00FA27A6" w:rsidP="00BE4B8A">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
                <w:iCs/>
                <w:color w:val="000000"/>
                <w:sz w:val="22"/>
                <w:lang w:eastAsia="pt-PT"/>
              </w:rPr>
            </w:pPr>
            <w:r w:rsidRPr="00793028">
              <w:rPr>
                <w:rFonts w:eastAsia="Times New Roman" w:cs="Times New Roman"/>
                <w:i/>
                <w:iCs/>
                <w:color w:val="000000"/>
                <w:sz w:val="22"/>
                <w:lang w:eastAsia="pt-PT"/>
              </w:rPr>
              <w:t>Chi-</w:t>
            </w:r>
            <w:proofErr w:type="spellStart"/>
            <w:r w:rsidRPr="00793028">
              <w:rPr>
                <w:rFonts w:eastAsia="Times New Roman" w:cs="Times New Roman"/>
                <w:i/>
                <w:iCs/>
                <w:color w:val="000000"/>
                <w:sz w:val="22"/>
                <w:lang w:eastAsia="pt-PT"/>
              </w:rPr>
              <w:t>Sq</w:t>
            </w:r>
            <w:proofErr w:type="spellEnd"/>
            <w:r w:rsidRPr="00793028">
              <w:rPr>
                <w:rFonts w:eastAsia="Times New Roman" w:cs="Times New Roman"/>
                <w:i/>
                <w:iCs/>
                <w:color w:val="000000"/>
                <w:sz w:val="22"/>
                <w:lang w:eastAsia="pt-PT"/>
              </w:rPr>
              <w:t xml:space="preserve"> </w:t>
            </w:r>
            <w:proofErr w:type="spellStart"/>
            <w:r w:rsidRPr="00793028">
              <w:rPr>
                <w:rFonts w:eastAsia="Times New Roman" w:cs="Times New Roman"/>
                <w:i/>
                <w:iCs/>
                <w:color w:val="000000"/>
                <w:sz w:val="22"/>
                <w:lang w:eastAsia="pt-PT"/>
              </w:rPr>
              <w:t>d.f</w:t>
            </w:r>
            <w:proofErr w:type="spellEnd"/>
            <w:r w:rsidRPr="00793028">
              <w:rPr>
                <w:rFonts w:eastAsia="Times New Roman" w:cs="Times New Roman"/>
                <w:i/>
                <w:iCs/>
                <w:color w:val="000000"/>
                <w:sz w:val="22"/>
                <w:lang w:eastAsia="pt-PT"/>
              </w:rPr>
              <w:t xml:space="preserve"> </w:t>
            </w:r>
          </w:p>
        </w:tc>
        <w:tc>
          <w:tcPr>
            <w:tcW w:w="1134" w:type="dxa"/>
            <w:tcBorders>
              <w:top w:val="double" w:sz="4" w:space="0" w:color="auto"/>
            </w:tcBorders>
            <w:noWrap/>
            <w:hideMark/>
          </w:tcPr>
          <w:p w14:paraId="1B0CB133" w14:textId="0DD76D79" w:rsidR="00FA27A6" w:rsidRPr="00793028" w:rsidRDefault="00793028" w:rsidP="00BE4B8A">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i/>
                <w:iCs/>
                <w:color w:val="000000"/>
                <w:sz w:val="22"/>
                <w:lang w:eastAsia="pt-PT"/>
              </w:rPr>
            </w:pPr>
            <w:r w:rsidRPr="00793028">
              <w:rPr>
                <w:rFonts w:eastAsia="Times New Roman" w:cs="Times New Roman"/>
                <w:i/>
                <w:iCs/>
                <w:color w:val="000000"/>
                <w:sz w:val="22"/>
                <w:lang w:eastAsia="pt-PT"/>
              </w:rPr>
              <w:t>p-</w:t>
            </w:r>
            <w:proofErr w:type="spellStart"/>
            <w:r w:rsidRPr="00793028">
              <w:rPr>
                <w:rFonts w:eastAsia="Times New Roman" w:cs="Times New Roman"/>
                <w:i/>
                <w:iCs/>
                <w:color w:val="000000"/>
                <w:sz w:val="22"/>
                <w:lang w:eastAsia="pt-PT"/>
              </w:rPr>
              <w:t>value</w:t>
            </w:r>
            <w:proofErr w:type="spellEnd"/>
          </w:p>
        </w:tc>
      </w:tr>
      <w:tr w:rsidR="00FA27A6" w:rsidRPr="00793028" w14:paraId="30BFB7D4" w14:textId="77777777" w:rsidTr="006D0F80">
        <w:trPr>
          <w:cnfStyle w:val="000000100000" w:firstRow="0" w:lastRow="0" w:firstColumn="0" w:lastColumn="0" w:oddVBand="0" w:evenVBand="0" w:oddHBand="1" w:evenHBand="0" w:firstRowFirstColumn="0" w:firstRowLastColumn="0" w:lastRowFirstColumn="0" w:lastRowLastColumn="0"/>
          <w:trHeight w:val="407"/>
          <w:jc w:val="center"/>
        </w:trPr>
        <w:tc>
          <w:tcPr>
            <w:cnfStyle w:val="001000000000" w:firstRow="0" w:lastRow="0" w:firstColumn="1" w:lastColumn="0" w:oddVBand="0" w:evenVBand="0" w:oddHBand="0" w:evenHBand="0" w:firstRowFirstColumn="0" w:firstRowLastColumn="0" w:lastRowFirstColumn="0" w:lastRowLastColumn="0"/>
            <w:tcW w:w="2694" w:type="dxa"/>
            <w:tcBorders>
              <w:bottom w:val="double" w:sz="4" w:space="0" w:color="auto"/>
            </w:tcBorders>
            <w:shd w:val="clear" w:color="auto" w:fill="E7E6E6" w:themeFill="background2"/>
            <w:noWrap/>
            <w:hideMark/>
          </w:tcPr>
          <w:p w14:paraId="255DB869" w14:textId="77777777" w:rsidR="00FA27A6" w:rsidRPr="00793028" w:rsidRDefault="00FA27A6" w:rsidP="00BE4B8A">
            <w:pPr>
              <w:jc w:val="center"/>
              <w:rPr>
                <w:rFonts w:eastAsia="Times New Roman" w:cs="Times New Roman"/>
                <w:i/>
                <w:iCs/>
                <w:color w:val="000000"/>
                <w:sz w:val="22"/>
                <w:lang w:eastAsia="pt-PT"/>
              </w:rPr>
            </w:pPr>
            <w:r w:rsidRPr="00793028">
              <w:rPr>
                <w:rFonts w:eastAsia="Times New Roman" w:cs="Times New Roman"/>
                <w:i/>
                <w:iCs/>
                <w:color w:val="000000"/>
                <w:sz w:val="22"/>
                <w:lang w:eastAsia="pt-PT"/>
              </w:rPr>
              <w:t xml:space="preserve">Cross - </w:t>
            </w:r>
            <w:proofErr w:type="spellStart"/>
            <w:r w:rsidRPr="00793028">
              <w:rPr>
                <w:rFonts w:eastAsia="Times New Roman" w:cs="Times New Roman"/>
                <w:i/>
                <w:iCs/>
                <w:color w:val="000000"/>
                <w:sz w:val="22"/>
                <w:lang w:eastAsia="pt-PT"/>
              </w:rPr>
              <w:t>Section</w:t>
            </w:r>
            <w:proofErr w:type="spellEnd"/>
            <w:r w:rsidRPr="00793028">
              <w:rPr>
                <w:rFonts w:eastAsia="Times New Roman" w:cs="Times New Roman"/>
                <w:i/>
                <w:iCs/>
                <w:color w:val="000000"/>
                <w:sz w:val="22"/>
                <w:lang w:eastAsia="pt-PT"/>
              </w:rPr>
              <w:t xml:space="preserve"> </w:t>
            </w:r>
            <w:proofErr w:type="spellStart"/>
            <w:r w:rsidRPr="00793028">
              <w:rPr>
                <w:rFonts w:eastAsia="Times New Roman" w:cs="Times New Roman"/>
                <w:i/>
                <w:iCs/>
                <w:color w:val="000000"/>
                <w:sz w:val="22"/>
                <w:lang w:eastAsia="pt-PT"/>
              </w:rPr>
              <w:t>Random</w:t>
            </w:r>
            <w:proofErr w:type="spellEnd"/>
            <w:r w:rsidRPr="00793028">
              <w:rPr>
                <w:rFonts w:eastAsia="Times New Roman" w:cs="Times New Roman"/>
                <w:i/>
                <w:iCs/>
                <w:color w:val="000000"/>
                <w:sz w:val="22"/>
                <w:lang w:eastAsia="pt-PT"/>
              </w:rPr>
              <w:t xml:space="preserve"> </w:t>
            </w:r>
          </w:p>
        </w:tc>
        <w:tc>
          <w:tcPr>
            <w:tcW w:w="1701" w:type="dxa"/>
            <w:tcBorders>
              <w:bottom w:val="double" w:sz="4" w:space="0" w:color="auto"/>
            </w:tcBorders>
            <w:shd w:val="clear" w:color="auto" w:fill="E7E6E6" w:themeFill="background2"/>
            <w:noWrap/>
            <w:hideMark/>
          </w:tcPr>
          <w:p w14:paraId="17785E8D" w14:textId="77777777" w:rsidR="00FA27A6" w:rsidRPr="00793028" w:rsidRDefault="00FA27A6" w:rsidP="00BE4B8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i/>
                <w:iCs/>
                <w:color w:val="000000"/>
                <w:sz w:val="22"/>
                <w:lang w:eastAsia="pt-PT"/>
              </w:rPr>
            </w:pPr>
            <w:r w:rsidRPr="00793028">
              <w:rPr>
                <w:rFonts w:eastAsia="Times New Roman" w:cs="Times New Roman"/>
                <w:i/>
                <w:iCs/>
                <w:color w:val="000000"/>
                <w:sz w:val="22"/>
                <w:lang w:eastAsia="pt-PT"/>
              </w:rPr>
              <w:t>15,884</w:t>
            </w:r>
          </w:p>
        </w:tc>
        <w:tc>
          <w:tcPr>
            <w:tcW w:w="1275" w:type="dxa"/>
            <w:tcBorders>
              <w:bottom w:val="double" w:sz="4" w:space="0" w:color="auto"/>
            </w:tcBorders>
            <w:shd w:val="clear" w:color="auto" w:fill="E7E6E6" w:themeFill="background2"/>
            <w:noWrap/>
            <w:hideMark/>
          </w:tcPr>
          <w:p w14:paraId="7FD008DB" w14:textId="77777777" w:rsidR="00FA27A6" w:rsidRPr="00793028" w:rsidRDefault="00FA27A6" w:rsidP="00BE4B8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i/>
                <w:iCs/>
                <w:color w:val="000000"/>
                <w:sz w:val="22"/>
                <w:lang w:eastAsia="pt-PT"/>
              </w:rPr>
            </w:pPr>
            <w:r w:rsidRPr="00793028">
              <w:rPr>
                <w:rFonts w:eastAsia="Times New Roman" w:cs="Times New Roman"/>
                <w:i/>
                <w:iCs/>
                <w:color w:val="000000"/>
                <w:sz w:val="22"/>
                <w:lang w:eastAsia="pt-PT"/>
              </w:rPr>
              <w:t>5</w:t>
            </w:r>
          </w:p>
        </w:tc>
        <w:tc>
          <w:tcPr>
            <w:tcW w:w="1134" w:type="dxa"/>
            <w:tcBorders>
              <w:bottom w:val="double" w:sz="4" w:space="0" w:color="auto"/>
            </w:tcBorders>
            <w:shd w:val="clear" w:color="auto" w:fill="E7E6E6" w:themeFill="background2"/>
            <w:noWrap/>
            <w:hideMark/>
          </w:tcPr>
          <w:p w14:paraId="6AF0BE41" w14:textId="450B1157" w:rsidR="00FA27A6" w:rsidRPr="00793028" w:rsidRDefault="00FA27A6" w:rsidP="00BE4B8A">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i/>
                <w:iCs/>
                <w:color w:val="000000"/>
                <w:sz w:val="22"/>
                <w:lang w:eastAsia="pt-PT"/>
              </w:rPr>
            </w:pPr>
            <w:r w:rsidRPr="00793028">
              <w:rPr>
                <w:rFonts w:eastAsia="Times New Roman" w:cs="Times New Roman"/>
                <w:i/>
                <w:iCs/>
                <w:color w:val="000000"/>
                <w:sz w:val="22"/>
                <w:lang w:eastAsia="pt-PT"/>
              </w:rPr>
              <w:t>0,007</w:t>
            </w:r>
          </w:p>
        </w:tc>
      </w:tr>
    </w:tbl>
    <w:p w14:paraId="71CD2A1B" w14:textId="2C94024C" w:rsidR="00FA27A6" w:rsidRDefault="00FA27A6" w:rsidP="00CD3802">
      <w:pPr>
        <w:spacing w:before="240" w:line="360" w:lineRule="auto"/>
        <w:jc w:val="both"/>
        <w:rPr>
          <w:rFonts w:eastAsiaTheme="minorEastAsia"/>
          <w:iCs/>
        </w:rPr>
      </w:pPr>
      <w:r>
        <w:rPr>
          <w:rFonts w:eastAsiaTheme="minorEastAsia"/>
        </w:rPr>
        <w:t xml:space="preserve">Este teste considera como </w:t>
      </w:r>
      <m:oMath>
        <m:sSub>
          <m:sSubPr>
            <m:ctrlPr>
              <w:rPr>
                <w:rFonts w:ascii="Cambria Math" w:eastAsiaTheme="minorEastAsia" w:hAnsi="Cambria Math"/>
                <w:iCs/>
              </w:rPr>
            </m:ctrlPr>
          </m:sSubPr>
          <m:e>
            <m:r>
              <m:rPr>
                <m:sty m:val="p"/>
              </m:rPr>
              <w:rPr>
                <w:rFonts w:ascii="Cambria Math" w:eastAsiaTheme="minorEastAsia" w:hAnsi="Cambria Math"/>
              </w:rPr>
              <m:t>H</m:t>
            </m:r>
          </m:e>
          <m:sub>
            <m:r>
              <m:rPr>
                <m:sty m:val="p"/>
              </m:rPr>
              <w:rPr>
                <w:rFonts w:ascii="Cambria Math" w:eastAsiaTheme="minorEastAsia" w:hAnsi="Cambria Math"/>
              </w:rPr>
              <m:t>0</m:t>
            </m:r>
          </m:sub>
        </m:sSub>
      </m:oMath>
      <w:r>
        <w:rPr>
          <w:rFonts w:eastAsiaTheme="minorEastAsia"/>
          <w:iCs/>
        </w:rPr>
        <w:t xml:space="preserve">, o </w:t>
      </w:r>
      <w:r w:rsidR="00457CE5">
        <w:rPr>
          <w:rFonts w:eastAsiaTheme="minorEastAsia"/>
          <w:iCs/>
        </w:rPr>
        <w:t>m</w:t>
      </w:r>
      <w:r>
        <w:rPr>
          <w:rFonts w:eastAsiaTheme="minorEastAsia"/>
          <w:iCs/>
        </w:rPr>
        <w:t xml:space="preserve">odelo de </w:t>
      </w:r>
      <w:r w:rsidR="00457CE5">
        <w:rPr>
          <w:rFonts w:eastAsiaTheme="minorEastAsia"/>
          <w:iCs/>
        </w:rPr>
        <w:t>e</w:t>
      </w:r>
      <w:r>
        <w:rPr>
          <w:rFonts w:eastAsiaTheme="minorEastAsia"/>
          <w:iCs/>
        </w:rPr>
        <w:t xml:space="preserve">feitos </w:t>
      </w:r>
      <w:r w:rsidR="00457CE5">
        <w:rPr>
          <w:rFonts w:eastAsiaTheme="minorEastAsia"/>
          <w:iCs/>
        </w:rPr>
        <w:t>a</w:t>
      </w:r>
      <w:r>
        <w:rPr>
          <w:rFonts w:eastAsiaTheme="minorEastAsia"/>
          <w:iCs/>
        </w:rPr>
        <w:t xml:space="preserve">leatórios como o mais apropriado para estimar o modelo de regressão. Por outro lado, considera a </w:t>
      </w:r>
      <m:oMath>
        <m:sSub>
          <m:sSubPr>
            <m:ctrlPr>
              <w:rPr>
                <w:rFonts w:ascii="Cambria Math" w:eastAsiaTheme="minorEastAsia" w:hAnsi="Cambria Math"/>
                <w:iCs/>
              </w:rPr>
            </m:ctrlPr>
          </m:sSubPr>
          <m:e>
            <m:r>
              <m:rPr>
                <m:sty m:val="p"/>
              </m:rPr>
              <w:rPr>
                <w:rFonts w:ascii="Cambria Math" w:eastAsiaTheme="minorEastAsia" w:hAnsi="Cambria Math"/>
              </w:rPr>
              <m:t>H</m:t>
            </m:r>
          </m:e>
          <m:sub>
            <m:r>
              <m:rPr>
                <m:sty m:val="p"/>
              </m:rPr>
              <w:rPr>
                <w:rFonts w:ascii="Cambria Math" w:eastAsiaTheme="minorEastAsia" w:hAnsi="Cambria Math"/>
              </w:rPr>
              <m:t>1</m:t>
            </m:r>
          </m:sub>
        </m:sSub>
      </m:oMath>
      <w:r>
        <w:rPr>
          <w:rFonts w:eastAsiaTheme="minorEastAsia"/>
          <w:iCs/>
        </w:rPr>
        <w:t xml:space="preserve"> como o </w:t>
      </w:r>
      <w:r w:rsidR="00457CE5">
        <w:rPr>
          <w:rFonts w:eastAsiaTheme="minorEastAsia"/>
          <w:iCs/>
        </w:rPr>
        <w:t>m</w:t>
      </w:r>
      <w:r>
        <w:rPr>
          <w:rFonts w:eastAsiaTheme="minorEastAsia"/>
          <w:iCs/>
        </w:rPr>
        <w:t xml:space="preserve">odelo de </w:t>
      </w:r>
      <w:r w:rsidR="00457CE5">
        <w:rPr>
          <w:rFonts w:eastAsiaTheme="minorEastAsia"/>
          <w:iCs/>
        </w:rPr>
        <w:t>e</w:t>
      </w:r>
      <w:r>
        <w:rPr>
          <w:rFonts w:eastAsiaTheme="minorEastAsia"/>
          <w:iCs/>
        </w:rPr>
        <w:t xml:space="preserve">feitos </w:t>
      </w:r>
      <w:r w:rsidR="00457CE5">
        <w:rPr>
          <w:rFonts w:eastAsiaTheme="minorEastAsia"/>
          <w:iCs/>
        </w:rPr>
        <w:t>f</w:t>
      </w:r>
      <w:r>
        <w:rPr>
          <w:rFonts w:eastAsiaTheme="minorEastAsia"/>
          <w:iCs/>
        </w:rPr>
        <w:t>ixos mais adequado.</w:t>
      </w:r>
    </w:p>
    <w:p w14:paraId="1D6E9E72" w14:textId="4FC51CFE" w:rsidR="00FA27A6" w:rsidRDefault="00FA27A6" w:rsidP="001B55D8">
      <w:pPr>
        <w:spacing w:line="360" w:lineRule="auto"/>
        <w:jc w:val="both"/>
        <w:rPr>
          <w:rFonts w:eastAsiaTheme="minorEastAsia"/>
          <w:iCs/>
        </w:rPr>
      </w:pPr>
      <w:r>
        <w:rPr>
          <w:rFonts w:eastAsiaTheme="minorEastAsia"/>
          <w:iCs/>
        </w:rPr>
        <w:lastRenderedPageBreak/>
        <w:t xml:space="preserve">O </w:t>
      </w:r>
      <w:r w:rsidR="00E122D8">
        <w:rPr>
          <w:rFonts w:eastAsiaTheme="minorEastAsia"/>
          <w:iCs/>
        </w:rPr>
        <w:t xml:space="preserve">valor </w:t>
      </w:r>
      <w:r w:rsidRPr="0095701C">
        <w:rPr>
          <w:rFonts w:eastAsiaTheme="minorEastAsia"/>
          <w:i/>
        </w:rPr>
        <w:t>p-</w:t>
      </w:r>
      <w:proofErr w:type="spellStart"/>
      <w:r w:rsidRPr="00BE4B8A">
        <w:rPr>
          <w:rFonts w:eastAsiaTheme="minorEastAsia"/>
          <w:i/>
        </w:rPr>
        <w:t>value</w:t>
      </w:r>
      <w:proofErr w:type="spellEnd"/>
      <w:r>
        <w:rPr>
          <w:rFonts w:eastAsiaTheme="minorEastAsia"/>
          <w:iCs/>
        </w:rPr>
        <w:t xml:space="preserve">, conforme </w:t>
      </w:r>
      <w:r w:rsidR="00B4646C">
        <w:rPr>
          <w:rFonts w:eastAsiaTheme="minorEastAsia"/>
          <w:iCs/>
        </w:rPr>
        <w:t>se pode</w:t>
      </w:r>
      <w:r>
        <w:rPr>
          <w:rFonts w:eastAsiaTheme="minorEastAsia"/>
          <w:iCs/>
        </w:rPr>
        <w:t xml:space="preserve"> observar na </w:t>
      </w:r>
      <w:r w:rsidR="004A4E1E">
        <w:rPr>
          <w:rFonts w:eastAsiaTheme="minorEastAsia"/>
          <w:iCs/>
        </w:rPr>
        <w:t>T</w:t>
      </w:r>
      <w:r>
        <w:rPr>
          <w:rFonts w:eastAsiaTheme="minorEastAsia"/>
          <w:iCs/>
        </w:rPr>
        <w:t>abela 4.1</w:t>
      </w:r>
      <w:r w:rsidR="007F6D51">
        <w:rPr>
          <w:rFonts w:eastAsiaTheme="minorEastAsia"/>
          <w:iCs/>
        </w:rPr>
        <w:t>7</w:t>
      </w:r>
      <w:r>
        <w:rPr>
          <w:rFonts w:eastAsiaTheme="minorEastAsia"/>
          <w:iCs/>
        </w:rPr>
        <w:t>, é inferior a 0,05 (</w:t>
      </w:r>
      <w:r w:rsidR="00793028">
        <w:rPr>
          <w:rFonts w:eastAsiaTheme="minorEastAsia"/>
          <w:i/>
        </w:rPr>
        <w:t>p-</w:t>
      </w:r>
      <w:proofErr w:type="spellStart"/>
      <w:r w:rsidR="00793028">
        <w:rPr>
          <w:rFonts w:eastAsiaTheme="minorEastAsia"/>
          <w:i/>
        </w:rPr>
        <w:t>value</w:t>
      </w:r>
      <w:proofErr w:type="spellEnd"/>
      <w:r>
        <w:rPr>
          <w:rFonts w:eastAsiaTheme="minorEastAsia"/>
          <w:iCs/>
        </w:rPr>
        <w:t xml:space="preserve"> = 0,007) o que permite rejeitar a Hipótese Nula e, afirmar, que o </w:t>
      </w:r>
      <w:r w:rsidR="00457CE5">
        <w:rPr>
          <w:rFonts w:eastAsiaTheme="minorEastAsia"/>
          <w:iCs/>
        </w:rPr>
        <w:t>m</w:t>
      </w:r>
      <w:r>
        <w:rPr>
          <w:rFonts w:eastAsiaTheme="minorEastAsia"/>
          <w:iCs/>
        </w:rPr>
        <w:t xml:space="preserve">odelo dos </w:t>
      </w:r>
      <w:r w:rsidR="00457CE5">
        <w:rPr>
          <w:rFonts w:eastAsiaTheme="minorEastAsia"/>
          <w:iCs/>
        </w:rPr>
        <w:t>e</w:t>
      </w:r>
      <w:r>
        <w:rPr>
          <w:rFonts w:eastAsiaTheme="minorEastAsia"/>
          <w:iCs/>
        </w:rPr>
        <w:t xml:space="preserve">feitos </w:t>
      </w:r>
      <w:r w:rsidR="00457CE5">
        <w:rPr>
          <w:rFonts w:eastAsiaTheme="minorEastAsia"/>
          <w:iCs/>
        </w:rPr>
        <w:t>f</w:t>
      </w:r>
      <w:r>
        <w:rPr>
          <w:rFonts w:eastAsiaTheme="minorEastAsia"/>
          <w:iCs/>
        </w:rPr>
        <w:t xml:space="preserve">ixos, tal como no </w:t>
      </w:r>
      <w:r w:rsidR="00457CE5">
        <w:rPr>
          <w:rFonts w:eastAsiaTheme="minorEastAsia"/>
          <w:iCs/>
        </w:rPr>
        <w:t>t</w:t>
      </w:r>
      <w:r>
        <w:rPr>
          <w:rFonts w:eastAsiaTheme="minorEastAsia"/>
          <w:iCs/>
        </w:rPr>
        <w:t xml:space="preserve">este </w:t>
      </w:r>
      <w:r w:rsidRPr="00BE4B8A">
        <w:rPr>
          <w:rFonts w:eastAsiaTheme="minorEastAsia"/>
          <w:i/>
        </w:rPr>
        <w:t>F</w:t>
      </w:r>
      <w:r>
        <w:rPr>
          <w:rFonts w:eastAsiaTheme="minorEastAsia"/>
          <w:iCs/>
        </w:rPr>
        <w:t xml:space="preserve">, é o mais apropriado para estimar o modelo de </w:t>
      </w:r>
      <w:r w:rsidR="00457CE5">
        <w:rPr>
          <w:rFonts w:eastAsiaTheme="minorEastAsia"/>
          <w:iCs/>
        </w:rPr>
        <w:t>r</w:t>
      </w:r>
      <w:r w:rsidR="003349E0">
        <w:rPr>
          <w:rFonts w:eastAsiaTheme="minorEastAsia"/>
          <w:iCs/>
        </w:rPr>
        <w:t xml:space="preserve">egressão </w:t>
      </w:r>
      <w:r w:rsidR="00457CE5">
        <w:rPr>
          <w:rFonts w:eastAsiaTheme="minorEastAsia"/>
          <w:iCs/>
        </w:rPr>
        <w:t>l</w:t>
      </w:r>
      <w:r w:rsidR="003349E0">
        <w:rPr>
          <w:rFonts w:eastAsiaTheme="minorEastAsia"/>
          <w:iCs/>
        </w:rPr>
        <w:t xml:space="preserve">inear </w:t>
      </w:r>
      <w:r w:rsidR="00457CE5">
        <w:rPr>
          <w:rFonts w:eastAsiaTheme="minorEastAsia"/>
          <w:iCs/>
        </w:rPr>
        <w:t>m</w:t>
      </w:r>
      <w:r w:rsidR="003349E0">
        <w:rPr>
          <w:rFonts w:eastAsiaTheme="minorEastAsia"/>
          <w:iCs/>
        </w:rPr>
        <w:t xml:space="preserve">últipla com </w:t>
      </w:r>
      <w:r w:rsidR="00457CE5">
        <w:rPr>
          <w:rFonts w:eastAsiaTheme="minorEastAsia"/>
          <w:iCs/>
        </w:rPr>
        <w:t>d</w:t>
      </w:r>
      <w:r w:rsidR="003349E0">
        <w:rPr>
          <w:rFonts w:eastAsiaTheme="minorEastAsia"/>
          <w:iCs/>
        </w:rPr>
        <w:t xml:space="preserve">ados em </w:t>
      </w:r>
      <w:r w:rsidR="00457CE5">
        <w:rPr>
          <w:rFonts w:eastAsiaTheme="minorEastAsia"/>
          <w:iCs/>
        </w:rPr>
        <w:t>p</w:t>
      </w:r>
      <w:r w:rsidR="003349E0">
        <w:rPr>
          <w:rFonts w:eastAsiaTheme="minorEastAsia"/>
          <w:iCs/>
        </w:rPr>
        <w:t xml:space="preserve">ainel. </w:t>
      </w:r>
    </w:p>
    <w:p w14:paraId="346F0B8C" w14:textId="478786EB" w:rsidR="00A32816" w:rsidRDefault="0073525D" w:rsidP="001B55D8">
      <w:pPr>
        <w:spacing w:line="360" w:lineRule="auto"/>
        <w:jc w:val="both"/>
        <w:rPr>
          <w:rFonts w:eastAsiaTheme="minorEastAsia"/>
          <w:iCs/>
        </w:rPr>
      </w:pPr>
      <w:r>
        <w:rPr>
          <w:rFonts w:eastAsiaTheme="minorEastAsia"/>
          <w:iCs/>
        </w:rPr>
        <w:t xml:space="preserve">Neste momento, </w:t>
      </w:r>
      <w:r w:rsidR="00B4646C">
        <w:rPr>
          <w:rFonts w:eastAsiaTheme="minorEastAsia"/>
          <w:iCs/>
        </w:rPr>
        <w:t>relembra-se</w:t>
      </w:r>
      <w:r>
        <w:rPr>
          <w:rFonts w:eastAsiaTheme="minorEastAsia"/>
          <w:iCs/>
        </w:rPr>
        <w:t xml:space="preserve"> que foram estimados quatro </w:t>
      </w:r>
      <w:r w:rsidR="00457CE5">
        <w:rPr>
          <w:rFonts w:eastAsiaTheme="minorEastAsia"/>
          <w:iCs/>
        </w:rPr>
        <w:t>m</w:t>
      </w:r>
      <w:r>
        <w:rPr>
          <w:rFonts w:eastAsiaTheme="minorEastAsia"/>
          <w:iCs/>
        </w:rPr>
        <w:t xml:space="preserve">odelos de </w:t>
      </w:r>
      <w:r w:rsidR="00457CE5">
        <w:rPr>
          <w:rFonts w:eastAsiaTheme="minorEastAsia"/>
          <w:iCs/>
        </w:rPr>
        <w:t>r</w:t>
      </w:r>
      <w:r>
        <w:rPr>
          <w:rFonts w:eastAsiaTheme="minorEastAsia"/>
          <w:iCs/>
        </w:rPr>
        <w:t>egressão conforme as equações 4.2, 4.3, 4.4, 4.5</w:t>
      </w:r>
      <w:r w:rsidR="00E278FB">
        <w:rPr>
          <w:rFonts w:eastAsiaTheme="minorEastAsia"/>
          <w:iCs/>
        </w:rPr>
        <w:t xml:space="preserve">. Como já enunciado, através dos testes estatísticos efetuados, a técnica de </w:t>
      </w:r>
      <w:r w:rsidR="00457CE5">
        <w:rPr>
          <w:rFonts w:eastAsiaTheme="minorEastAsia"/>
          <w:iCs/>
        </w:rPr>
        <w:t>e</w:t>
      </w:r>
      <w:r w:rsidR="00E278FB">
        <w:rPr>
          <w:rFonts w:eastAsiaTheme="minorEastAsia"/>
          <w:iCs/>
        </w:rPr>
        <w:t xml:space="preserve">feitos </w:t>
      </w:r>
      <w:r w:rsidR="00457CE5">
        <w:rPr>
          <w:rFonts w:eastAsiaTheme="minorEastAsia"/>
          <w:iCs/>
        </w:rPr>
        <w:t>f</w:t>
      </w:r>
      <w:r w:rsidR="00E278FB">
        <w:rPr>
          <w:rFonts w:eastAsiaTheme="minorEastAsia"/>
          <w:iCs/>
        </w:rPr>
        <w:t xml:space="preserve">ixos é a mais apropriada para estimar o modelo. Desta forma, apresenta-se na </w:t>
      </w:r>
      <w:r w:rsidR="004A4E1E">
        <w:rPr>
          <w:rFonts w:eastAsiaTheme="minorEastAsia"/>
          <w:iCs/>
        </w:rPr>
        <w:t>T</w:t>
      </w:r>
      <w:r w:rsidR="00E278FB">
        <w:rPr>
          <w:rFonts w:eastAsiaTheme="minorEastAsia"/>
          <w:iCs/>
        </w:rPr>
        <w:t xml:space="preserve">abela </w:t>
      </w:r>
      <w:r w:rsidR="00E278FB" w:rsidRPr="00C808BF">
        <w:rPr>
          <w:rFonts w:eastAsiaTheme="minorEastAsia"/>
          <w:iCs/>
        </w:rPr>
        <w:t>4.</w:t>
      </w:r>
      <w:r w:rsidR="00A441D5">
        <w:rPr>
          <w:rFonts w:eastAsiaTheme="minorEastAsia"/>
          <w:iCs/>
        </w:rPr>
        <w:t>1</w:t>
      </w:r>
      <w:r w:rsidR="007F6D51">
        <w:rPr>
          <w:rFonts w:eastAsiaTheme="minorEastAsia"/>
          <w:iCs/>
        </w:rPr>
        <w:t>8</w:t>
      </w:r>
      <w:r w:rsidR="00E278FB">
        <w:rPr>
          <w:rFonts w:eastAsiaTheme="minorEastAsia"/>
          <w:iCs/>
        </w:rPr>
        <w:t xml:space="preserve"> os resultados obtidos. Não obstante, também foram estimados os mesmos </w:t>
      </w:r>
      <w:r w:rsidR="00457CE5">
        <w:rPr>
          <w:rFonts w:eastAsiaTheme="minorEastAsia"/>
          <w:iCs/>
        </w:rPr>
        <w:t>m</w:t>
      </w:r>
      <w:r w:rsidR="00E278FB">
        <w:rPr>
          <w:rFonts w:eastAsiaTheme="minorEastAsia"/>
          <w:iCs/>
        </w:rPr>
        <w:t xml:space="preserve">odelos de regressão com base na técnica </w:t>
      </w:r>
      <w:proofErr w:type="spellStart"/>
      <w:r w:rsidR="00457CE5">
        <w:rPr>
          <w:rFonts w:eastAsiaTheme="minorEastAsia"/>
          <w:i/>
        </w:rPr>
        <w:t>p</w:t>
      </w:r>
      <w:r w:rsidR="00E278FB" w:rsidRPr="00E278FB">
        <w:rPr>
          <w:rFonts w:eastAsiaTheme="minorEastAsia"/>
          <w:i/>
        </w:rPr>
        <w:t>ooled</w:t>
      </w:r>
      <w:proofErr w:type="spellEnd"/>
      <w:r w:rsidR="00E278FB">
        <w:rPr>
          <w:rFonts w:eastAsiaTheme="minorEastAsia"/>
          <w:iCs/>
        </w:rPr>
        <w:t xml:space="preserve"> e na técnica de </w:t>
      </w:r>
      <w:r w:rsidR="00457CE5">
        <w:rPr>
          <w:rFonts w:eastAsiaTheme="minorEastAsia"/>
          <w:iCs/>
        </w:rPr>
        <w:t>e</w:t>
      </w:r>
      <w:r w:rsidR="00E278FB">
        <w:rPr>
          <w:rFonts w:eastAsiaTheme="minorEastAsia"/>
          <w:iCs/>
        </w:rPr>
        <w:t xml:space="preserve">feitos </w:t>
      </w:r>
      <w:r w:rsidR="00457CE5">
        <w:rPr>
          <w:rFonts w:eastAsiaTheme="minorEastAsia"/>
          <w:iCs/>
        </w:rPr>
        <w:t>a</w:t>
      </w:r>
      <w:r w:rsidR="00E278FB">
        <w:rPr>
          <w:rFonts w:eastAsiaTheme="minorEastAsia"/>
          <w:iCs/>
        </w:rPr>
        <w:t xml:space="preserve">leatórios, no qual os resultados obtidos estão apresentados nos </w:t>
      </w:r>
      <w:r w:rsidR="00F338BB">
        <w:rPr>
          <w:rFonts w:eastAsiaTheme="minorEastAsia"/>
          <w:iCs/>
        </w:rPr>
        <w:t>A</w:t>
      </w:r>
      <w:r w:rsidR="00E278FB">
        <w:rPr>
          <w:rFonts w:eastAsiaTheme="minorEastAsia"/>
          <w:iCs/>
        </w:rPr>
        <w:t xml:space="preserve">pêndices </w:t>
      </w:r>
      <w:r w:rsidR="007F6D51">
        <w:rPr>
          <w:rFonts w:eastAsiaTheme="minorEastAsia"/>
          <w:iCs/>
        </w:rPr>
        <w:t>5</w:t>
      </w:r>
      <w:r w:rsidR="00E278FB">
        <w:rPr>
          <w:rFonts w:eastAsiaTheme="minorEastAsia"/>
          <w:iCs/>
        </w:rPr>
        <w:t xml:space="preserve"> e </w:t>
      </w:r>
      <w:r w:rsidR="007F6D51">
        <w:rPr>
          <w:rFonts w:eastAsiaTheme="minorEastAsia"/>
          <w:iCs/>
        </w:rPr>
        <w:t>6</w:t>
      </w:r>
      <w:r w:rsidR="00E278FB">
        <w:rPr>
          <w:rFonts w:eastAsiaTheme="minorEastAsia"/>
          <w:iCs/>
        </w:rPr>
        <w:t>.</w:t>
      </w:r>
    </w:p>
    <w:p w14:paraId="663B719B" w14:textId="3BD651DD" w:rsidR="00C00290" w:rsidRPr="00D4605F" w:rsidRDefault="00C00290" w:rsidP="00C65C8B">
      <w:pPr>
        <w:pStyle w:val="Legenda"/>
        <w:keepNext/>
        <w:spacing w:after="60"/>
        <w:jc w:val="center"/>
        <w:rPr>
          <w:b w:val="0"/>
          <w:color w:val="auto"/>
          <w:sz w:val="24"/>
        </w:rPr>
      </w:pPr>
      <w:bookmarkStart w:id="130" w:name="_Toc58853178"/>
      <w:bookmarkStart w:id="131" w:name="_Toc66624267"/>
      <w:r w:rsidRPr="00D4605F">
        <w:rPr>
          <w:color w:val="auto"/>
          <w:sz w:val="24"/>
        </w:rPr>
        <w:t xml:space="preserve">Tabela </w:t>
      </w:r>
      <w:r w:rsidR="00843BFC">
        <w:rPr>
          <w:color w:val="auto"/>
          <w:sz w:val="24"/>
        </w:rPr>
        <w:fldChar w:fldCharType="begin"/>
      </w:r>
      <w:r w:rsidR="00843BFC">
        <w:rPr>
          <w:color w:val="auto"/>
          <w:sz w:val="24"/>
        </w:rPr>
        <w:instrText xml:space="preserve"> STYLEREF 1 \s </w:instrText>
      </w:r>
      <w:r w:rsidR="00843BFC">
        <w:rPr>
          <w:color w:val="auto"/>
          <w:sz w:val="24"/>
        </w:rPr>
        <w:fldChar w:fldCharType="separate"/>
      </w:r>
      <w:r w:rsidR="00380A6F">
        <w:rPr>
          <w:noProof/>
          <w:color w:val="auto"/>
          <w:sz w:val="24"/>
        </w:rPr>
        <w:t>4</w:t>
      </w:r>
      <w:r w:rsidR="00843BFC">
        <w:rPr>
          <w:color w:val="auto"/>
          <w:sz w:val="24"/>
        </w:rPr>
        <w:fldChar w:fldCharType="end"/>
      </w:r>
      <w:r w:rsidR="00843BFC">
        <w:rPr>
          <w:color w:val="auto"/>
          <w:sz w:val="24"/>
        </w:rPr>
        <w:t>.</w:t>
      </w:r>
      <w:r w:rsidR="00843BFC">
        <w:rPr>
          <w:color w:val="auto"/>
          <w:sz w:val="24"/>
        </w:rPr>
        <w:fldChar w:fldCharType="begin"/>
      </w:r>
      <w:r w:rsidR="00843BFC">
        <w:rPr>
          <w:color w:val="auto"/>
          <w:sz w:val="24"/>
        </w:rPr>
        <w:instrText xml:space="preserve"> SEQ Tabela \* ARABIC \s 1 </w:instrText>
      </w:r>
      <w:r w:rsidR="00843BFC">
        <w:rPr>
          <w:color w:val="auto"/>
          <w:sz w:val="24"/>
        </w:rPr>
        <w:fldChar w:fldCharType="separate"/>
      </w:r>
      <w:r w:rsidR="00380A6F">
        <w:rPr>
          <w:noProof/>
          <w:color w:val="auto"/>
          <w:sz w:val="24"/>
        </w:rPr>
        <w:t>18</w:t>
      </w:r>
      <w:r w:rsidR="00843BFC">
        <w:rPr>
          <w:color w:val="auto"/>
          <w:sz w:val="24"/>
        </w:rPr>
        <w:fldChar w:fldCharType="end"/>
      </w:r>
      <w:r w:rsidRPr="00D4605F">
        <w:rPr>
          <w:color w:val="auto"/>
          <w:sz w:val="24"/>
        </w:rPr>
        <w:t xml:space="preserve"> </w:t>
      </w:r>
      <w:r w:rsidR="00D4605F" w:rsidRPr="00D4605F">
        <w:rPr>
          <w:color w:val="auto"/>
          <w:sz w:val="24"/>
        </w:rPr>
        <w:t>–</w:t>
      </w:r>
      <w:r w:rsidRPr="00D4605F">
        <w:rPr>
          <w:color w:val="auto"/>
          <w:sz w:val="24"/>
        </w:rPr>
        <w:t xml:space="preserve"> </w:t>
      </w:r>
      <w:r w:rsidR="00D4605F" w:rsidRPr="00D4605F">
        <w:rPr>
          <w:b w:val="0"/>
          <w:color w:val="auto"/>
          <w:sz w:val="24"/>
        </w:rPr>
        <w:t>Modelos de Regressão Linear Múltipla com Dados em Painel</w:t>
      </w:r>
      <w:bookmarkEnd w:id="130"/>
      <w:bookmarkEnd w:id="131"/>
    </w:p>
    <w:tbl>
      <w:tblPr>
        <w:tblW w:w="7797" w:type="dxa"/>
        <w:jc w:val="center"/>
        <w:tblCellMar>
          <w:left w:w="70" w:type="dxa"/>
          <w:right w:w="70" w:type="dxa"/>
        </w:tblCellMar>
        <w:tblLook w:val="04A0" w:firstRow="1" w:lastRow="0" w:firstColumn="1" w:lastColumn="0" w:noHBand="0" w:noVBand="1"/>
      </w:tblPr>
      <w:tblGrid>
        <w:gridCol w:w="1276"/>
        <w:gridCol w:w="425"/>
        <w:gridCol w:w="1843"/>
        <w:gridCol w:w="690"/>
        <w:gridCol w:w="1276"/>
        <w:gridCol w:w="1417"/>
        <w:gridCol w:w="870"/>
      </w:tblGrid>
      <w:tr w:rsidR="00CF1D64" w:rsidRPr="005E28E7" w14:paraId="765668D4" w14:textId="77777777" w:rsidTr="00793028">
        <w:trPr>
          <w:trHeight w:val="248"/>
          <w:jc w:val="center"/>
        </w:trPr>
        <w:tc>
          <w:tcPr>
            <w:tcW w:w="1276" w:type="dxa"/>
            <w:tcBorders>
              <w:top w:val="double" w:sz="6" w:space="0" w:color="auto"/>
              <w:left w:val="nil"/>
              <w:bottom w:val="single" w:sz="4" w:space="0" w:color="auto"/>
              <w:right w:val="nil"/>
            </w:tcBorders>
            <w:shd w:val="clear" w:color="auto" w:fill="auto"/>
            <w:noWrap/>
            <w:vAlign w:val="bottom"/>
            <w:hideMark/>
          </w:tcPr>
          <w:p w14:paraId="0E5CB538" w14:textId="77777777" w:rsidR="00CF1D64" w:rsidRPr="00282F8F" w:rsidRDefault="00CF1D64" w:rsidP="00CF1D64">
            <w:pPr>
              <w:spacing w:after="0" w:line="240" w:lineRule="auto"/>
              <w:jc w:val="center"/>
              <w:rPr>
                <w:rFonts w:eastAsia="Times New Roman" w:cs="Times New Roman"/>
                <w:b/>
                <w:bCs/>
                <w:color w:val="000000"/>
                <w:sz w:val="20"/>
                <w:lang w:eastAsia="pt-PT"/>
              </w:rPr>
            </w:pPr>
            <w:r w:rsidRPr="00282F8F">
              <w:rPr>
                <w:rFonts w:eastAsia="Times New Roman" w:cs="Times New Roman"/>
                <w:b/>
                <w:bCs/>
                <w:color w:val="000000"/>
                <w:sz w:val="20"/>
                <w:lang w:eastAsia="pt-PT"/>
              </w:rPr>
              <w:t>Modelos</w:t>
            </w:r>
          </w:p>
        </w:tc>
        <w:tc>
          <w:tcPr>
            <w:tcW w:w="425" w:type="dxa"/>
            <w:tcBorders>
              <w:top w:val="double" w:sz="6" w:space="0" w:color="auto"/>
              <w:left w:val="nil"/>
              <w:bottom w:val="single" w:sz="4" w:space="0" w:color="auto"/>
              <w:right w:val="nil"/>
            </w:tcBorders>
            <w:shd w:val="clear" w:color="auto" w:fill="auto"/>
            <w:noWrap/>
            <w:vAlign w:val="bottom"/>
            <w:hideMark/>
          </w:tcPr>
          <w:p w14:paraId="15A0E290" w14:textId="77777777" w:rsidR="00CF1D64" w:rsidRPr="00282F8F" w:rsidRDefault="00CF1D64" w:rsidP="00CF1D64">
            <w:pPr>
              <w:spacing w:after="0" w:line="240" w:lineRule="auto"/>
              <w:rPr>
                <w:rFonts w:eastAsia="Times New Roman" w:cs="Times New Roman"/>
                <w:b/>
                <w:bCs/>
                <w:color w:val="000000"/>
                <w:sz w:val="20"/>
                <w:lang w:eastAsia="pt-PT"/>
              </w:rPr>
            </w:pPr>
            <w:r w:rsidRPr="00282F8F">
              <w:rPr>
                <w:rFonts w:eastAsia="Times New Roman" w:cs="Times New Roman"/>
                <w:b/>
                <w:bCs/>
                <w:color w:val="000000"/>
                <w:sz w:val="20"/>
                <w:lang w:eastAsia="pt-PT"/>
              </w:rPr>
              <w:t> </w:t>
            </w:r>
          </w:p>
        </w:tc>
        <w:tc>
          <w:tcPr>
            <w:tcW w:w="1843" w:type="dxa"/>
            <w:tcBorders>
              <w:top w:val="double" w:sz="6" w:space="0" w:color="auto"/>
              <w:left w:val="nil"/>
              <w:bottom w:val="single" w:sz="4" w:space="0" w:color="auto"/>
              <w:right w:val="nil"/>
            </w:tcBorders>
            <w:shd w:val="clear" w:color="auto" w:fill="auto"/>
            <w:noWrap/>
            <w:vAlign w:val="bottom"/>
            <w:hideMark/>
          </w:tcPr>
          <w:p w14:paraId="58207126" w14:textId="77777777" w:rsidR="00CF1D64" w:rsidRPr="00282F8F" w:rsidRDefault="00CF1D64" w:rsidP="00CF1D64">
            <w:pPr>
              <w:spacing w:after="0" w:line="240" w:lineRule="auto"/>
              <w:jc w:val="center"/>
              <w:rPr>
                <w:rFonts w:eastAsia="Times New Roman" w:cs="Times New Roman"/>
                <w:b/>
                <w:bCs/>
                <w:color w:val="000000"/>
                <w:sz w:val="20"/>
                <w:lang w:eastAsia="pt-PT"/>
              </w:rPr>
            </w:pPr>
            <w:r w:rsidRPr="00282F8F">
              <w:rPr>
                <w:rFonts w:eastAsia="Times New Roman" w:cs="Times New Roman"/>
                <w:b/>
                <w:bCs/>
                <w:color w:val="000000"/>
                <w:sz w:val="20"/>
                <w:lang w:eastAsia="pt-PT"/>
              </w:rPr>
              <w:t> </w:t>
            </w:r>
          </w:p>
        </w:tc>
        <w:tc>
          <w:tcPr>
            <w:tcW w:w="690" w:type="dxa"/>
            <w:tcBorders>
              <w:top w:val="double" w:sz="6" w:space="0" w:color="auto"/>
              <w:left w:val="nil"/>
              <w:bottom w:val="single" w:sz="4" w:space="0" w:color="auto"/>
              <w:right w:val="nil"/>
            </w:tcBorders>
            <w:shd w:val="clear" w:color="auto" w:fill="auto"/>
            <w:noWrap/>
            <w:vAlign w:val="bottom"/>
            <w:hideMark/>
          </w:tcPr>
          <w:p w14:paraId="6FA1998A" w14:textId="32798819" w:rsidR="00CF1D64" w:rsidRPr="00282F8F" w:rsidRDefault="00CE45E8" w:rsidP="00CF1D64">
            <w:pPr>
              <w:spacing w:after="0" w:line="240" w:lineRule="auto"/>
              <w:jc w:val="center"/>
              <w:rPr>
                <w:rFonts w:eastAsia="Times New Roman" w:cs="Times New Roman"/>
                <w:b/>
                <w:bCs/>
                <w:color w:val="000000"/>
                <w:sz w:val="20"/>
                <w:lang w:eastAsia="pt-PT"/>
              </w:rPr>
            </w:pPr>
            <w:r w:rsidRPr="00282F8F">
              <w:rPr>
                <w:rFonts w:eastAsia="Times New Roman" w:cs="Times New Roman"/>
                <w:b/>
                <w:bCs/>
                <w:color w:val="000000"/>
                <w:sz w:val="20"/>
                <w:lang w:eastAsia="pt-PT"/>
              </w:rPr>
              <w:t>Β</w:t>
            </w:r>
          </w:p>
        </w:tc>
        <w:tc>
          <w:tcPr>
            <w:tcW w:w="1276" w:type="dxa"/>
            <w:tcBorders>
              <w:top w:val="double" w:sz="6" w:space="0" w:color="auto"/>
              <w:left w:val="nil"/>
              <w:bottom w:val="single" w:sz="4" w:space="0" w:color="auto"/>
              <w:right w:val="nil"/>
            </w:tcBorders>
            <w:shd w:val="clear" w:color="auto" w:fill="auto"/>
            <w:noWrap/>
            <w:vAlign w:val="bottom"/>
            <w:hideMark/>
          </w:tcPr>
          <w:p w14:paraId="258C4210" w14:textId="77777777" w:rsidR="00CF1D64" w:rsidRPr="00282F8F" w:rsidRDefault="00CF1D64" w:rsidP="00CF1D64">
            <w:pPr>
              <w:spacing w:after="0" w:line="240" w:lineRule="auto"/>
              <w:jc w:val="center"/>
              <w:rPr>
                <w:rFonts w:eastAsia="Times New Roman" w:cs="Times New Roman"/>
                <w:b/>
                <w:bCs/>
                <w:color w:val="000000"/>
                <w:sz w:val="20"/>
                <w:lang w:eastAsia="pt-PT"/>
              </w:rPr>
            </w:pPr>
            <w:proofErr w:type="spellStart"/>
            <w:r w:rsidRPr="00282F8F">
              <w:rPr>
                <w:rFonts w:eastAsia="Times New Roman" w:cs="Times New Roman"/>
                <w:b/>
                <w:bCs/>
                <w:color w:val="000000"/>
                <w:sz w:val="20"/>
                <w:lang w:eastAsia="pt-PT"/>
              </w:rPr>
              <w:t>Std</w:t>
            </w:r>
            <w:proofErr w:type="spellEnd"/>
            <w:r w:rsidRPr="00282F8F">
              <w:rPr>
                <w:rFonts w:eastAsia="Times New Roman" w:cs="Times New Roman"/>
                <w:b/>
                <w:bCs/>
                <w:color w:val="000000"/>
                <w:sz w:val="20"/>
                <w:lang w:eastAsia="pt-PT"/>
              </w:rPr>
              <w:t>. Error</w:t>
            </w:r>
          </w:p>
        </w:tc>
        <w:tc>
          <w:tcPr>
            <w:tcW w:w="1417" w:type="dxa"/>
            <w:tcBorders>
              <w:top w:val="double" w:sz="6" w:space="0" w:color="auto"/>
              <w:left w:val="nil"/>
              <w:bottom w:val="single" w:sz="4" w:space="0" w:color="auto"/>
              <w:right w:val="nil"/>
            </w:tcBorders>
            <w:shd w:val="clear" w:color="auto" w:fill="auto"/>
            <w:noWrap/>
            <w:vAlign w:val="bottom"/>
            <w:hideMark/>
          </w:tcPr>
          <w:p w14:paraId="10CF2E1E" w14:textId="77777777" w:rsidR="00CF1D64" w:rsidRPr="00282F8F" w:rsidRDefault="00CF1D64" w:rsidP="00CF1D64">
            <w:pPr>
              <w:spacing w:after="0" w:line="240" w:lineRule="auto"/>
              <w:jc w:val="center"/>
              <w:rPr>
                <w:rFonts w:eastAsia="Times New Roman" w:cs="Times New Roman"/>
                <w:b/>
                <w:bCs/>
                <w:color w:val="000000"/>
                <w:sz w:val="20"/>
                <w:lang w:eastAsia="pt-PT"/>
              </w:rPr>
            </w:pPr>
            <w:r w:rsidRPr="00282F8F">
              <w:rPr>
                <w:rFonts w:eastAsia="Times New Roman" w:cs="Times New Roman"/>
                <w:b/>
                <w:bCs/>
                <w:color w:val="000000"/>
                <w:sz w:val="20"/>
                <w:lang w:eastAsia="pt-PT"/>
              </w:rPr>
              <w:t>T-</w:t>
            </w:r>
            <w:proofErr w:type="spellStart"/>
            <w:r w:rsidRPr="00282F8F">
              <w:rPr>
                <w:rFonts w:eastAsia="Times New Roman" w:cs="Times New Roman"/>
                <w:b/>
                <w:bCs/>
                <w:color w:val="000000"/>
                <w:sz w:val="20"/>
                <w:lang w:eastAsia="pt-PT"/>
              </w:rPr>
              <w:t>Estatisticas</w:t>
            </w:r>
            <w:proofErr w:type="spellEnd"/>
          </w:p>
        </w:tc>
        <w:tc>
          <w:tcPr>
            <w:tcW w:w="870" w:type="dxa"/>
            <w:tcBorders>
              <w:top w:val="double" w:sz="6" w:space="0" w:color="auto"/>
              <w:left w:val="nil"/>
              <w:bottom w:val="single" w:sz="4" w:space="0" w:color="auto"/>
              <w:right w:val="nil"/>
            </w:tcBorders>
            <w:shd w:val="clear" w:color="auto" w:fill="auto"/>
            <w:noWrap/>
            <w:vAlign w:val="bottom"/>
            <w:hideMark/>
          </w:tcPr>
          <w:p w14:paraId="7728E141" w14:textId="112BF6D6" w:rsidR="00CF1D64" w:rsidRPr="00282F8F" w:rsidRDefault="00793028" w:rsidP="00CF1D64">
            <w:pPr>
              <w:spacing w:after="0" w:line="240" w:lineRule="auto"/>
              <w:jc w:val="center"/>
              <w:rPr>
                <w:rFonts w:eastAsia="Times New Roman" w:cs="Times New Roman"/>
                <w:b/>
                <w:bCs/>
                <w:color w:val="000000"/>
                <w:sz w:val="20"/>
                <w:lang w:eastAsia="pt-PT"/>
              </w:rPr>
            </w:pPr>
            <w:r>
              <w:rPr>
                <w:rFonts w:eastAsia="Times New Roman" w:cs="Times New Roman"/>
                <w:b/>
                <w:bCs/>
                <w:color w:val="000000"/>
                <w:sz w:val="20"/>
                <w:lang w:eastAsia="pt-PT"/>
              </w:rPr>
              <w:t>p-</w:t>
            </w:r>
            <w:proofErr w:type="spellStart"/>
            <w:r>
              <w:rPr>
                <w:rFonts w:eastAsia="Times New Roman" w:cs="Times New Roman"/>
                <w:b/>
                <w:bCs/>
                <w:color w:val="000000"/>
                <w:sz w:val="20"/>
                <w:lang w:eastAsia="pt-PT"/>
              </w:rPr>
              <w:t>value</w:t>
            </w:r>
            <w:proofErr w:type="spellEnd"/>
            <w:r w:rsidR="00CF1D64" w:rsidRPr="00282F8F">
              <w:rPr>
                <w:rFonts w:eastAsia="Times New Roman" w:cs="Times New Roman"/>
                <w:b/>
                <w:bCs/>
                <w:color w:val="000000"/>
                <w:sz w:val="20"/>
                <w:lang w:eastAsia="pt-PT"/>
              </w:rPr>
              <w:t xml:space="preserve"> </w:t>
            </w:r>
          </w:p>
        </w:tc>
      </w:tr>
      <w:tr w:rsidR="00CF1D64" w:rsidRPr="005E28E7" w14:paraId="11CB71BE" w14:textId="77777777" w:rsidTr="00793028">
        <w:trPr>
          <w:trHeight w:val="260"/>
          <w:jc w:val="center"/>
        </w:trPr>
        <w:tc>
          <w:tcPr>
            <w:tcW w:w="1276" w:type="dxa"/>
            <w:vMerge w:val="restart"/>
            <w:tcBorders>
              <w:top w:val="nil"/>
              <w:left w:val="nil"/>
              <w:right w:val="nil"/>
            </w:tcBorders>
            <w:shd w:val="clear" w:color="auto" w:fill="E7E6E6" w:themeFill="background2"/>
            <w:noWrap/>
            <w:vAlign w:val="center"/>
            <w:hideMark/>
          </w:tcPr>
          <w:p w14:paraId="6C0094B5" w14:textId="77777777" w:rsidR="00CF1D64" w:rsidRPr="00282F8F" w:rsidRDefault="00CF1D64" w:rsidP="00CF1D64">
            <w:pPr>
              <w:spacing w:after="0" w:line="240" w:lineRule="auto"/>
              <w:rPr>
                <w:rFonts w:eastAsia="Times New Roman" w:cs="Times New Roman"/>
                <w:b/>
                <w:bCs/>
                <w:color w:val="000000"/>
                <w:sz w:val="20"/>
                <w:lang w:eastAsia="pt-PT"/>
              </w:rPr>
            </w:pPr>
            <w:r w:rsidRPr="00282F8F">
              <w:rPr>
                <w:rFonts w:eastAsia="Times New Roman" w:cs="Times New Roman"/>
                <w:b/>
                <w:bCs/>
                <w:color w:val="000000"/>
                <w:sz w:val="20"/>
                <w:lang w:eastAsia="pt-PT"/>
              </w:rPr>
              <w:t>Equação 4.2</w:t>
            </w:r>
          </w:p>
        </w:tc>
        <w:tc>
          <w:tcPr>
            <w:tcW w:w="425" w:type="dxa"/>
            <w:vMerge w:val="restart"/>
            <w:tcBorders>
              <w:top w:val="nil"/>
              <w:left w:val="nil"/>
              <w:right w:val="nil"/>
            </w:tcBorders>
            <w:shd w:val="clear" w:color="auto" w:fill="E7E6E6" w:themeFill="background2"/>
            <w:noWrap/>
            <w:textDirection w:val="btLr"/>
            <w:vAlign w:val="center"/>
            <w:hideMark/>
          </w:tcPr>
          <w:p w14:paraId="6D55E228" w14:textId="77777777" w:rsidR="00CF1D64" w:rsidRPr="00282F8F" w:rsidRDefault="00CF1D64" w:rsidP="00CF1D64">
            <w:pPr>
              <w:spacing w:after="0" w:line="240" w:lineRule="auto"/>
              <w:jc w:val="center"/>
              <w:rPr>
                <w:rFonts w:eastAsia="Times New Roman" w:cs="Times New Roman"/>
                <w:b/>
                <w:bCs/>
                <w:color w:val="000000"/>
                <w:sz w:val="20"/>
                <w:lang w:eastAsia="pt-PT"/>
              </w:rPr>
            </w:pPr>
            <w:r w:rsidRPr="00282F8F">
              <w:rPr>
                <w:rFonts w:eastAsia="Times New Roman" w:cs="Times New Roman"/>
                <w:b/>
                <w:bCs/>
                <w:color w:val="000000"/>
                <w:sz w:val="20"/>
                <w:lang w:eastAsia="pt-PT"/>
              </w:rPr>
              <w:t>Variáveis</w:t>
            </w:r>
          </w:p>
        </w:tc>
        <w:tc>
          <w:tcPr>
            <w:tcW w:w="1843" w:type="dxa"/>
            <w:tcBorders>
              <w:top w:val="nil"/>
              <w:left w:val="nil"/>
              <w:bottom w:val="nil"/>
              <w:right w:val="nil"/>
            </w:tcBorders>
            <w:shd w:val="clear" w:color="auto" w:fill="E7E6E6" w:themeFill="background2"/>
            <w:noWrap/>
            <w:vAlign w:val="center"/>
            <w:hideMark/>
          </w:tcPr>
          <w:p w14:paraId="12D202DC" w14:textId="77777777" w:rsidR="00CF1D64" w:rsidRPr="00282F8F" w:rsidRDefault="00CF1D64" w:rsidP="00E6485C">
            <w:pPr>
              <w:spacing w:after="0" w:line="240" w:lineRule="auto"/>
              <w:ind w:left="640"/>
              <w:rPr>
                <w:rFonts w:eastAsia="Times New Roman" w:cs="Times New Roman"/>
                <w:color w:val="000000"/>
                <w:sz w:val="20"/>
                <w:lang w:eastAsia="pt-PT"/>
              </w:rPr>
            </w:pPr>
            <w:r w:rsidRPr="00282F8F">
              <w:rPr>
                <w:rFonts w:eastAsia="Times New Roman" w:cs="Times New Roman"/>
                <w:color w:val="000000"/>
                <w:sz w:val="20"/>
                <w:lang w:eastAsia="pt-PT"/>
              </w:rPr>
              <w:t>C</w:t>
            </w:r>
          </w:p>
        </w:tc>
        <w:tc>
          <w:tcPr>
            <w:tcW w:w="690" w:type="dxa"/>
            <w:tcBorders>
              <w:top w:val="nil"/>
              <w:left w:val="nil"/>
              <w:bottom w:val="nil"/>
              <w:right w:val="nil"/>
            </w:tcBorders>
            <w:shd w:val="clear" w:color="auto" w:fill="E7E6E6" w:themeFill="background2"/>
            <w:noWrap/>
            <w:vAlign w:val="center"/>
            <w:hideMark/>
          </w:tcPr>
          <w:p w14:paraId="1DC45BCF"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41,334</w:t>
            </w:r>
          </w:p>
        </w:tc>
        <w:tc>
          <w:tcPr>
            <w:tcW w:w="1276" w:type="dxa"/>
            <w:tcBorders>
              <w:top w:val="nil"/>
              <w:left w:val="nil"/>
              <w:bottom w:val="nil"/>
              <w:right w:val="nil"/>
            </w:tcBorders>
            <w:shd w:val="clear" w:color="auto" w:fill="E7E6E6" w:themeFill="background2"/>
            <w:noWrap/>
            <w:vAlign w:val="center"/>
            <w:hideMark/>
          </w:tcPr>
          <w:p w14:paraId="1102DC49"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3,733</w:t>
            </w:r>
          </w:p>
        </w:tc>
        <w:tc>
          <w:tcPr>
            <w:tcW w:w="1417" w:type="dxa"/>
            <w:tcBorders>
              <w:top w:val="nil"/>
              <w:left w:val="nil"/>
              <w:bottom w:val="nil"/>
              <w:right w:val="nil"/>
            </w:tcBorders>
            <w:shd w:val="clear" w:color="auto" w:fill="E7E6E6" w:themeFill="background2"/>
            <w:noWrap/>
            <w:vAlign w:val="center"/>
            <w:hideMark/>
          </w:tcPr>
          <w:p w14:paraId="35C985F5"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11,071</w:t>
            </w:r>
          </w:p>
        </w:tc>
        <w:tc>
          <w:tcPr>
            <w:tcW w:w="870" w:type="dxa"/>
            <w:tcBorders>
              <w:top w:val="nil"/>
              <w:left w:val="nil"/>
              <w:bottom w:val="nil"/>
              <w:right w:val="nil"/>
            </w:tcBorders>
            <w:shd w:val="clear" w:color="auto" w:fill="E7E6E6" w:themeFill="background2"/>
            <w:noWrap/>
            <w:vAlign w:val="center"/>
            <w:hideMark/>
          </w:tcPr>
          <w:p w14:paraId="0F24CCA4"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0,00</w:t>
            </w:r>
          </w:p>
        </w:tc>
      </w:tr>
      <w:tr w:rsidR="00CF1D64" w:rsidRPr="005E28E7" w14:paraId="0385E79B" w14:textId="77777777" w:rsidTr="00793028">
        <w:trPr>
          <w:trHeight w:val="135"/>
          <w:jc w:val="center"/>
        </w:trPr>
        <w:tc>
          <w:tcPr>
            <w:tcW w:w="1276" w:type="dxa"/>
            <w:vMerge/>
            <w:tcBorders>
              <w:left w:val="nil"/>
              <w:right w:val="nil"/>
            </w:tcBorders>
            <w:shd w:val="clear" w:color="auto" w:fill="E7E6E6" w:themeFill="background2"/>
            <w:noWrap/>
            <w:vAlign w:val="center"/>
            <w:hideMark/>
          </w:tcPr>
          <w:p w14:paraId="44D74869"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vMerge/>
            <w:tcBorders>
              <w:left w:val="nil"/>
              <w:right w:val="nil"/>
            </w:tcBorders>
            <w:shd w:val="clear" w:color="auto" w:fill="E7E6E6" w:themeFill="background2"/>
            <w:noWrap/>
            <w:textDirection w:val="btLr"/>
            <w:vAlign w:val="center"/>
            <w:hideMark/>
          </w:tcPr>
          <w:p w14:paraId="1201BB70"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1843" w:type="dxa"/>
            <w:tcBorders>
              <w:top w:val="nil"/>
              <w:left w:val="nil"/>
              <w:bottom w:val="nil"/>
              <w:right w:val="nil"/>
            </w:tcBorders>
            <w:shd w:val="clear" w:color="auto" w:fill="E7E6E6" w:themeFill="background2"/>
            <w:noWrap/>
            <w:vAlign w:val="center"/>
            <w:hideMark/>
          </w:tcPr>
          <w:p w14:paraId="6780829D" w14:textId="77777777" w:rsidR="00CF1D64" w:rsidRPr="00282F8F" w:rsidRDefault="00CF1D64" w:rsidP="00E6485C">
            <w:pPr>
              <w:spacing w:after="0" w:line="240" w:lineRule="auto"/>
              <w:ind w:left="640"/>
              <w:rPr>
                <w:rFonts w:eastAsia="Times New Roman" w:cs="Times New Roman"/>
                <w:color w:val="000000"/>
                <w:sz w:val="20"/>
                <w:lang w:eastAsia="pt-PT"/>
              </w:rPr>
            </w:pPr>
            <w:r w:rsidRPr="00282F8F">
              <w:rPr>
                <w:rFonts w:eastAsia="Times New Roman" w:cs="Times New Roman"/>
                <w:color w:val="000000"/>
                <w:sz w:val="20"/>
                <w:lang w:eastAsia="pt-PT"/>
              </w:rPr>
              <w:t>CP</w:t>
            </w:r>
          </w:p>
        </w:tc>
        <w:tc>
          <w:tcPr>
            <w:tcW w:w="690" w:type="dxa"/>
            <w:tcBorders>
              <w:top w:val="nil"/>
              <w:left w:val="nil"/>
              <w:bottom w:val="nil"/>
              <w:right w:val="nil"/>
            </w:tcBorders>
            <w:shd w:val="clear" w:color="auto" w:fill="E7E6E6" w:themeFill="background2"/>
            <w:noWrap/>
            <w:vAlign w:val="center"/>
            <w:hideMark/>
          </w:tcPr>
          <w:p w14:paraId="481FB373"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1,764</w:t>
            </w:r>
          </w:p>
        </w:tc>
        <w:tc>
          <w:tcPr>
            <w:tcW w:w="1276" w:type="dxa"/>
            <w:tcBorders>
              <w:top w:val="nil"/>
              <w:left w:val="nil"/>
              <w:bottom w:val="nil"/>
              <w:right w:val="nil"/>
            </w:tcBorders>
            <w:shd w:val="clear" w:color="auto" w:fill="E7E6E6" w:themeFill="background2"/>
            <w:noWrap/>
            <w:vAlign w:val="center"/>
            <w:hideMark/>
          </w:tcPr>
          <w:p w14:paraId="03342AA2"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3,194</w:t>
            </w:r>
          </w:p>
        </w:tc>
        <w:tc>
          <w:tcPr>
            <w:tcW w:w="1417" w:type="dxa"/>
            <w:tcBorders>
              <w:top w:val="nil"/>
              <w:left w:val="nil"/>
              <w:bottom w:val="nil"/>
              <w:right w:val="nil"/>
            </w:tcBorders>
            <w:shd w:val="clear" w:color="auto" w:fill="E7E6E6" w:themeFill="background2"/>
            <w:noWrap/>
            <w:vAlign w:val="center"/>
            <w:hideMark/>
          </w:tcPr>
          <w:p w14:paraId="035432E4"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0,552</w:t>
            </w:r>
          </w:p>
        </w:tc>
        <w:tc>
          <w:tcPr>
            <w:tcW w:w="870" w:type="dxa"/>
            <w:tcBorders>
              <w:left w:val="nil"/>
              <w:bottom w:val="nil"/>
              <w:right w:val="nil"/>
            </w:tcBorders>
            <w:shd w:val="clear" w:color="auto" w:fill="E7E6E6" w:themeFill="background2"/>
            <w:noWrap/>
            <w:vAlign w:val="center"/>
            <w:hideMark/>
          </w:tcPr>
          <w:p w14:paraId="5031047C"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0,58</w:t>
            </w:r>
          </w:p>
        </w:tc>
      </w:tr>
      <w:tr w:rsidR="00CF1D64" w:rsidRPr="005E28E7" w14:paraId="71DCCBA9" w14:textId="77777777" w:rsidTr="00793028">
        <w:trPr>
          <w:trHeight w:val="181"/>
          <w:jc w:val="center"/>
        </w:trPr>
        <w:tc>
          <w:tcPr>
            <w:tcW w:w="1276" w:type="dxa"/>
            <w:vMerge/>
            <w:tcBorders>
              <w:left w:val="nil"/>
              <w:right w:val="nil"/>
            </w:tcBorders>
            <w:shd w:val="clear" w:color="auto" w:fill="E7E6E6" w:themeFill="background2"/>
            <w:noWrap/>
            <w:vAlign w:val="center"/>
            <w:hideMark/>
          </w:tcPr>
          <w:p w14:paraId="4312D9FC"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vMerge/>
            <w:tcBorders>
              <w:left w:val="nil"/>
              <w:right w:val="nil"/>
            </w:tcBorders>
            <w:shd w:val="clear" w:color="auto" w:fill="E7E6E6" w:themeFill="background2"/>
            <w:noWrap/>
            <w:textDirection w:val="btLr"/>
            <w:vAlign w:val="center"/>
            <w:hideMark/>
          </w:tcPr>
          <w:p w14:paraId="4541669F"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1843" w:type="dxa"/>
            <w:tcBorders>
              <w:top w:val="nil"/>
              <w:left w:val="nil"/>
              <w:bottom w:val="nil"/>
              <w:right w:val="nil"/>
            </w:tcBorders>
            <w:shd w:val="clear" w:color="auto" w:fill="E7E6E6" w:themeFill="background2"/>
            <w:noWrap/>
            <w:vAlign w:val="center"/>
            <w:hideMark/>
          </w:tcPr>
          <w:p w14:paraId="790AC5F0" w14:textId="4AAD6F04" w:rsidR="00CF1D64" w:rsidRPr="00282F8F" w:rsidRDefault="00CF1D64" w:rsidP="00E6485C">
            <w:pPr>
              <w:spacing w:after="0" w:line="240" w:lineRule="auto"/>
              <w:ind w:left="640"/>
              <w:rPr>
                <w:rFonts w:eastAsia="Times New Roman" w:cs="Times New Roman"/>
                <w:color w:val="000000"/>
                <w:sz w:val="20"/>
                <w:lang w:eastAsia="pt-PT"/>
              </w:rPr>
            </w:pPr>
            <w:r w:rsidRPr="00282F8F">
              <w:rPr>
                <w:rFonts w:eastAsia="Times New Roman" w:cs="Times New Roman"/>
                <w:color w:val="000000"/>
                <w:sz w:val="20"/>
                <w:lang w:eastAsia="pt-PT"/>
              </w:rPr>
              <w:t>V</w:t>
            </w:r>
            <w:r w:rsidR="00E6485C">
              <w:rPr>
                <w:rFonts w:eastAsia="Times New Roman" w:cs="Times New Roman"/>
                <w:color w:val="000000"/>
                <w:sz w:val="20"/>
                <w:lang w:eastAsia="pt-PT"/>
              </w:rPr>
              <w:t>E</w:t>
            </w:r>
            <w:r w:rsidRPr="00282F8F">
              <w:rPr>
                <w:rFonts w:eastAsia="Times New Roman" w:cs="Times New Roman"/>
                <w:color w:val="000000"/>
                <w:sz w:val="20"/>
                <w:lang w:eastAsia="pt-PT"/>
              </w:rPr>
              <w:t>nd</w:t>
            </w:r>
          </w:p>
        </w:tc>
        <w:tc>
          <w:tcPr>
            <w:tcW w:w="690" w:type="dxa"/>
            <w:tcBorders>
              <w:top w:val="nil"/>
              <w:left w:val="nil"/>
              <w:bottom w:val="nil"/>
              <w:right w:val="nil"/>
            </w:tcBorders>
            <w:shd w:val="clear" w:color="auto" w:fill="E7E6E6" w:themeFill="background2"/>
            <w:noWrap/>
            <w:vAlign w:val="center"/>
            <w:hideMark/>
          </w:tcPr>
          <w:p w14:paraId="2D5882C6"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-7,94</w:t>
            </w:r>
          </w:p>
        </w:tc>
        <w:tc>
          <w:tcPr>
            <w:tcW w:w="1276" w:type="dxa"/>
            <w:tcBorders>
              <w:top w:val="nil"/>
              <w:left w:val="nil"/>
              <w:bottom w:val="nil"/>
              <w:right w:val="nil"/>
            </w:tcBorders>
            <w:shd w:val="clear" w:color="auto" w:fill="E7E6E6" w:themeFill="background2"/>
            <w:noWrap/>
            <w:vAlign w:val="center"/>
            <w:hideMark/>
          </w:tcPr>
          <w:p w14:paraId="379D9FB3"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1,08</w:t>
            </w:r>
          </w:p>
        </w:tc>
        <w:tc>
          <w:tcPr>
            <w:tcW w:w="1417" w:type="dxa"/>
            <w:tcBorders>
              <w:top w:val="nil"/>
              <w:left w:val="nil"/>
              <w:bottom w:val="nil"/>
              <w:right w:val="nil"/>
            </w:tcBorders>
            <w:shd w:val="clear" w:color="auto" w:fill="E7E6E6" w:themeFill="background2"/>
            <w:noWrap/>
            <w:vAlign w:val="center"/>
            <w:hideMark/>
          </w:tcPr>
          <w:p w14:paraId="35047197"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-0,733</w:t>
            </w:r>
          </w:p>
        </w:tc>
        <w:tc>
          <w:tcPr>
            <w:tcW w:w="870" w:type="dxa"/>
            <w:tcBorders>
              <w:left w:val="nil"/>
              <w:bottom w:val="nil"/>
              <w:right w:val="nil"/>
            </w:tcBorders>
            <w:shd w:val="clear" w:color="auto" w:fill="E7E6E6" w:themeFill="background2"/>
            <w:noWrap/>
            <w:vAlign w:val="center"/>
            <w:hideMark/>
          </w:tcPr>
          <w:p w14:paraId="0686865A"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0,46</w:t>
            </w:r>
          </w:p>
        </w:tc>
      </w:tr>
      <w:tr w:rsidR="00CF1D64" w:rsidRPr="005E28E7" w14:paraId="7026A62F" w14:textId="77777777" w:rsidTr="00793028">
        <w:trPr>
          <w:trHeight w:val="85"/>
          <w:jc w:val="center"/>
        </w:trPr>
        <w:tc>
          <w:tcPr>
            <w:tcW w:w="1276" w:type="dxa"/>
            <w:vMerge/>
            <w:tcBorders>
              <w:left w:val="nil"/>
              <w:right w:val="nil"/>
            </w:tcBorders>
            <w:shd w:val="clear" w:color="auto" w:fill="E7E6E6" w:themeFill="background2"/>
            <w:noWrap/>
            <w:vAlign w:val="center"/>
            <w:hideMark/>
          </w:tcPr>
          <w:p w14:paraId="3E7E0F9A"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vMerge/>
            <w:tcBorders>
              <w:left w:val="nil"/>
              <w:right w:val="nil"/>
            </w:tcBorders>
            <w:shd w:val="clear" w:color="auto" w:fill="E7E6E6" w:themeFill="background2"/>
            <w:noWrap/>
            <w:textDirection w:val="btLr"/>
            <w:vAlign w:val="center"/>
            <w:hideMark/>
          </w:tcPr>
          <w:p w14:paraId="05294E81"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1843" w:type="dxa"/>
            <w:tcBorders>
              <w:top w:val="nil"/>
              <w:left w:val="nil"/>
              <w:bottom w:val="nil"/>
              <w:right w:val="nil"/>
            </w:tcBorders>
            <w:shd w:val="clear" w:color="auto" w:fill="E7E6E6" w:themeFill="background2"/>
            <w:noWrap/>
            <w:vAlign w:val="center"/>
            <w:hideMark/>
          </w:tcPr>
          <w:p w14:paraId="1CB57040" w14:textId="316E22E8" w:rsidR="00CF1D64" w:rsidRPr="00282F8F" w:rsidRDefault="00CF1D64" w:rsidP="00E6485C">
            <w:pPr>
              <w:spacing w:after="0" w:line="240" w:lineRule="auto"/>
              <w:ind w:left="640"/>
              <w:rPr>
                <w:rFonts w:eastAsia="Times New Roman" w:cs="Times New Roman"/>
                <w:color w:val="000000"/>
                <w:sz w:val="20"/>
                <w:lang w:eastAsia="pt-PT"/>
              </w:rPr>
            </w:pPr>
            <w:r w:rsidRPr="00282F8F">
              <w:rPr>
                <w:rFonts w:eastAsia="Times New Roman" w:cs="Times New Roman"/>
                <w:color w:val="000000"/>
                <w:sz w:val="20"/>
                <w:lang w:eastAsia="pt-PT"/>
              </w:rPr>
              <w:t>D</w:t>
            </w:r>
            <w:r w:rsidR="000A23D0">
              <w:rPr>
                <w:rFonts w:eastAsia="Times New Roman" w:cs="Times New Roman"/>
                <w:color w:val="000000"/>
                <w:sz w:val="20"/>
                <w:lang w:eastAsia="pt-PT"/>
              </w:rPr>
              <w:t>E</w:t>
            </w:r>
          </w:p>
        </w:tc>
        <w:tc>
          <w:tcPr>
            <w:tcW w:w="690" w:type="dxa"/>
            <w:tcBorders>
              <w:top w:val="nil"/>
              <w:left w:val="nil"/>
              <w:bottom w:val="nil"/>
              <w:right w:val="nil"/>
            </w:tcBorders>
            <w:shd w:val="clear" w:color="auto" w:fill="E7E6E6" w:themeFill="background2"/>
            <w:noWrap/>
            <w:vAlign w:val="center"/>
            <w:hideMark/>
          </w:tcPr>
          <w:p w14:paraId="77A0025E"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-1,936</w:t>
            </w:r>
          </w:p>
        </w:tc>
        <w:tc>
          <w:tcPr>
            <w:tcW w:w="1276" w:type="dxa"/>
            <w:tcBorders>
              <w:top w:val="nil"/>
              <w:left w:val="nil"/>
              <w:bottom w:val="nil"/>
              <w:right w:val="nil"/>
            </w:tcBorders>
            <w:shd w:val="clear" w:color="auto" w:fill="E7E6E6" w:themeFill="background2"/>
            <w:noWrap/>
            <w:vAlign w:val="center"/>
            <w:hideMark/>
          </w:tcPr>
          <w:p w14:paraId="5087B60D"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0,999</w:t>
            </w:r>
          </w:p>
        </w:tc>
        <w:tc>
          <w:tcPr>
            <w:tcW w:w="1417" w:type="dxa"/>
            <w:tcBorders>
              <w:top w:val="nil"/>
              <w:left w:val="nil"/>
              <w:bottom w:val="nil"/>
              <w:right w:val="nil"/>
            </w:tcBorders>
            <w:shd w:val="clear" w:color="auto" w:fill="E7E6E6" w:themeFill="background2"/>
            <w:noWrap/>
            <w:vAlign w:val="center"/>
            <w:hideMark/>
          </w:tcPr>
          <w:p w14:paraId="015FEBC4"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-1,937</w:t>
            </w:r>
          </w:p>
        </w:tc>
        <w:tc>
          <w:tcPr>
            <w:tcW w:w="870" w:type="dxa"/>
            <w:tcBorders>
              <w:left w:val="nil"/>
              <w:bottom w:val="nil"/>
              <w:right w:val="nil"/>
            </w:tcBorders>
            <w:shd w:val="clear" w:color="auto" w:fill="E7E6E6" w:themeFill="background2"/>
            <w:noWrap/>
            <w:vAlign w:val="center"/>
            <w:hideMark/>
          </w:tcPr>
          <w:p w14:paraId="57E465EA"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0,05</w:t>
            </w:r>
          </w:p>
        </w:tc>
      </w:tr>
      <w:tr w:rsidR="00CF1D64" w:rsidRPr="005E28E7" w14:paraId="6A5C937A" w14:textId="77777777" w:rsidTr="00793028">
        <w:trPr>
          <w:trHeight w:val="131"/>
          <w:jc w:val="center"/>
        </w:trPr>
        <w:tc>
          <w:tcPr>
            <w:tcW w:w="1276" w:type="dxa"/>
            <w:vMerge/>
            <w:tcBorders>
              <w:left w:val="nil"/>
              <w:right w:val="nil"/>
            </w:tcBorders>
            <w:shd w:val="clear" w:color="auto" w:fill="E7E6E6" w:themeFill="background2"/>
            <w:noWrap/>
            <w:vAlign w:val="center"/>
            <w:hideMark/>
          </w:tcPr>
          <w:p w14:paraId="15C25F20"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vMerge/>
            <w:tcBorders>
              <w:left w:val="nil"/>
              <w:right w:val="nil"/>
            </w:tcBorders>
            <w:shd w:val="clear" w:color="auto" w:fill="E7E6E6" w:themeFill="background2"/>
            <w:noWrap/>
            <w:textDirection w:val="btLr"/>
            <w:vAlign w:val="center"/>
            <w:hideMark/>
          </w:tcPr>
          <w:p w14:paraId="5CC80073"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1843" w:type="dxa"/>
            <w:tcBorders>
              <w:top w:val="nil"/>
              <w:left w:val="nil"/>
              <w:bottom w:val="nil"/>
              <w:right w:val="nil"/>
            </w:tcBorders>
            <w:shd w:val="clear" w:color="auto" w:fill="E7E6E6" w:themeFill="background2"/>
            <w:noWrap/>
            <w:vAlign w:val="center"/>
            <w:hideMark/>
          </w:tcPr>
          <w:p w14:paraId="7FC633F5" w14:textId="77777777" w:rsidR="00CF1D64" w:rsidRPr="00282F8F" w:rsidRDefault="00CF1D64" w:rsidP="00E6485C">
            <w:pPr>
              <w:spacing w:after="0" w:line="240" w:lineRule="auto"/>
              <w:ind w:left="640"/>
              <w:rPr>
                <w:rFonts w:eastAsia="Times New Roman" w:cs="Times New Roman"/>
                <w:color w:val="000000"/>
                <w:sz w:val="20"/>
                <w:lang w:eastAsia="pt-PT"/>
              </w:rPr>
            </w:pPr>
            <w:proofErr w:type="spellStart"/>
            <w:r w:rsidRPr="00282F8F">
              <w:rPr>
                <w:rFonts w:eastAsia="Times New Roman" w:cs="Times New Roman"/>
                <w:color w:val="000000"/>
                <w:sz w:val="20"/>
                <w:lang w:eastAsia="pt-PT"/>
              </w:rPr>
              <w:t>TxPI</w:t>
            </w:r>
            <w:proofErr w:type="spellEnd"/>
          </w:p>
        </w:tc>
        <w:tc>
          <w:tcPr>
            <w:tcW w:w="690" w:type="dxa"/>
            <w:tcBorders>
              <w:top w:val="nil"/>
              <w:left w:val="nil"/>
              <w:bottom w:val="nil"/>
              <w:right w:val="nil"/>
            </w:tcBorders>
            <w:shd w:val="clear" w:color="auto" w:fill="E7E6E6" w:themeFill="background2"/>
            <w:noWrap/>
            <w:vAlign w:val="center"/>
            <w:hideMark/>
          </w:tcPr>
          <w:p w14:paraId="71C44BB1"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-0,186</w:t>
            </w:r>
          </w:p>
        </w:tc>
        <w:tc>
          <w:tcPr>
            <w:tcW w:w="1276" w:type="dxa"/>
            <w:tcBorders>
              <w:top w:val="nil"/>
              <w:left w:val="nil"/>
              <w:bottom w:val="nil"/>
              <w:right w:val="nil"/>
            </w:tcBorders>
            <w:shd w:val="clear" w:color="auto" w:fill="E7E6E6" w:themeFill="background2"/>
            <w:noWrap/>
            <w:vAlign w:val="center"/>
            <w:hideMark/>
          </w:tcPr>
          <w:p w14:paraId="1298B1BA"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0,08</w:t>
            </w:r>
          </w:p>
        </w:tc>
        <w:tc>
          <w:tcPr>
            <w:tcW w:w="1417" w:type="dxa"/>
            <w:tcBorders>
              <w:top w:val="nil"/>
              <w:left w:val="nil"/>
              <w:bottom w:val="nil"/>
              <w:right w:val="nil"/>
            </w:tcBorders>
            <w:shd w:val="clear" w:color="auto" w:fill="E7E6E6" w:themeFill="background2"/>
            <w:noWrap/>
            <w:vAlign w:val="center"/>
            <w:hideMark/>
          </w:tcPr>
          <w:p w14:paraId="06E6D9C2"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-2,338</w:t>
            </w:r>
          </w:p>
        </w:tc>
        <w:tc>
          <w:tcPr>
            <w:tcW w:w="870" w:type="dxa"/>
            <w:tcBorders>
              <w:left w:val="nil"/>
              <w:bottom w:val="nil"/>
              <w:right w:val="nil"/>
            </w:tcBorders>
            <w:shd w:val="clear" w:color="auto" w:fill="E7E6E6" w:themeFill="background2"/>
            <w:noWrap/>
            <w:vAlign w:val="center"/>
            <w:hideMark/>
          </w:tcPr>
          <w:p w14:paraId="613C88E5"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0,02</w:t>
            </w:r>
          </w:p>
        </w:tc>
      </w:tr>
      <w:tr w:rsidR="00CF1D64" w:rsidRPr="005E28E7" w14:paraId="62201A72" w14:textId="77777777" w:rsidTr="00793028">
        <w:trPr>
          <w:trHeight w:val="163"/>
          <w:jc w:val="center"/>
        </w:trPr>
        <w:tc>
          <w:tcPr>
            <w:tcW w:w="1276" w:type="dxa"/>
            <w:vMerge/>
            <w:tcBorders>
              <w:left w:val="nil"/>
              <w:right w:val="nil"/>
            </w:tcBorders>
            <w:shd w:val="clear" w:color="auto" w:fill="E7E6E6" w:themeFill="background2"/>
            <w:noWrap/>
            <w:vAlign w:val="center"/>
            <w:hideMark/>
          </w:tcPr>
          <w:p w14:paraId="7C92AACC"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vMerge/>
            <w:tcBorders>
              <w:left w:val="nil"/>
              <w:bottom w:val="nil"/>
              <w:right w:val="nil"/>
            </w:tcBorders>
            <w:shd w:val="clear" w:color="auto" w:fill="E7E6E6" w:themeFill="background2"/>
            <w:noWrap/>
            <w:textDirection w:val="btLr"/>
            <w:vAlign w:val="center"/>
            <w:hideMark/>
          </w:tcPr>
          <w:p w14:paraId="21AF6180"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1843" w:type="dxa"/>
            <w:tcBorders>
              <w:top w:val="nil"/>
              <w:left w:val="nil"/>
              <w:bottom w:val="single" w:sz="8" w:space="0" w:color="auto"/>
              <w:right w:val="nil"/>
            </w:tcBorders>
            <w:shd w:val="clear" w:color="auto" w:fill="E7E6E6" w:themeFill="background2"/>
            <w:noWrap/>
            <w:vAlign w:val="center"/>
            <w:hideMark/>
          </w:tcPr>
          <w:p w14:paraId="603C3C0C" w14:textId="77777777" w:rsidR="00CF1D64" w:rsidRPr="00282F8F" w:rsidRDefault="00CF1D64" w:rsidP="00E6485C">
            <w:pPr>
              <w:spacing w:after="0" w:line="240" w:lineRule="auto"/>
              <w:ind w:left="640"/>
              <w:rPr>
                <w:rFonts w:eastAsia="Times New Roman" w:cs="Times New Roman"/>
                <w:color w:val="000000"/>
                <w:sz w:val="20"/>
                <w:lang w:eastAsia="pt-PT"/>
              </w:rPr>
            </w:pPr>
            <w:r w:rsidRPr="00282F8F">
              <w:rPr>
                <w:rFonts w:eastAsia="Times New Roman" w:cs="Times New Roman"/>
                <w:color w:val="000000"/>
                <w:sz w:val="20"/>
                <w:lang w:eastAsia="pt-PT"/>
              </w:rPr>
              <w:t>PA</w:t>
            </w:r>
          </w:p>
        </w:tc>
        <w:tc>
          <w:tcPr>
            <w:tcW w:w="690" w:type="dxa"/>
            <w:tcBorders>
              <w:top w:val="nil"/>
              <w:left w:val="nil"/>
              <w:bottom w:val="single" w:sz="8" w:space="0" w:color="auto"/>
              <w:right w:val="nil"/>
            </w:tcBorders>
            <w:shd w:val="clear" w:color="auto" w:fill="E7E6E6" w:themeFill="background2"/>
            <w:noWrap/>
            <w:vAlign w:val="center"/>
            <w:hideMark/>
          </w:tcPr>
          <w:p w14:paraId="01D87C51"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0,172</w:t>
            </w:r>
          </w:p>
        </w:tc>
        <w:tc>
          <w:tcPr>
            <w:tcW w:w="1276" w:type="dxa"/>
            <w:tcBorders>
              <w:top w:val="nil"/>
              <w:left w:val="nil"/>
              <w:bottom w:val="single" w:sz="8" w:space="0" w:color="auto"/>
              <w:right w:val="nil"/>
            </w:tcBorders>
            <w:shd w:val="clear" w:color="auto" w:fill="E7E6E6" w:themeFill="background2"/>
            <w:noWrap/>
            <w:vAlign w:val="center"/>
            <w:hideMark/>
          </w:tcPr>
          <w:p w14:paraId="6925EEBD"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0,056</w:t>
            </w:r>
          </w:p>
        </w:tc>
        <w:tc>
          <w:tcPr>
            <w:tcW w:w="1417" w:type="dxa"/>
            <w:tcBorders>
              <w:top w:val="nil"/>
              <w:left w:val="nil"/>
              <w:bottom w:val="single" w:sz="8" w:space="0" w:color="auto"/>
              <w:right w:val="nil"/>
            </w:tcBorders>
            <w:shd w:val="clear" w:color="auto" w:fill="E7E6E6" w:themeFill="background2"/>
            <w:noWrap/>
            <w:vAlign w:val="center"/>
            <w:hideMark/>
          </w:tcPr>
          <w:p w14:paraId="6F44B528"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3,072</w:t>
            </w:r>
          </w:p>
        </w:tc>
        <w:tc>
          <w:tcPr>
            <w:tcW w:w="870" w:type="dxa"/>
            <w:tcBorders>
              <w:left w:val="nil"/>
              <w:bottom w:val="single" w:sz="8" w:space="0" w:color="auto"/>
              <w:right w:val="nil"/>
            </w:tcBorders>
            <w:shd w:val="clear" w:color="auto" w:fill="E7E6E6" w:themeFill="background2"/>
            <w:noWrap/>
            <w:vAlign w:val="center"/>
            <w:hideMark/>
          </w:tcPr>
          <w:p w14:paraId="39E6B0F9"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0,00</w:t>
            </w:r>
          </w:p>
        </w:tc>
      </w:tr>
      <w:tr w:rsidR="00CF1D64" w:rsidRPr="005E28E7" w14:paraId="36CF237D" w14:textId="77777777" w:rsidTr="00793028">
        <w:trPr>
          <w:trHeight w:val="60"/>
          <w:jc w:val="center"/>
        </w:trPr>
        <w:tc>
          <w:tcPr>
            <w:tcW w:w="1276" w:type="dxa"/>
            <w:vMerge/>
            <w:tcBorders>
              <w:left w:val="nil"/>
              <w:bottom w:val="nil"/>
              <w:right w:val="nil"/>
            </w:tcBorders>
            <w:shd w:val="clear" w:color="auto" w:fill="E7E6E6" w:themeFill="background2"/>
            <w:noWrap/>
            <w:vAlign w:val="center"/>
            <w:hideMark/>
          </w:tcPr>
          <w:p w14:paraId="04A36707"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tcBorders>
              <w:top w:val="nil"/>
              <w:left w:val="nil"/>
              <w:bottom w:val="nil"/>
              <w:right w:val="nil"/>
            </w:tcBorders>
            <w:shd w:val="clear" w:color="auto" w:fill="E7E6E6" w:themeFill="background2"/>
            <w:noWrap/>
            <w:vAlign w:val="bottom"/>
            <w:hideMark/>
          </w:tcPr>
          <w:p w14:paraId="0BB42255" w14:textId="77777777" w:rsidR="00CF1D64" w:rsidRPr="00282F8F" w:rsidRDefault="00CF1D64" w:rsidP="00CF1D64">
            <w:pPr>
              <w:spacing w:after="0" w:line="240" w:lineRule="auto"/>
              <w:rPr>
                <w:rFonts w:eastAsia="Times New Roman" w:cs="Times New Roman"/>
                <w:color w:val="000000"/>
                <w:sz w:val="20"/>
                <w:lang w:eastAsia="pt-PT"/>
              </w:rPr>
            </w:pPr>
          </w:p>
        </w:tc>
        <w:tc>
          <w:tcPr>
            <w:tcW w:w="1843" w:type="dxa"/>
            <w:tcBorders>
              <w:top w:val="nil"/>
              <w:left w:val="nil"/>
              <w:bottom w:val="nil"/>
              <w:right w:val="nil"/>
            </w:tcBorders>
            <w:shd w:val="clear" w:color="auto" w:fill="E7E6E6" w:themeFill="background2"/>
            <w:noWrap/>
            <w:vAlign w:val="bottom"/>
            <w:hideMark/>
          </w:tcPr>
          <w:tbl>
            <w:tblPr>
              <w:tblW w:w="0" w:type="auto"/>
              <w:tblCellSpacing w:w="0" w:type="dxa"/>
              <w:tblBorders>
                <w:bottom w:val="single" w:sz="4" w:space="0" w:color="auto"/>
              </w:tblBorders>
              <w:tblCellMar>
                <w:left w:w="0" w:type="dxa"/>
                <w:right w:w="0" w:type="dxa"/>
              </w:tblCellMar>
              <w:tblLook w:val="04A0" w:firstRow="1" w:lastRow="0" w:firstColumn="1" w:lastColumn="0" w:noHBand="0" w:noVBand="1"/>
            </w:tblPr>
            <w:tblGrid>
              <w:gridCol w:w="1580"/>
            </w:tblGrid>
            <w:tr w:rsidR="00CF1D64" w:rsidRPr="00282F8F" w14:paraId="43E0097C" w14:textId="77777777" w:rsidTr="00E6485C">
              <w:trPr>
                <w:trHeight w:val="300"/>
                <w:tblCellSpacing w:w="0" w:type="dxa"/>
              </w:trPr>
              <w:tc>
                <w:tcPr>
                  <w:tcW w:w="1580" w:type="dxa"/>
                  <w:tcBorders>
                    <w:bottom w:val="nil"/>
                  </w:tcBorders>
                  <w:shd w:val="clear" w:color="auto" w:fill="auto"/>
                  <w:noWrap/>
                  <w:vAlign w:val="bottom"/>
                </w:tcPr>
                <w:p w14:paraId="1895BF7E" w14:textId="77777777" w:rsidR="00CF1D64" w:rsidRPr="00282F8F" w:rsidRDefault="0043154B" w:rsidP="00CF1D64">
                  <w:pPr>
                    <w:spacing w:after="0" w:line="240" w:lineRule="auto"/>
                    <w:rPr>
                      <w:rFonts w:eastAsia="Times New Roman" w:cs="Times New Roman"/>
                      <w:color w:val="000000"/>
                      <w:sz w:val="20"/>
                      <w:lang w:eastAsia="pt-PT"/>
                    </w:rPr>
                  </w:pPr>
                  <m:oMathPara>
                    <m:oMathParaPr>
                      <m:jc m:val="center"/>
                    </m:oMathParaPr>
                    <m:oMath>
                      <m:sSup>
                        <m:sSupPr>
                          <m:ctrlPr>
                            <w:rPr>
                              <w:rFonts w:ascii="Cambria Math" w:eastAsia="Times New Roman" w:hAnsi="Cambria Math" w:cs="Times New Roman"/>
                              <w:i/>
                              <w:color w:val="000000"/>
                              <w:sz w:val="20"/>
                              <w:lang w:eastAsia="pt-PT"/>
                            </w:rPr>
                          </m:ctrlPr>
                        </m:sSupPr>
                        <m:e>
                          <m:r>
                            <w:rPr>
                              <w:rFonts w:ascii="Cambria Math" w:eastAsia="Times New Roman" w:hAnsi="Cambria Math" w:cs="Times New Roman"/>
                              <w:color w:val="000000"/>
                              <w:sz w:val="20"/>
                              <w:lang w:eastAsia="pt-PT"/>
                            </w:rPr>
                            <m:t>R</m:t>
                          </m:r>
                        </m:e>
                        <m:sup>
                          <m:r>
                            <w:rPr>
                              <w:rFonts w:ascii="Cambria Math" w:eastAsia="Times New Roman" w:hAnsi="Cambria Math" w:cs="Times New Roman"/>
                              <w:color w:val="000000"/>
                              <w:sz w:val="20"/>
                              <w:lang w:eastAsia="pt-PT"/>
                            </w:rPr>
                            <m:t>2</m:t>
                          </m:r>
                        </m:sup>
                      </m:sSup>
                    </m:oMath>
                  </m:oMathPara>
                </w:p>
              </w:tc>
            </w:tr>
          </w:tbl>
          <w:p w14:paraId="04D8A32E" w14:textId="77777777" w:rsidR="00CF1D64" w:rsidRPr="00282F8F" w:rsidRDefault="00CF1D64" w:rsidP="00CF1D64">
            <w:pPr>
              <w:spacing w:after="0" w:line="240" w:lineRule="auto"/>
              <w:rPr>
                <w:rFonts w:ascii="Calibri" w:eastAsia="Times New Roman" w:hAnsi="Calibri" w:cs="Times New Roman"/>
                <w:color w:val="000000"/>
                <w:sz w:val="20"/>
                <w:lang w:eastAsia="pt-PT"/>
              </w:rPr>
            </w:pPr>
          </w:p>
        </w:tc>
        <w:tc>
          <w:tcPr>
            <w:tcW w:w="4253" w:type="dxa"/>
            <w:gridSpan w:val="4"/>
            <w:tcBorders>
              <w:top w:val="nil"/>
              <w:left w:val="nil"/>
              <w:bottom w:val="nil"/>
              <w:right w:val="nil"/>
            </w:tcBorders>
            <w:shd w:val="clear" w:color="auto" w:fill="E7E6E6" w:themeFill="background2"/>
            <w:noWrap/>
            <w:vAlign w:val="bottom"/>
            <w:hideMark/>
          </w:tcPr>
          <w:p w14:paraId="05F8D9FB" w14:textId="77777777" w:rsidR="00CF1D64" w:rsidRPr="00282F8F" w:rsidRDefault="00CF1D64" w:rsidP="00CF1D64">
            <w:pPr>
              <w:spacing w:after="0" w:line="240" w:lineRule="auto"/>
              <w:jc w:val="center"/>
              <w:rPr>
                <w:rFonts w:eastAsia="Times New Roman" w:cs="Times New Roman"/>
                <w:color w:val="000000"/>
                <w:sz w:val="20"/>
                <w:lang w:eastAsia="pt-PT"/>
              </w:rPr>
            </w:pPr>
            <w:r w:rsidRPr="00282F8F">
              <w:rPr>
                <w:rFonts w:eastAsia="Times New Roman" w:cs="Times New Roman"/>
                <w:color w:val="000000"/>
                <w:sz w:val="20"/>
                <w:lang w:eastAsia="pt-PT"/>
              </w:rPr>
              <w:t>0,4</w:t>
            </w:r>
          </w:p>
        </w:tc>
      </w:tr>
      <w:tr w:rsidR="00CF1D64" w:rsidRPr="005E28E7" w14:paraId="09125A2E" w14:textId="77777777" w:rsidTr="00793028">
        <w:trPr>
          <w:trHeight w:val="80"/>
          <w:jc w:val="center"/>
        </w:trPr>
        <w:tc>
          <w:tcPr>
            <w:tcW w:w="1276" w:type="dxa"/>
            <w:tcBorders>
              <w:top w:val="nil"/>
              <w:left w:val="nil"/>
              <w:bottom w:val="single" w:sz="8" w:space="0" w:color="auto"/>
              <w:right w:val="nil"/>
            </w:tcBorders>
            <w:shd w:val="clear" w:color="auto" w:fill="E7E6E6" w:themeFill="background2"/>
            <w:noWrap/>
            <w:vAlign w:val="center"/>
            <w:hideMark/>
          </w:tcPr>
          <w:p w14:paraId="439139D1" w14:textId="77777777" w:rsidR="00CF1D64" w:rsidRPr="00282F8F" w:rsidRDefault="00CF1D64" w:rsidP="00CF1D64">
            <w:pPr>
              <w:spacing w:after="0" w:line="240" w:lineRule="auto"/>
              <w:rPr>
                <w:rFonts w:eastAsia="Times New Roman" w:cs="Times New Roman"/>
                <w:b/>
                <w:bCs/>
                <w:color w:val="000000"/>
                <w:sz w:val="20"/>
                <w:lang w:eastAsia="pt-PT"/>
              </w:rPr>
            </w:pPr>
            <w:r w:rsidRPr="00282F8F">
              <w:rPr>
                <w:rFonts w:eastAsia="Times New Roman" w:cs="Times New Roman"/>
                <w:b/>
                <w:bCs/>
                <w:color w:val="000000"/>
                <w:sz w:val="20"/>
                <w:lang w:eastAsia="pt-PT"/>
              </w:rPr>
              <w:t> </w:t>
            </w:r>
          </w:p>
        </w:tc>
        <w:tc>
          <w:tcPr>
            <w:tcW w:w="425" w:type="dxa"/>
            <w:tcBorders>
              <w:top w:val="nil"/>
              <w:left w:val="nil"/>
              <w:bottom w:val="single" w:sz="8" w:space="0" w:color="auto"/>
              <w:right w:val="nil"/>
            </w:tcBorders>
            <w:shd w:val="clear" w:color="auto" w:fill="E7E6E6" w:themeFill="background2"/>
            <w:noWrap/>
            <w:vAlign w:val="bottom"/>
            <w:hideMark/>
          </w:tcPr>
          <w:p w14:paraId="3563E4BD" w14:textId="77777777" w:rsidR="00CF1D64" w:rsidRPr="00282F8F" w:rsidRDefault="00CF1D64" w:rsidP="00CF1D64">
            <w:pPr>
              <w:spacing w:after="0" w:line="240" w:lineRule="auto"/>
              <w:rPr>
                <w:rFonts w:eastAsia="Times New Roman" w:cs="Times New Roman"/>
                <w:color w:val="000000"/>
                <w:sz w:val="20"/>
                <w:lang w:eastAsia="pt-PT"/>
              </w:rPr>
            </w:pPr>
            <w:r w:rsidRPr="00282F8F">
              <w:rPr>
                <w:rFonts w:eastAsia="Times New Roman" w:cs="Times New Roman"/>
                <w:color w:val="000000"/>
                <w:sz w:val="20"/>
                <w:lang w:eastAsia="pt-PT"/>
              </w:rPr>
              <w:t> </w:t>
            </w:r>
          </w:p>
        </w:tc>
        <w:tc>
          <w:tcPr>
            <w:tcW w:w="1843" w:type="dxa"/>
            <w:tcBorders>
              <w:top w:val="nil"/>
              <w:left w:val="nil"/>
              <w:bottom w:val="single" w:sz="8" w:space="0" w:color="auto"/>
              <w:right w:val="nil"/>
            </w:tcBorders>
            <w:shd w:val="clear" w:color="auto" w:fill="E7E6E6" w:themeFill="background2"/>
            <w:noWrap/>
            <w:vAlign w:val="bottom"/>
            <w:hideMark/>
          </w:tcPr>
          <w:p w14:paraId="544AEA05" w14:textId="77777777" w:rsidR="00CF1D64" w:rsidRPr="00282F8F" w:rsidRDefault="0043154B" w:rsidP="00CF1D64">
            <w:pPr>
              <w:spacing w:after="0" w:line="240" w:lineRule="auto"/>
              <w:jc w:val="center"/>
              <w:rPr>
                <w:rFonts w:eastAsia="Times New Roman" w:cs="Times New Roman"/>
                <w:color w:val="000000"/>
                <w:sz w:val="20"/>
                <w:lang w:eastAsia="pt-PT"/>
              </w:rPr>
            </w:pPr>
            <m:oMathPara>
              <m:oMath>
                <m:sSup>
                  <m:sSupPr>
                    <m:ctrlPr>
                      <w:rPr>
                        <w:rFonts w:ascii="Cambria Math" w:eastAsia="Times New Roman" w:hAnsi="Cambria Math" w:cs="Times New Roman"/>
                        <w:i/>
                        <w:color w:val="000000"/>
                        <w:sz w:val="20"/>
                        <w:lang w:eastAsia="pt-PT"/>
                      </w:rPr>
                    </m:ctrlPr>
                  </m:sSupPr>
                  <m:e>
                    <m:r>
                      <w:rPr>
                        <w:rFonts w:ascii="Cambria Math" w:eastAsia="Times New Roman" w:hAnsi="Cambria Math" w:cs="Times New Roman"/>
                        <w:color w:val="000000"/>
                        <w:sz w:val="20"/>
                        <w:lang w:eastAsia="pt-PT"/>
                      </w:rPr>
                      <m:t>R</m:t>
                    </m:r>
                  </m:e>
                  <m:sup>
                    <m:r>
                      <w:rPr>
                        <w:rFonts w:ascii="Cambria Math" w:eastAsia="Times New Roman" w:hAnsi="Cambria Math" w:cs="Times New Roman"/>
                        <w:color w:val="000000"/>
                        <w:sz w:val="20"/>
                        <w:lang w:eastAsia="pt-PT"/>
                      </w:rPr>
                      <m:t>2</m:t>
                    </m:r>
                  </m:sup>
                </m:sSup>
                <m:r>
                  <w:rPr>
                    <w:rFonts w:ascii="Cambria Math" w:eastAsia="Times New Roman" w:hAnsi="Cambria Math" w:cs="Times New Roman"/>
                    <w:color w:val="000000"/>
                    <w:sz w:val="20"/>
                    <w:lang w:eastAsia="pt-PT"/>
                  </w:rPr>
                  <m:t>Ajustado</m:t>
                </m:r>
              </m:oMath>
            </m:oMathPara>
          </w:p>
        </w:tc>
        <w:tc>
          <w:tcPr>
            <w:tcW w:w="4253" w:type="dxa"/>
            <w:gridSpan w:val="4"/>
            <w:tcBorders>
              <w:top w:val="nil"/>
              <w:left w:val="nil"/>
              <w:bottom w:val="single" w:sz="8" w:space="0" w:color="auto"/>
              <w:right w:val="nil"/>
            </w:tcBorders>
            <w:shd w:val="clear" w:color="auto" w:fill="E7E6E6" w:themeFill="background2"/>
            <w:noWrap/>
            <w:vAlign w:val="bottom"/>
            <w:hideMark/>
          </w:tcPr>
          <w:p w14:paraId="5900A6F8" w14:textId="77777777" w:rsidR="00CF1D64" w:rsidRPr="00282F8F" w:rsidRDefault="00CF1D64" w:rsidP="00CF1D64">
            <w:pPr>
              <w:spacing w:after="0" w:line="240" w:lineRule="auto"/>
              <w:jc w:val="center"/>
              <w:rPr>
                <w:rFonts w:eastAsia="Times New Roman" w:cs="Times New Roman"/>
                <w:color w:val="000000"/>
                <w:sz w:val="20"/>
                <w:lang w:eastAsia="pt-PT"/>
              </w:rPr>
            </w:pPr>
            <w:r w:rsidRPr="00282F8F">
              <w:rPr>
                <w:rFonts w:eastAsia="Times New Roman" w:cs="Times New Roman"/>
                <w:color w:val="000000"/>
                <w:sz w:val="20"/>
                <w:lang w:eastAsia="pt-PT"/>
              </w:rPr>
              <w:t>0,248</w:t>
            </w:r>
          </w:p>
        </w:tc>
      </w:tr>
      <w:tr w:rsidR="00CF1D64" w:rsidRPr="005E28E7" w14:paraId="000001B3" w14:textId="77777777" w:rsidTr="00793028">
        <w:trPr>
          <w:trHeight w:val="220"/>
          <w:jc w:val="center"/>
        </w:trPr>
        <w:tc>
          <w:tcPr>
            <w:tcW w:w="1276" w:type="dxa"/>
            <w:vMerge w:val="restart"/>
            <w:tcBorders>
              <w:top w:val="nil"/>
              <w:left w:val="nil"/>
              <w:right w:val="nil"/>
            </w:tcBorders>
            <w:shd w:val="clear" w:color="auto" w:fill="auto"/>
            <w:noWrap/>
            <w:vAlign w:val="center"/>
            <w:hideMark/>
          </w:tcPr>
          <w:p w14:paraId="201A4146" w14:textId="77777777" w:rsidR="00CF1D64" w:rsidRPr="00282F8F" w:rsidRDefault="00CF1D64" w:rsidP="00CF1D64">
            <w:pPr>
              <w:spacing w:after="0" w:line="240" w:lineRule="auto"/>
              <w:rPr>
                <w:rFonts w:eastAsia="Times New Roman" w:cs="Times New Roman"/>
                <w:b/>
                <w:bCs/>
                <w:color w:val="000000"/>
                <w:sz w:val="20"/>
                <w:lang w:eastAsia="pt-PT"/>
              </w:rPr>
            </w:pPr>
            <w:r w:rsidRPr="005E28E7">
              <w:rPr>
                <w:rFonts w:eastAsia="Times New Roman" w:cs="Times New Roman"/>
                <w:b/>
                <w:bCs/>
                <w:color w:val="000000"/>
                <w:sz w:val="20"/>
                <w:lang w:eastAsia="pt-PT"/>
              </w:rPr>
              <w:t>Equação</w:t>
            </w:r>
            <w:r w:rsidRPr="00282F8F">
              <w:rPr>
                <w:rFonts w:eastAsia="Times New Roman" w:cs="Times New Roman"/>
                <w:b/>
                <w:bCs/>
                <w:color w:val="000000"/>
                <w:sz w:val="20"/>
                <w:lang w:eastAsia="pt-PT"/>
              </w:rPr>
              <w:t xml:space="preserve"> 4.3</w:t>
            </w:r>
          </w:p>
        </w:tc>
        <w:tc>
          <w:tcPr>
            <w:tcW w:w="425" w:type="dxa"/>
            <w:vMerge w:val="restart"/>
            <w:tcBorders>
              <w:top w:val="nil"/>
              <w:left w:val="nil"/>
              <w:right w:val="nil"/>
            </w:tcBorders>
            <w:shd w:val="clear" w:color="auto" w:fill="auto"/>
            <w:noWrap/>
            <w:textDirection w:val="btLr"/>
            <w:vAlign w:val="center"/>
            <w:hideMark/>
          </w:tcPr>
          <w:p w14:paraId="2A46D480" w14:textId="77777777" w:rsidR="00CF1D64" w:rsidRPr="00282F8F" w:rsidRDefault="00CF1D64" w:rsidP="00CF1D64">
            <w:pPr>
              <w:spacing w:after="0" w:line="240" w:lineRule="auto"/>
              <w:jc w:val="center"/>
              <w:rPr>
                <w:rFonts w:eastAsia="Times New Roman" w:cs="Times New Roman"/>
                <w:b/>
                <w:bCs/>
                <w:color w:val="000000"/>
                <w:sz w:val="20"/>
                <w:lang w:eastAsia="pt-PT"/>
              </w:rPr>
            </w:pPr>
            <w:r w:rsidRPr="00282F8F">
              <w:rPr>
                <w:rFonts w:eastAsia="Times New Roman" w:cs="Times New Roman"/>
                <w:b/>
                <w:bCs/>
                <w:color w:val="000000"/>
                <w:sz w:val="20"/>
                <w:lang w:eastAsia="pt-PT"/>
              </w:rPr>
              <w:t>Variáveis</w:t>
            </w:r>
          </w:p>
        </w:tc>
        <w:tc>
          <w:tcPr>
            <w:tcW w:w="1843" w:type="dxa"/>
            <w:tcBorders>
              <w:top w:val="nil"/>
              <w:left w:val="nil"/>
              <w:bottom w:val="nil"/>
              <w:right w:val="nil"/>
            </w:tcBorders>
            <w:shd w:val="clear" w:color="auto" w:fill="auto"/>
            <w:noWrap/>
            <w:vAlign w:val="center"/>
            <w:hideMark/>
          </w:tcPr>
          <w:p w14:paraId="7A530392" w14:textId="77777777" w:rsidR="00CF1D64" w:rsidRPr="00282F8F" w:rsidRDefault="00CF1D64" w:rsidP="00E6485C">
            <w:pPr>
              <w:spacing w:after="0" w:line="240" w:lineRule="auto"/>
              <w:ind w:left="640"/>
              <w:rPr>
                <w:rFonts w:eastAsia="Times New Roman" w:cs="Times New Roman"/>
                <w:color w:val="000000"/>
                <w:sz w:val="20"/>
                <w:lang w:eastAsia="pt-PT"/>
              </w:rPr>
            </w:pPr>
            <w:r w:rsidRPr="00282F8F">
              <w:rPr>
                <w:rFonts w:eastAsia="Times New Roman" w:cs="Times New Roman"/>
                <w:color w:val="000000"/>
                <w:sz w:val="20"/>
                <w:lang w:eastAsia="pt-PT"/>
              </w:rPr>
              <w:t>C</w:t>
            </w:r>
          </w:p>
        </w:tc>
        <w:tc>
          <w:tcPr>
            <w:tcW w:w="690" w:type="dxa"/>
            <w:tcBorders>
              <w:top w:val="nil"/>
              <w:left w:val="nil"/>
              <w:bottom w:val="nil"/>
              <w:right w:val="nil"/>
            </w:tcBorders>
            <w:shd w:val="clear" w:color="auto" w:fill="auto"/>
            <w:noWrap/>
            <w:vAlign w:val="center"/>
            <w:hideMark/>
          </w:tcPr>
          <w:p w14:paraId="5DBCE668"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41,382</w:t>
            </w:r>
          </w:p>
        </w:tc>
        <w:tc>
          <w:tcPr>
            <w:tcW w:w="1276" w:type="dxa"/>
            <w:tcBorders>
              <w:top w:val="nil"/>
              <w:left w:val="nil"/>
              <w:bottom w:val="nil"/>
              <w:right w:val="nil"/>
            </w:tcBorders>
            <w:shd w:val="clear" w:color="auto" w:fill="auto"/>
            <w:noWrap/>
            <w:vAlign w:val="center"/>
            <w:hideMark/>
          </w:tcPr>
          <w:p w14:paraId="32E0130D"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3,726</w:t>
            </w:r>
          </w:p>
        </w:tc>
        <w:tc>
          <w:tcPr>
            <w:tcW w:w="1417" w:type="dxa"/>
            <w:tcBorders>
              <w:top w:val="nil"/>
              <w:left w:val="nil"/>
              <w:bottom w:val="nil"/>
              <w:right w:val="nil"/>
            </w:tcBorders>
            <w:shd w:val="clear" w:color="auto" w:fill="auto"/>
            <w:noWrap/>
            <w:vAlign w:val="center"/>
            <w:hideMark/>
          </w:tcPr>
          <w:p w14:paraId="5947A972"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11,105</w:t>
            </w:r>
          </w:p>
        </w:tc>
        <w:tc>
          <w:tcPr>
            <w:tcW w:w="870" w:type="dxa"/>
            <w:tcBorders>
              <w:top w:val="single" w:sz="4" w:space="0" w:color="auto"/>
              <w:left w:val="nil"/>
              <w:bottom w:val="nil"/>
              <w:right w:val="nil"/>
            </w:tcBorders>
            <w:shd w:val="clear" w:color="auto" w:fill="auto"/>
            <w:noWrap/>
            <w:vAlign w:val="center"/>
            <w:hideMark/>
          </w:tcPr>
          <w:p w14:paraId="2D3C5E72"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0,00</w:t>
            </w:r>
          </w:p>
        </w:tc>
      </w:tr>
      <w:tr w:rsidR="00CF1D64" w:rsidRPr="005E28E7" w14:paraId="7569C7ED" w14:textId="77777777" w:rsidTr="00793028">
        <w:trPr>
          <w:trHeight w:val="107"/>
          <w:jc w:val="center"/>
        </w:trPr>
        <w:tc>
          <w:tcPr>
            <w:tcW w:w="1276" w:type="dxa"/>
            <w:vMerge/>
            <w:tcBorders>
              <w:left w:val="nil"/>
              <w:right w:val="nil"/>
            </w:tcBorders>
            <w:shd w:val="clear" w:color="auto" w:fill="auto"/>
            <w:noWrap/>
            <w:vAlign w:val="center"/>
            <w:hideMark/>
          </w:tcPr>
          <w:p w14:paraId="1B4DF20B"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vMerge/>
            <w:tcBorders>
              <w:left w:val="nil"/>
              <w:right w:val="nil"/>
            </w:tcBorders>
            <w:shd w:val="clear" w:color="auto" w:fill="auto"/>
            <w:noWrap/>
            <w:textDirection w:val="btLr"/>
            <w:vAlign w:val="center"/>
            <w:hideMark/>
          </w:tcPr>
          <w:p w14:paraId="184B4473"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1843" w:type="dxa"/>
            <w:tcBorders>
              <w:top w:val="nil"/>
              <w:left w:val="nil"/>
              <w:bottom w:val="nil"/>
              <w:right w:val="nil"/>
            </w:tcBorders>
            <w:shd w:val="clear" w:color="auto" w:fill="auto"/>
            <w:noWrap/>
            <w:vAlign w:val="center"/>
            <w:hideMark/>
          </w:tcPr>
          <w:p w14:paraId="1A8DB6BD" w14:textId="77777777" w:rsidR="00CF1D64" w:rsidRPr="00282F8F" w:rsidRDefault="00CF1D64" w:rsidP="00E6485C">
            <w:pPr>
              <w:spacing w:after="0" w:line="240" w:lineRule="auto"/>
              <w:ind w:left="640"/>
              <w:rPr>
                <w:rFonts w:eastAsia="Times New Roman" w:cs="Times New Roman"/>
                <w:color w:val="000000"/>
                <w:sz w:val="20"/>
                <w:lang w:eastAsia="pt-PT"/>
              </w:rPr>
            </w:pPr>
            <w:r w:rsidRPr="00282F8F">
              <w:rPr>
                <w:rFonts w:eastAsia="Times New Roman" w:cs="Times New Roman"/>
                <w:color w:val="000000"/>
                <w:sz w:val="20"/>
                <w:lang w:eastAsia="pt-PT"/>
              </w:rPr>
              <w:t>CP</w:t>
            </w:r>
          </w:p>
        </w:tc>
        <w:tc>
          <w:tcPr>
            <w:tcW w:w="690" w:type="dxa"/>
            <w:tcBorders>
              <w:top w:val="nil"/>
              <w:left w:val="nil"/>
              <w:bottom w:val="nil"/>
              <w:right w:val="nil"/>
            </w:tcBorders>
            <w:shd w:val="clear" w:color="auto" w:fill="auto"/>
            <w:noWrap/>
            <w:vAlign w:val="center"/>
            <w:hideMark/>
          </w:tcPr>
          <w:p w14:paraId="49A824A9"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2,255</w:t>
            </w:r>
          </w:p>
        </w:tc>
        <w:tc>
          <w:tcPr>
            <w:tcW w:w="1276" w:type="dxa"/>
            <w:tcBorders>
              <w:top w:val="nil"/>
              <w:left w:val="nil"/>
              <w:bottom w:val="nil"/>
              <w:right w:val="nil"/>
            </w:tcBorders>
            <w:shd w:val="clear" w:color="auto" w:fill="auto"/>
            <w:noWrap/>
            <w:vAlign w:val="center"/>
            <w:hideMark/>
          </w:tcPr>
          <w:p w14:paraId="5293437B"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3,206</w:t>
            </w:r>
          </w:p>
        </w:tc>
        <w:tc>
          <w:tcPr>
            <w:tcW w:w="1417" w:type="dxa"/>
            <w:tcBorders>
              <w:top w:val="nil"/>
              <w:left w:val="nil"/>
              <w:bottom w:val="nil"/>
              <w:right w:val="nil"/>
            </w:tcBorders>
            <w:shd w:val="clear" w:color="auto" w:fill="auto"/>
            <w:noWrap/>
            <w:vAlign w:val="center"/>
            <w:hideMark/>
          </w:tcPr>
          <w:p w14:paraId="7690A896"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0,703</w:t>
            </w:r>
          </w:p>
        </w:tc>
        <w:tc>
          <w:tcPr>
            <w:tcW w:w="870" w:type="dxa"/>
            <w:tcBorders>
              <w:left w:val="nil"/>
              <w:bottom w:val="nil"/>
              <w:right w:val="nil"/>
            </w:tcBorders>
            <w:shd w:val="clear" w:color="auto" w:fill="auto"/>
            <w:noWrap/>
            <w:vAlign w:val="center"/>
            <w:hideMark/>
          </w:tcPr>
          <w:p w14:paraId="26A079B4"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0,48</w:t>
            </w:r>
          </w:p>
        </w:tc>
      </w:tr>
      <w:tr w:rsidR="00CF1D64" w:rsidRPr="005E28E7" w14:paraId="3599FC9D" w14:textId="77777777" w:rsidTr="00793028">
        <w:trPr>
          <w:trHeight w:val="152"/>
          <w:jc w:val="center"/>
        </w:trPr>
        <w:tc>
          <w:tcPr>
            <w:tcW w:w="1276" w:type="dxa"/>
            <w:vMerge/>
            <w:tcBorders>
              <w:left w:val="nil"/>
              <w:right w:val="nil"/>
            </w:tcBorders>
            <w:shd w:val="clear" w:color="auto" w:fill="auto"/>
            <w:noWrap/>
            <w:vAlign w:val="center"/>
            <w:hideMark/>
          </w:tcPr>
          <w:p w14:paraId="7627D19F"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vMerge/>
            <w:tcBorders>
              <w:left w:val="nil"/>
              <w:right w:val="nil"/>
            </w:tcBorders>
            <w:shd w:val="clear" w:color="auto" w:fill="auto"/>
            <w:noWrap/>
            <w:textDirection w:val="btLr"/>
            <w:vAlign w:val="center"/>
            <w:hideMark/>
          </w:tcPr>
          <w:p w14:paraId="70A1AAA2"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1843" w:type="dxa"/>
            <w:tcBorders>
              <w:top w:val="nil"/>
              <w:left w:val="nil"/>
              <w:bottom w:val="nil"/>
              <w:right w:val="nil"/>
            </w:tcBorders>
            <w:shd w:val="clear" w:color="auto" w:fill="auto"/>
            <w:noWrap/>
            <w:vAlign w:val="center"/>
            <w:hideMark/>
          </w:tcPr>
          <w:p w14:paraId="051BFC05" w14:textId="04E102ED" w:rsidR="00CF1D64" w:rsidRPr="00282F8F" w:rsidRDefault="00CF1D64" w:rsidP="00E6485C">
            <w:pPr>
              <w:spacing w:after="0" w:line="240" w:lineRule="auto"/>
              <w:ind w:left="640"/>
              <w:rPr>
                <w:rFonts w:eastAsia="Times New Roman" w:cs="Times New Roman"/>
                <w:color w:val="000000"/>
                <w:sz w:val="20"/>
                <w:lang w:eastAsia="pt-PT"/>
              </w:rPr>
            </w:pPr>
            <w:r w:rsidRPr="00282F8F">
              <w:rPr>
                <w:rFonts w:eastAsia="Times New Roman" w:cs="Times New Roman"/>
                <w:color w:val="000000"/>
                <w:sz w:val="20"/>
                <w:lang w:eastAsia="pt-PT"/>
              </w:rPr>
              <w:t>D</w:t>
            </w:r>
            <w:r w:rsidR="000A23D0">
              <w:rPr>
                <w:rFonts w:eastAsia="Times New Roman" w:cs="Times New Roman"/>
                <w:color w:val="000000"/>
                <w:sz w:val="20"/>
                <w:lang w:eastAsia="pt-PT"/>
              </w:rPr>
              <w:t>E</w:t>
            </w:r>
          </w:p>
        </w:tc>
        <w:tc>
          <w:tcPr>
            <w:tcW w:w="690" w:type="dxa"/>
            <w:tcBorders>
              <w:top w:val="nil"/>
              <w:left w:val="nil"/>
              <w:bottom w:val="nil"/>
              <w:right w:val="nil"/>
            </w:tcBorders>
            <w:shd w:val="clear" w:color="auto" w:fill="auto"/>
            <w:noWrap/>
            <w:vAlign w:val="center"/>
            <w:hideMark/>
          </w:tcPr>
          <w:p w14:paraId="1DA00656"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-1,855</w:t>
            </w:r>
          </w:p>
        </w:tc>
        <w:tc>
          <w:tcPr>
            <w:tcW w:w="1276" w:type="dxa"/>
            <w:tcBorders>
              <w:top w:val="nil"/>
              <w:left w:val="nil"/>
              <w:bottom w:val="nil"/>
              <w:right w:val="nil"/>
            </w:tcBorders>
            <w:shd w:val="clear" w:color="auto" w:fill="auto"/>
            <w:noWrap/>
            <w:vAlign w:val="center"/>
            <w:hideMark/>
          </w:tcPr>
          <w:p w14:paraId="1F1FE5C3"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0,999</w:t>
            </w:r>
          </w:p>
        </w:tc>
        <w:tc>
          <w:tcPr>
            <w:tcW w:w="1417" w:type="dxa"/>
            <w:tcBorders>
              <w:top w:val="nil"/>
              <w:left w:val="nil"/>
              <w:bottom w:val="nil"/>
              <w:right w:val="nil"/>
            </w:tcBorders>
            <w:shd w:val="clear" w:color="auto" w:fill="auto"/>
            <w:noWrap/>
            <w:vAlign w:val="center"/>
            <w:hideMark/>
          </w:tcPr>
          <w:p w14:paraId="25BE3F7C"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-1,857</w:t>
            </w:r>
          </w:p>
        </w:tc>
        <w:tc>
          <w:tcPr>
            <w:tcW w:w="870" w:type="dxa"/>
            <w:tcBorders>
              <w:left w:val="nil"/>
              <w:bottom w:val="nil"/>
              <w:right w:val="nil"/>
            </w:tcBorders>
            <w:shd w:val="clear" w:color="auto" w:fill="auto"/>
            <w:noWrap/>
            <w:vAlign w:val="center"/>
            <w:hideMark/>
          </w:tcPr>
          <w:p w14:paraId="0E964321"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0,06</w:t>
            </w:r>
          </w:p>
        </w:tc>
      </w:tr>
      <w:tr w:rsidR="00CF1D64" w:rsidRPr="005E28E7" w14:paraId="386601D8" w14:textId="77777777" w:rsidTr="00793028">
        <w:trPr>
          <w:trHeight w:val="198"/>
          <w:jc w:val="center"/>
        </w:trPr>
        <w:tc>
          <w:tcPr>
            <w:tcW w:w="1276" w:type="dxa"/>
            <w:vMerge/>
            <w:tcBorders>
              <w:left w:val="nil"/>
              <w:right w:val="nil"/>
            </w:tcBorders>
            <w:shd w:val="clear" w:color="auto" w:fill="auto"/>
            <w:noWrap/>
            <w:vAlign w:val="center"/>
            <w:hideMark/>
          </w:tcPr>
          <w:p w14:paraId="6F7CF2A4"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vMerge/>
            <w:tcBorders>
              <w:left w:val="nil"/>
              <w:right w:val="nil"/>
            </w:tcBorders>
            <w:shd w:val="clear" w:color="auto" w:fill="auto"/>
            <w:noWrap/>
            <w:textDirection w:val="btLr"/>
            <w:vAlign w:val="center"/>
            <w:hideMark/>
          </w:tcPr>
          <w:p w14:paraId="27757517"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1843" w:type="dxa"/>
            <w:tcBorders>
              <w:top w:val="nil"/>
              <w:left w:val="nil"/>
              <w:bottom w:val="nil"/>
              <w:right w:val="nil"/>
            </w:tcBorders>
            <w:shd w:val="clear" w:color="auto" w:fill="auto"/>
            <w:noWrap/>
            <w:vAlign w:val="center"/>
            <w:hideMark/>
          </w:tcPr>
          <w:p w14:paraId="6019C267" w14:textId="77777777" w:rsidR="00CF1D64" w:rsidRPr="00282F8F" w:rsidRDefault="00CF1D64" w:rsidP="00E6485C">
            <w:pPr>
              <w:spacing w:after="0" w:line="240" w:lineRule="auto"/>
              <w:ind w:left="640"/>
              <w:rPr>
                <w:rFonts w:eastAsia="Times New Roman" w:cs="Times New Roman"/>
                <w:color w:val="000000"/>
                <w:sz w:val="20"/>
                <w:lang w:eastAsia="pt-PT"/>
              </w:rPr>
            </w:pPr>
            <w:r w:rsidRPr="00282F8F">
              <w:rPr>
                <w:rFonts w:eastAsia="Times New Roman" w:cs="Times New Roman"/>
                <w:color w:val="000000"/>
                <w:sz w:val="20"/>
                <w:lang w:eastAsia="pt-PT"/>
              </w:rPr>
              <w:t>PR</w:t>
            </w:r>
          </w:p>
        </w:tc>
        <w:tc>
          <w:tcPr>
            <w:tcW w:w="690" w:type="dxa"/>
            <w:tcBorders>
              <w:top w:val="nil"/>
              <w:left w:val="nil"/>
              <w:bottom w:val="nil"/>
              <w:right w:val="nil"/>
            </w:tcBorders>
            <w:shd w:val="clear" w:color="auto" w:fill="auto"/>
            <w:noWrap/>
            <w:vAlign w:val="center"/>
            <w:hideMark/>
          </w:tcPr>
          <w:p w14:paraId="5743DB75"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6,94</w:t>
            </w:r>
          </w:p>
        </w:tc>
        <w:tc>
          <w:tcPr>
            <w:tcW w:w="1276" w:type="dxa"/>
            <w:tcBorders>
              <w:top w:val="nil"/>
              <w:left w:val="nil"/>
              <w:bottom w:val="nil"/>
              <w:right w:val="nil"/>
            </w:tcBorders>
            <w:shd w:val="clear" w:color="auto" w:fill="auto"/>
            <w:noWrap/>
            <w:vAlign w:val="center"/>
            <w:hideMark/>
          </w:tcPr>
          <w:p w14:paraId="614702E0"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9,27</w:t>
            </w:r>
          </w:p>
        </w:tc>
        <w:tc>
          <w:tcPr>
            <w:tcW w:w="1417" w:type="dxa"/>
            <w:tcBorders>
              <w:top w:val="nil"/>
              <w:left w:val="nil"/>
              <w:bottom w:val="nil"/>
              <w:right w:val="nil"/>
            </w:tcBorders>
            <w:shd w:val="clear" w:color="auto" w:fill="auto"/>
            <w:noWrap/>
            <w:vAlign w:val="center"/>
            <w:hideMark/>
          </w:tcPr>
          <w:p w14:paraId="7C463060"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0,748</w:t>
            </w:r>
          </w:p>
        </w:tc>
        <w:tc>
          <w:tcPr>
            <w:tcW w:w="870" w:type="dxa"/>
            <w:tcBorders>
              <w:left w:val="nil"/>
              <w:bottom w:val="nil"/>
              <w:right w:val="nil"/>
            </w:tcBorders>
            <w:shd w:val="clear" w:color="auto" w:fill="auto"/>
            <w:noWrap/>
            <w:vAlign w:val="center"/>
            <w:hideMark/>
          </w:tcPr>
          <w:p w14:paraId="2BBACD62"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0,45</w:t>
            </w:r>
          </w:p>
        </w:tc>
      </w:tr>
      <w:tr w:rsidR="00CF1D64" w:rsidRPr="005E28E7" w14:paraId="3227A55C" w14:textId="77777777" w:rsidTr="00793028">
        <w:trPr>
          <w:trHeight w:val="103"/>
          <w:jc w:val="center"/>
        </w:trPr>
        <w:tc>
          <w:tcPr>
            <w:tcW w:w="1276" w:type="dxa"/>
            <w:vMerge/>
            <w:tcBorders>
              <w:left w:val="nil"/>
              <w:right w:val="nil"/>
            </w:tcBorders>
            <w:shd w:val="clear" w:color="auto" w:fill="auto"/>
            <w:noWrap/>
            <w:vAlign w:val="center"/>
            <w:hideMark/>
          </w:tcPr>
          <w:p w14:paraId="3C617BC2"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vMerge/>
            <w:tcBorders>
              <w:left w:val="nil"/>
              <w:right w:val="nil"/>
            </w:tcBorders>
            <w:shd w:val="clear" w:color="auto" w:fill="auto"/>
            <w:noWrap/>
            <w:textDirection w:val="btLr"/>
            <w:vAlign w:val="center"/>
            <w:hideMark/>
          </w:tcPr>
          <w:p w14:paraId="02D5957A"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1843" w:type="dxa"/>
            <w:tcBorders>
              <w:top w:val="nil"/>
              <w:left w:val="nil"/>
              <w:bottom w:val="nil"/>
              <w:right w:val="nil"/>
            </w:tcBorders>
            <w:shd w:val="clear" w:color="auto" w:fill="auto"/>
            <w:noWrap/>
            <w:vAlign w:val="center"/>
            <w:hideMark/>
          </w:tcPr>
          <w:p w14:paraId="56D40E2F" w14:textId="77777777" w:rsidR="00CF1D64" w:rsidRPr="00282F8F" w:rsidRDefault="00CF1D64" w:rsidP="00E6485C">
            <w:pPr>
              <w:spacing w:after="0" w:line="240" w:lineRule="auto"/>
              <w:ind w:left="640"/>
              <w:rPr>
                <w:rFonts w:eastAsia="Times New Roman" w:cs="Times New Roman"/>
                <w:color w:val="000000"/>
                <w:sz w:val="20"/>
                <w:lang w:eastAsia="pt-PT"/>
              </w:rPr>
            </w:pPr>
            <w:proofErr w:type="spellStart"/>
            <w:r w:rsidRPr="00282F8F">
              <w:rPr>
                <w:rFonts w:eastAsia="Times New Roman" w:cs="Times New Roman"/>
                <w:color w:val="000000"/>
                <w:sz w:val="20"/>
                <w:lang w:eastAsia="pt-PT"/>
              </w:rPr>
              <w:t>TxPI</w:t>
            </w:r>
            <w:proofErr w:type="spellEnd"/>
          </w:p>
        </w:tc>
        <w:tc>
          <w:tcPr>
            <w:tcW w:w="690" w:type="dxa"/>
            <w:tcBorders>
              <w:top w:val="nil"/>
              <w:left w:val="nil"/>
              <w:bottom w:val="nil"/>
              <w:right w:val="nil"/>
            </w:tcBorders>
            <w:shd w:val="clear" w:color="auto" w:fill="auto"/>
            <w:noWrap/>
            <w:vAlign w:val="center"/>
            <w:hideMark/>
          </w:tcPr>
          <w:p w14:paraId="20310901"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-0,179</w:t>
            </w:r>
          </w:p>
        </w:tc>
        <w:tc>
          <w:tcPr>
            <w:tcW w:w="1276" w:type="dxa"/>
            <w:tcBorders>
              <w:top w:val="nil"/>
              <w:left w:val="nil"/>
              <w:bottom w:val="nil"/>
              <w:right w:val="nil"/>
            </w:tcBorders>
            <w:shd w:val="clear" w:color="auto" w:fill="auto"/>
            <w:noWrap/>
            <w:vAlign w:val="center"/>
            <w:hideMark/>
          </w:tcPr>
          <w:p w14:paraId="1433335F"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0,08</w:t>
            </w:r>
          </w:p>
        </w:tc>
        <w:tc>
          <w:tcPr>
            <w:tcW w:w="1417" w:type="dxa"/>
            <w:tcBorders>
              <w:top w:val="nil"/>
              <w:left w:val="nil"/>
              <w:bottom w:val="nil"/>
              <w:right w:val="nil"/>
            </w:tcBorders>
            <w:shd w:val="clear" w:color="auto" w:fill="auto"/>
            <w:noWrap/>
            <w:vAlign w:val="center"/>
            <w:hideMark/>
          </w:tcPr>
          <w:p w14:paraId="0B468C58"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-2,234</w:t>
            </w:r>
          </w:p>
        </w:tc>
        <w:tc>
          <w:tcPr>
            <w:tcW w:w="870" w:type="dxa"/>
            <w:tcBorders>
              <w:left w:val="nil"/>
              <w:bottom w:val="nil"/>
              <w:right w:val="nil"/>
            </w:tcBorders>
            <w:shd w:val="clear" w:color="auto" w:fill="auto"/>
            <w:noWrap/>
            <w:vAlign w:val="center"/>
            <w:hideMark/>
          </w:tcPr>
          <w:p w14:paraId="2C82D4BA"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0,03</w:t>
            </w:r>
          </w:p>
        </w:tc>
      </w:tr>
      <w:tr w:rsidR="00CF1D64" w:rsidRPr="005E28E7" w14:paraId="7324C03F" w14:textId="77777777" w:rsidTr="00793028">
        <w:trPr>
          <w:trHeight w:val="148"/>
          <w:jc w:val="center"/>
        </w:trPr>
        <w:tc>
          <w:tcPr>
            <w:tcW w:w="1276" w:type="dxa"/>
            <w:vMerge/>
            <w:tcBorders>
              <w:left w:val="nil"/>
              <w:bottom w:val="nil"/>
              <w:right w:val="nil"/>
            </w:tcBorders>
            <w:shd w:val="clear" w:color="auto" w:fill="auto"/>
            <w:noWrap/>
            <w:vAlign w:val="center"/>
            <w:hideMark/>
          </w:tcPr>
          <w:p w14:paraId="35FF8055"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vMerge/>
            <w:tcBorders>
              <w:left w:val="nil"/>
              <w:bottom w:val="nil"/>
              <w:right w:val="nil"/>
            </w:tcBorders>
            <w:shd w:val="clear" w:color="auto" w:fill="auto"/>
            <w:noWrap/>
            <w:textDirection w:val="btLr"/>
            <w:vAlign w:val="center"/>
            <w:hideMark/>
          </w:tcPr>
          <w:p w14:paraId="25EB026A"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1843" w:type="dxa"/>
            <w:tcBorders>
              <w:top w:val="nil"/>
              <w:left w:val="nil"/>
              <w:bottom w:val="single" w:sz="8" w:space="0" w:color="auto"/>
              <w:right w:val="nil"/>
            </w:tcBorders>
            <w:shd w:val="clear" w:color="auto" w:fill="auto"/>
            <w:noWrap/>
            <w:vAlign w:val="center"/>
            <w:hideMark/>
          </w:tcPr>
          <w:p w14:paraId="43C86590" w14:textId="77777777" w:rsidR="00CF1D64" w:rsidRPr="00282F8F" w:rsidRDefault="00CF1D64" w:rsidP="00E6485C">
            <w:pPr>
              <w:spacing w:after="0" w:line="240" w:lineRule="auto"/>
              <w:ind w:left="640"/>
              <w:rPr>
                <w:rFonts w:eastAsia="Times New Roman" w:cs="Times New Roman"/>
                <w:color w:val="000000"/>
                <w:sz w:val="20"/>
                <w:lang w:eastAsia="pt-PT"/>
              </w:rPr>
            </w:pPr>
            <w:r w:rsidRPr="00282F8F">
              <w:rPr>
                <w:rFonts w:eastAsia="Times New Roman" w:cs="Times New Roman"/>
                <w:color w:val="000000"/>
                <w:sz w:val="20"/>
                <w:lang w:eastAsia="pt-PT"/>
              </w:rPr>
              <w:t>PA</w:t>
            </w:r>
          </w:p>
        </w:tc>
        <w:tc>
          <w:tcPr>
            <w:tcW w:w="690" w:type="dxa"/>
            <w:tcBorders>
              <w:top w:val="nil"/>
              <w:left w:val="nil"/>
              <w:bottom w:val="single" w:sz="8" w:space="0" w:color="auto"/>
              <w:right w:val="nil"/>
            </w:tcBorders>
            <w:shd w:val="clear" w:color="auto" w:fill="auto"/>
            <w:noWrap/>
            <w:vAlign w:val="center"/>
            <w:hideMark/>
          </w:tcPr>
          <w:p w14:paraId="79ED22F8"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0,149</w:t>
            </w:r>
          </w:p>
        </w:tc>
        <w:tc>
          <w:tcPr>
            <w:tcW w:w="1276" w:type="dxa"/>
            <w:tcBorders>
              <w:top w:val="nil"/>
              <w:left w:val="nil"/>
              <w:bottom w:val="single" w:sz="8" w:space="0" w:color="auto"/>
              <w:right w:val="nil"/>
            </w:tcBorders>
            <w:shd w:val="clear" w:color="auto" w:fill="auto"/>
            <w:noWrap/>
            <w:vAlign w:val="center"/>
            <w:hideMark/>
          </w:tcPr>
          <w:p w14:paraId="1963863F"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0,058</w:t>
            </w:r>
          </w:p>
        </w:tc>
        <w:tc>
          <w:tcPr>
            <w:tcW w:w="1417" w:type="dxa"/>
            <w:tcBorders>
              <w:top w:val="nil"/>
              <w:left w:val="nil"/>
              <w:bottom w:val="single" w:sz="8" w:space="0" w:color="auto"/>
              <w:right w:val="nil"/>
            </w:tcBorders>
            <w:shd w:val="clear" w:color="auto" w:fill="auto"/>
            <w:noWrap/>
            <w:vAlign w:val="center"/>
            <w:hideMark/>
          </w:tcPr>
          <w:p w14:paraId="1A21E5FF"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2,567</w:t>
            </w:r>
          </w:p>
        </w:tc>
        <w:tc>
          <w:tcPr>
            <w:tcW w:w="870" w:type="dxa"/>
            <w:tcBorders>
              <w:left w:val="nil"/>
              <w:bottom w:val="single" w:sz="8" w:space="0" w:color="auto"/>
              <w:right w:val="nil"/>
            </w:tcBorders>
            <w:shd w:val="clear" w:color="auto" w:fill="auto"/>
            <w:noWrap/>
            <w:vAlign w:val="center"/>
            <w:hideMark/>
          </w:tcPr>
          <w:p w14:paraId="21812993"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0,01</w:t>
            </w:r>
          </w:p>
        </w:tc>
      </w:tr>
      <w:tr w:rsidR="00CF1D64" w:rsidRPr="005E28E7" w14:paraId="3D3B88A5" w14:textId="77777777" w:rsidTr="00793028">
        <w:trPr>
          <w:trHeight w:val="300"/>
          <w:jc w:val="center"/>
        </w:trPr>
        <w:tc>
          <w:tcPr>
            <w:tcW w:w="1276" w:type="dxa"/>
            <w:tcBorders>
              <w:top w:val="nil"/>
              <w:left w:val="nil"/>
              <w:bottom w:val="nil"/>
              <w:right w:val="nil"/>
            </w:tcBorders>
            <w:shd w:val="clear" w:color="auto" w:fill="auto"/>
            <w:noWrap/>
            <w:vAlign w:val="center"/>
            <w:hideMark/>
          </w:tcPr>
          <w:p w14:paraId="63F0148A"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tcBorders>
              <w:top w:val="nil"/>
              <w:left w:val="nil"/>
              <w:bottom w:val="nil"/>
              <w:right w:val="nil"/>
            </w:tcBorders>
            <w:shd w:val="clear" w:color="auto" w:fill="auto"/>
            <w:noWrap/>
            <w:vAlign w:val="bottom"/>
            <w:hideMark/>
          </w:tcPr>
          <w:p w14:paraId="0C50E24E" w14:textId="77777777" w:rsidR="00CF1D64" w:rsidRPr="00282F8F" w:rsidRDefault="00CF1D64" w:rsidP="00CF1D64">
            <w:pPr>
              <w:spacing w:after="0" w:line="240" w:lineRule="auto"/>
              <w:rPr>
                <w:rFonts w:eastAsia="Times New Roman" w:cs="Times New Roman"/>
                <w:color w:val="000000"/>
                <w:sz w:val="20"/>
                <w:lang w:eastAsia="pt-PT"/>
              </w:rPr>
            </w:pPr>
          </w:p>
        </w:tc>
        <w:tc>
          <w:tcPr>
            <w:tcW w:w="1843" w:type="dxa"/>
            <w:tcBorders>
              <w:top w:val="nil"/>
              <w:left w:val="nil"/>
              <w:bottom w:val="nil"/>
              <w:right w:val="nil"/>
            </w:tcBorders>
            <w:shd w:val="clear" w:color="auto" w:fill="auto"/>
            <w:noWrap/>
            <w:vAlign w:val="bottom"/>
            <w:hideMark/>
          </w:tcPr>
          <w:tbl>
            <w:tblPr>
              <w:tblW w:w="0" w:type="auto"/>
              <w:tblCellSpacing w:w="0" w:type="dxa"/>
              <w:tblCellMar>
                <w:left w:w="0" w:type="dxa"/>
                <w:right w:w="0" w:type="dxa"/>
              </w:tblCellMar>
              <w:tblLook w:val="04A0" w:firstRow="1" w:lastRow="0" w:firstColumn="1" w:lastColumn="0" w:noHBand="0" w:noVBand="1"/>
            </w:tblPr>
            <w:tblGrid>
              <w:gridCol w:w="1580"/>
            </w:tblGrid>
            <w:tr w:rsidR="00CF1D64" w:rsidRPr="00282F8F" w14:paraId="1199CBCC" w14:textId="77777777" w:rsidTr="00CF1D64">
              <w:trPr>
                <w:trHeight w:val="300"/>
                <w:tblCellSpacing w:w="0" w:type="dxa"/>
              </w:trPr>
              <w:tc>
                <w:tcPr>
                  <w:tcW w:w="1580" w:type="dxa"/>
                  <w:tcBorders>
                    <w:top w:val="nil"/>
                    <w:left w:val="nil"/>
                    <w:bottom w:val="nil"/>
                    <w:right w:val="nil"/>
                  </w:tcBorders>
                  <w:shd w:val="clear" w:color="auto" w:fill="auto"/>
                  <w:noWrap/>
                  <w:vAlign w:val="bottom"/>
                  <w:hideMark/>
                </w:tcPr>
                <w:p w14:paraId="16067A98" w14:textId="77777777" w:rsidR="00CF1D64" w:rsidRPr="00282F8F" w:rsidRDefault="0043154B" w:rsidP="00CF1D64">
                  <w:pPr>
                    <w:spacing w:after="0" w:line="240" w:lineRule="auto"/>
                    <w:jc w:val="center"/>
                    <w:rPr>
                      <w:rFonts w:eastAsia="Times New Roman" w:cs="Times New Roman"/>
                      <w:color w:val="000000"/>
                      <w:sz w:val="20"/>
                      <w:lang w:eastAsia="pt-PT"/>
                    </w:rPr>
                  </w:pPr>
                  <m:oMathPara>
                    <m:oMathParaPr>
                      <m:jc m:val="center"/>
                    </m:oMathParaPr>
                    <m:oMath>
                      <m:sSup>
                        <m:sSupPr>
                          <m:ctrlPr>
                            <w:rPr>
                              <w:rFonts w:ascii="Cambria Math" w:eastAsia="Times New Roman" w:hAnsi="Cambria Math" w:cs="Times New Roman"/>
                              <w:i/>
                              <w:color w:val="000000"/>
                              <w:sz w:val="20"/>
                              <w:lang w:eastAsia="pt-PT"/>
                            </w:rPr>
                          </m:ctrlPr>
                        </m:sSupPr>
                        <m:e>
                          <m:r>
                            <w:rPr>
                              <w:rFonts w:ascii="Cambria Math" w:eastAsia="Times New Roman" w:hAnsi="Cambria Math" w:cs="Times New Roman"/>
                              <w:color w:val="000000"/>
                              <w:sz w:val="20"/>
                              <w:lang w:eastAsia="pt-PT"/>
                            </w:rPr>
                            <m:t>R</m:t>
                          </m:r>
                        </m:e>
                        <m:sup>
                          <m:r>
                            <w:rPr>
                              <w:rFonts w:ascii="Cambria Math" w:eastAsia="Times New Roman" w:hAnsi="Cambria Math" w:cs="Times New Roman"/>
                              <w:color w:val="000000"/>
                              <w:sz w:val="20"/>
                              <w:lang w:eastAsia="pt-PT"/>
                            </w:rPr>
                            <m:t>2</m:t>
                          </m:r>
                        </m:sup>
                      </m:sSup>
                    </m:oMath>
                  </m:oMathPara>
                </w:p>
              </w:tc>
            </w:tr>
          </w:tbl>
          <w:p w14:paraId="542C1BE3" w14:textId="77777777" w:rsidR="00CF1D64" w:rsidRPr="00282F8F" w:rsidRDefault="00CF1D64" w:rsidP="00CF1D64">
            <w:pPr>
              <w:spacing w:after="0" w:line="240" w:lineRule="auto"/>
              <w:rPr>
                <w:rFonts w:ascii="Calibri" w:eastAsia="Times New Roman" w:hAnsi="Calibri" w:cs="Times New Roman"/>
                <w:color w:val="000000"/>
                <w:sz w:val="20"/>
                <w:lang w:eastAsia="pt-PT"/>
              </w:rPr>
            </w:pPr>
          </w:p>
        </w:tc>
        <w:tc>
          <w:tcPr>
            <w:tcW w:w="4253" w:type="dxa"/>
            <w:gridSpan w:val="4"/>
            <w:tcBorders>
              <w:top w:val="nil"/>
              <w:left w:val="nil"/>
              <w:bottom w:val="nil"/>
              <w:right w:val="nil"/>
            </w:tcBorders>
            <w:shd w:val="clear" w:color="auto" w:fill="auto"/>
            <w:noWrap/>
            <w:vAlign w:val="bottom"/>
            <w:hideMark/>
          </w:tcPr>
          <w:p w14:paraId="3B36B7F2" w14:textId="77777777" w:rsidR="00CF1D64" w:rsidRPr="00282F8F" w:rsidRDefault="00CF1D64" w:rsidP="00CF1D64">
            <w:pPr>
              <w:spacing w:after="0" w:line="240" w:lineRule="auto"/>
              <w:jc w:val="center"/>
              <w:rPr>
                <w:rFonts w:eastAsia="Times New Roman" w:cs="Times New Roman"/>
                <w:color w:val="000000"/>
                <w:sz w:val="20"/>
                <w:lang w:eastAsia="pt-PT"/>
              </w:rPr>
            </w:pPr>
            <w:r w:rsidRPr="00282F8F">
              <w:rPr>
                <w:rFonts w:eastAsia="Times New Roman" w:cs="Times New Roman"/>
                <w:color w:val="000000"/>
                <w:sz w:val="20"/>
                <w:lang w:eastAsia="pt-PT"/>
              </w:rPr>
              <w:t>0,401</w:t>
            </w:r>
          </w:p>
        </w:tc>
      </w:tr>
      <w:tr w:rsidR="00CF1D64" w:rsidRPr="005E28E7" w14:paraId="5801EACB" w14:textId="77777777" w:rsidTr="00793028">
        <w:trPr>
          <w:trHeight w:val="80"/>
          <w:jc w:val="center"/>
        </w:trPr>
        <w:tc>
          <w:tcPr>
            <w:tcW w:w="1276" w:type="dxa"/>
            <w:tcBorders>
              <w:top w:val="nil"/>
              <w:left w:val="nil"/>
              <w:bottom w:val="single" w:sz="8" w:space="0" w:color="auto"/>
              <w:right w:val="nil"/>
            </w:tcBorders>
            <w:shd w:val="clear" w:color="auto" w:fill="auto"/>
            <w:noWrap/>
            <w:vAlign w:val="center"/>
            <w:hideMark/>
          </w:tcPr>
          <w:p w14:paraId="2FF5F197" w14:textId="77777777" w:rsidR="00CF1D64" w:rsidRPr="00282F8F" w:rsidRDefault="00CF1D64" w:rsidP="00CF1D64">
            <w:pPr>
              <w:spacing w:after="0" w:line="240" w:lineRule="auto"/>
              <w:rPr>
                <w:rFonts w:eastAsia="Times New Roman" w:cs="Times New Roman"/>
                <w:b/>
                <w:bCs/>
                <w:color w:val="000000"/>
                <w:sz w:val="20"/>
                <w:lang w:eastAsia="pt-PT"/>
              </w:rPr>
            </w:pPr>
            <w:r w:rsidRPr="00282F8F">
              <w:rPr>
                <w:rFonts w:eastAsia="Times New Roman" w:cs="Times New Roman"/>
                <w:b/>
                <w:bCs/>
                <w:color w:val="000000"/>
                <w:sz w:val="20"/>
                <w:lang w:eastAsia="pt-PT"/>
              </w:rPr>
              <w:t> </w:t>
            </w:r>
          </w:p>
        </w:tc>
        <w:tc>
          <w:tcPr>
            <w:tcW w:w="425" w:type="dxa"/>
            <w:tcBorders>
              <w:top w:val="nil"/>
              <w:left w:val="nil"/>
              <w:bottom w:val="single" w:sz="8" w:space="0" w:color="auto"/>
              <w:right w:val="nil"/>
            </w:tcBorders>
            <w:shd w:val="clear" w:color="auto" w:fill="auto"/>
            <w:noWrap/>
            <w:vAlign w:val="bottom"/>
            <w:hideMark/>
          </w:tcPr>
          <w:p w14:paraId="09420AEC" w14:textId="77777777" w:rsidR="00CF1D64" w:rsidRPr="00282F8F" w:rsidRDefault="00CF1D64" w:rsidP="00CF1D64">
            <w:pPr>
              <w:spacing w:after="0" w:line="240" w:lineRule="auto"/>
              <w:rPr>
                <w:rFonts w:eastAsia="Times New Roman" w:cs="Times New Roman"/>
                <w:color w:val="000000"/>
                <w:sz w:val="20"/>
                <w:lang w:eastAsia="pt-PT"/>
              </w:rPr>
            </w:pPr>
            <w:r w:rsidRPr="00282F8F">
              <w:rPr>
                <w:rFonts w:eastAsia="Times New Roman" w:cs="Times New Roman"/>
                <w:color w:val="000000"/>
                <w:sz w:val="20"/>
                <w:lang w:eastAsia="pt-PT"/>
              </w:rPr>
              <w:t> </w:t>
            </w:r>
          </w:p>
        </w:tc>
        <w:tc>
          <w:tcPr>
            <w:tcW w:w="1843" w:type="dxa"/>
            <w:tcBorders>
              <w:top w:val="nil"/>
              <w:left w:val="nil"/>
              <w:bottom w:val="single" w:sz="8" w:space="0" w:color="auto"/>
              <w:right w:val="nil"/>
            </w:tcBorders>
            <w:shd w:val="clear" w:color="auto" w:fill="auto"/>
            <w:noWrap/>
            <w:vAlign w:val="bottom"/>
            <w:hideMark/>
          </w:tcPr>
          <w:p w14:paraId="45A9A3C6" w14:textId="77777777" w:rsidR="00CF1D64" w:rsidRPr="00282F8F" w:rsidRDefault="0043154B" w:rsidP="00CF1D64">
            <w:pPr>
              <w:spacing w:after="0" w:line="240" w:lineRule="auto"/>
              <w:jc w:val="center"/>
              <w:rPr>
                <w:rFonts w:eastAsia="Times New Roman" w:cs="Times New Roman"/>
                <w:color w:val="000000"/>
                <w:sz w:val="20"/>
                <w:lang w:eastAsia="pt-PT"/>
              </w:rPr>
            </w:pPr>
            <m:oMathPara>
              <m:oMath>
                <m:sSup>
                  <m:sSupPr>
                    <m:ctrlPr>
                      <w:rPr>
                        <w:rFonts w:ascii="Cambria Math" w:eastAsia="Times New Roman" w:hAnsi="Cambria Math" w:cs="Times New Roman"/>
                        <w:i/>
                        <w:color w:val="000000"/>
                        <w:sz w:val="20"/>
                        <w:lang w:eastAsia="pt-PT"/>
                      </w:rPr>
                    </m:ctrlPr>
                  </m:sSupPr>
                  <m:e>
                    <m:r>
                      <w:rPr>
                        <w:rFonts w:ascii="Cambria Math" w:eastAsia="Times New Roman" w:hAnsi="Cambria Math" w:cs="Times New Roman"/>
                        <w:color w:val="000000"/>
                        <w:sz w:val="20"/>
                        <w:lang w:eastAsia="pt-PT"/>
                      </w:rPr>
                      <m:t>R</m:t>
                    </m:r>
                  </m:e>
                  <m:sup>
                    <m:r>
                      <w:rPr>
                        <w:rFonts w:ascii="Cambria Math" w:eastAsia="Times New Roman" w:hAnsi="Cambria Math" w:cs="Times New Roman"/>
                        <w:color w:val="000000"/>
                        <w:sz w:val="20"/>
                        <w:lang w:eastAsia="pt-PT"/>
                      </w:rPr>
                      <m:t>2</m:t>
                    </m:r>
                  </m:sup>
                </m:sSup>
                <m:r>
                  <w:rPr>
                    <w:rFonts w:ascii="Cambria Math" w:eastAsia="Times New Roman" w:hAnsi="Cambria Math" w:cs="Times New Roman"/>
                    <w:color w:val="000000"/>
                    <w:sz w:val="20"/>
                    <w:lang w:eastAsia="pt-PT"/>
                  </w:rPr>
                  <m:t xml:space="preserve"> Ajustado</m:t>
                </m:r>
              </m:oMath>
            </m:oMathPara>
          </w:p>
        </w:tc>
        <w:tc>
          <w:tcPr>
            <w:tcW w:w="4253" w:type="dxa"/>
            <w:gridSpan w:val="4"/>
            <w:tcBorders>
              <w:top w:val="nil"/>
              <w:left w:val="nil"/>
              <w:bottom w:val="single" w:sz="8" w:space="0" w:color="auto"/>
              <w:right w:val="nil"/>
            </w:tcBorders>
            <w:shd w:val="clear" w:color="auto" w:fill="auto"/>
            <w:noWrap/>
            <w:vAlign w:val="bottom"/>
            <w:hideMark/>
          </w:tcPr>
          <w:p w14:paraId="17FCCAEF" w14:textId="77777777" w:rsidR="00CF1D64" w:rsidRPr="00282F8F" w:rsidRDefault="00CF1D64" w:rsidP="00CF1D64">
            <w:pPr>
              <w:spacing w:after="0" w:line="240" w:lineRule="auto"/>
              <w:jc w:val="center"/>
              <w:rPr>
                <w:rFonts w:eastAsia="Times New Roman" w:cs="Times New Roman"/>
                <w:color w:val="000000"/>
                <w:sz w:val="20"/>
                <w:lang w:eastAsia="pt-PT"/>
              </w:rPr>
            </w:pPr>
            <w:r w:rsidRPr="00282F8F">
              <w:rPr>
                <w:rFonts w:eastAsia="Times New Roman" w:cs="Times New Roman"/>
                <w:color w:val="000000"/>
                <w:sz w:val="20"/>
                <w:lang w:eastAsia="pt-PT"/>
              </w:rPr>
              <w:t>0,248</w:t>
            </w:r>
          </w:p>
        </w:tc>
      </w:tr>
      <w:tr w:rsidR="00CF1D64" w:rsidRPr="005E28E7" w14:paraId="5DE306DC" w14:textId="77777777" w:rsidTr="00793028">
        <w:trPr>
          <w:trHeight w:val="108"/>
          <w:jc w:val="center"/>
        </w:trPr>
        <w:tc>
          <w:tcPr>
            <w:tcW w:w="1276" w:type="dxa"/>
            <w:vMerge w:val="restart"/>
            <w:tcBorders>
              <w:top w:val="nil"/>
              <w:left w:val="nil"/>
              <w:right w:val="nil"/>
            </w:tcBorders>
            <w:shd w:val="clear" w:color="auto" w:fill="E7E6E6" w:themeFill="background2"/>
            <w:noWrap/>
            <w:vAlign w:val="center"/>
            <w:hideMark/>
          </w:tcPr>
          <w:p w14:paraId="5C9961E2" w14:textId="77777777" w:rsidR="00CF1D64" w:rsidRPr="00282F8F" w:rsidRDefault="00CF1D64" w:rsidP="00CF1D64">
            <w:pPr>
              <w:spacing w:after="0" w:line="240" w:lineRule="auto"/>
              <w:rPr>
                <w:rFonts w:eastAsia="Times New Roman" w:cs="Times New Roman"/>
                <w:b/>
                <w:bCs/>
                <w:color w:val="000000"/>
                <w:sz w:val="20"/>
                <w:lang w:eastAsia="pt-PT"/>
              </w:rPr>
            </w:pPr>
            <w:r w:rsidRPr="005E28E7">
              <w:rPr>
                <w:rFonts w:eastAsia="Times New Roman" w:cs="Times New Roman"/>
                <w:b/>
                <w:bCs/>
                <w:color w:val="000000"/>
                <w:sz w:val="20"/>
                <w:lang w:eastAsia="pt-PT"/>
              </w:rPr>
              <w:t>Equação</w:t>
            </w:r>
            <w:r w:rsidRPr="00282F8F">
              <w:rPr>
                <w:rFonts w:eastAsia="Times New Roman" w:cs="Times New Roman"/>
                <w:b/>
                <w:bCs/>
                <w:color w:val="000000"/>
                <w:sz w:val="20"/>
                <w:lang w:eastAsia="pt-PT"/>
              </w:rPr>
              <w:t xml:space="preserve"> 4.4</w:t>
            </w:r>
          </w:p>
        </w:tc>
        <w:tc>
          <w:tcPr>
            <w:tcW w:w="425" w:type="dxa"/>
            <w:vMerge w:val="restart"/>
            <w:tcBorders>
              <w:top w:val="nil"/>
              <w:left w:val="nil"/>
              <w:right w:val="nil"/>
            </w:tcBorders>
            <w:shd w:val="clear" w:color="auto" w:fill="E7E6E6" w:themeFill="background2"/>
            <w:noWrap/>
            <w:textDirection w:val="btLr"/>
            <w:vAlign w:val="center"/>
            <w:hideMark/>
          </w:tcPr>
          <w:p w14:paraId="034D09C6" w14:textId="77777777" w:rsidR="00CF1D64" w:rsidRPr="00282F8F" w:rsidRDefault="00CF1D64" w:rsidP="00CF1D64">
            <w:pPr>
              <w:spacing w:after="0" w:line="240" w:lineRule="auto"/>
              <w:jc w:val="center"/>
              <w:rPr>
                <w:rFonts w:eastAsia="Times New Roman" w:cs="Times New Roman"/>
                <w:b/>
                <w:bCs/>
                <w:color w:val="000000"/>
                <w:sz w:val="20"/>
                <w:lang w:eastAsia="pt-PT"/>
              </w:rPr>
            </w:pPr>
            <w:r w:rsidRPr="00282F8F">
              <w:rPr>
                <w:rFonts w:eastAsia="Times New Roman" w:cs="Times New Roman"/>
                <w:b/>
                <w:bCs/>
                <w:color w:val="000000"/>
                <w:sz w:val="20"/>
                <w:lang w:eastAsia="pt-PT"/>
              </w:rPr>
              <w:t>Variáveis</w:t>
            </w:r>
          </w:p>
        </w:tc>
        <w:tc>
          <w:tcPr>
            <w:tcW w:w="1843" w:type="dxa"/>
            <w:tcBorders>
              <w:top w:val="nil"/>
              <w:left w:val="nil"/>
              <w:bottom w:val="nil"/>
              <w:right w:val="nil"/>
            </w:tcBorders>
            <w:shd w:val="clear" w:color="auto" w:fill="E7E6E6" w:themeFill="background2"/>
            <w:noWrap/>
            <w:vAlign w:val="center"/>
            <w:hideMark/>
          </w:tcPr>
          <w:p w14:paraId="3D7CAF45" w14:textId="77777777" w:rsidR="00CF1D64" w:rsidRPr="00282F8F" w:rsidRDefault="00CF1D64" w:rsidP="00E6485C">
            <w:pPr>
              <w:spacing w:after="0" w:line="240" w:lineRule="auto"/>
              <w:ind w:left="640"/>
              <w:rPr>
                <w:rFonts w:eastAsia="Times New Roman" w:cs="Times New Roman"/>
                <w:color w:val="000000"/>
                <w:sz w:val="20"/>
                <w:lang w:eastAsia="pt-PT"/>
              </w:rPr>
            </w:pPr>
            <w:r w:rsidRPr="00282F8F">
              <w:rPr>
                <w:rFonts w:eastAsia="Times New Roman" w:cs="Times New Roman"/>
                <w:color w:val="000000"/>
                <w:sz w:val="20"/>
                <w:lang w:eastAsia="pt-PT"/>
              </w:rPr>
              <w:t>C</w:t>
            </w:r>
          </w:p>
        </w:tc>
        <w:tc>
          <w:tcPr>
            <w:tcW w:w="690" w:type="dxa"/>
            <w:tcBorders>
              <w:top w:val="nil"/>
              <w:left w:val="nil"/>
              <w:bottom w:val="nil"/>
              <w:right w:val="nil"/>
            </w:tcBorders>
            <w:shd w:val="clear" w:color="auto" w:fill="E7E6E6" w:themeFill="background2"/>
            <w:noWrap/>
            <w:vAlign w:val="center"/>
            <w:hideMark/>
          </w:tcPr>
          <w:p w14:paraId="735CC8B3"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41,28</w:t>
            </w:r>
          </w:p>
        </w:tc>
        <w:tc>
          <w:tcPr>
            <w:tcW w:w="1276" w:type="dxa"/>
            <w:tcBorders>
              <w:top w:val="nil"/>
              <w:left w:val="nil"/>
              <w:bottom w:val="nil"/>
              <w:right w:val="nil"/>
            </w:tcBorders>
            <w:shd w:val="clear" w:color="auto" w:fill="E7E6E6" w:themeFill="background2"/>
            <w:noWrap/>
            <w:vAlign w:val="center"/>
            <w:hideMark/>
          </w:tcPr>
          <w:p w14:paraId="498C7BAE"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3,729</w:t>
            </w:r>
          </w:p>
        </w:tc>
        <w:tc>
          <w:tcPr>
            <w:tcW w:w="1417" w:type="dxa"/>
            <w:tcBorders>
              <w:top w:val="nil"/>
              <w:left w:val="nil"/>
              <w:bottom w:val="nil"/>
              <w:right w:val="nil"/>
            </w:tcBorders>
            <w:shd w:val="clear" w:color="auto" w:fill="E7E6E6" w:themeFill="background2"/>
            <w:noWrap/>
            <w:vAlign w:val="center"/>
            <w:hideMark/>
          </w:tcPr>
          <w:p w14:paraId="2D719768"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11,071</w:t>
            </w:r>
          </w:p>
        </w:tc>
        <w:tc>
          <w:tcPr>
            <w:tcW w:w="870" w:type="dxa"/>
            <w:tcBorders>
              <w:top w:val="single" w:sz="4" w:space="0" w:color="auto"/>
              <w:left w:val="nil"/>
              <w:bottom w:val="nil"/>
              <w:right w:val="nil"/>
            </w:tcBorders>
            <w:shd w:val="clear" w:color="auto" w:fill="E7E6E6" w:themeFill="background2"/>
            <w:noWrap/>
            <w:vAlign w:val="center"/>
            <w:hideMark/>
          </w:tcPr>
          <w:p w14:paraId="79CA3869"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0,00</w:t>
            </w:r>
          </w:p>
        </w:tc>
      </w:tr>
      <w:tr w:rsidR="00CF1D64" w:rsidRPr="005E28E7" w14:paraId="16B4C1B7" w14:textId="77777777" w:rsidTr="00793028">
        <w:trPr>
          <w:trHeight w:val="70"/>
          <w:jc w:val="center"/>
        </w:trPr>
        <w:tc>
          <w:tcPr>
            <w:tcW w:w="1276" w:type="dxa"/>
            <w:vMerge/>
            <w:tcBorders>
              <w:left w:val="nil"/>
              <w:right w:val="nil"/>
            </w:tcBorders>
            <w:shd w:val="clear" w:color="auto" w:fill="E7E6E6" w:themeFill="background2"/>
            <w:noWrap/>
            <w:vAlign w:val="center"/>
            <w:hideMark/>
          </w:tcPr>
          <w:p w14:paraId="698B035B"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vMerge/>
            <w:tcBorders>
              <w:left w:val="nil"/>
              <w:right w:val="nil"/>
            </w:tcBorders>
            <w:shd w:val="clear" w:color="auto" w:fill="E7E6E6" w:themeFill="background2"/>
            <w:noWrap/>
            <w:textDirection w:val="btLr"/>
            <w:vAlign w:val="center"/>
            <w:hideMark/>
          </w:tcPr>
          <w:p w14:paraId="150CA74F"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1843" w:type="dxa"/>
            <w:tcBorders>
              <w:top w:val="nil"/>
              <w:left w:val="nil"/>
              <w:bottom w:val="nil"/>
              <w:right w:val="nil"/>
            </w:tcBorders>
            <w:shd w:val="clear" w:color="auto" w:fill="E7E6E6" w:themeFill="background2"/>
            <w:noWrap/>
            <w:vAlign w:val="center"/>
            <w:hideMark/>
          </w:tcPr>
          <w:p w14:paraId="217B2EBC" w14:textId="77777777" w:rsidR="00CF1D64" w:rsidRPr="00282F8F" w:rsidRDefault="00CF1D64" w:rsidP="00E6485C">
            <w:pPr>
              <w:spacing w:after="0" w:line="240" w:lineRule="auto"/>
              <w:ind w:left="640"/>
              <w:rPr>
                <w:rFonts w:eastAsia="Times New Roman" w:cs="Times New Roman"/>
                <w:color w:val="000000"/>
                <w:sz w:val="20"/>
                <w:lang w:eastAsia="pt-PT"/>
              </w:rPr>
            </w:pPr>
            <w:r w:rsidRPr="00282F8F">
              <w:rPr>
                <w:rFonts w:eastAsia="Times New Roman" w:cs="Times New Roman"/>
                <w:color w:val="000000"/>
                <w:sz w:val="20"/>
                <w:lang w:eastAsia="pt-PT"/>
              </w:rPr>
              <w:t>CP</w:t>
            </w:r>
          </w:p>
        </w:tc>
        <w:tc>
          <w:tcPr>
            <w:tcW w:w="690" w:type="dxa"/>
            <w:tcBorders>
              <w:top w:val="nil"/>
              <w:left w:val="nil"/>
              <w:bottom w:val="nil"/>
              <w:right w:val="nil"/>
            </w:tcBorders>
            <w:shd w:val="clear" w:color="auto" w:fill="E7E6E6" w:themeFill="background2"/>
            <w:noWrap/>
            <w:vAlign w:val="center"/>
            <w:hideMark/>
          </w:tcPr>
          <w:p w14:paraId="0DBC9C25"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2,285</w:t>
            </w:r>
          </w:p>
        </w:tc>
        <w:tc>
          <w:tcPr>
            <w:tcW w:w="1276" w:type="dxa"/>
            <w:tcBorders>
              <w:top w:val="nil"/>
              <w:left w:val="nil"/>
              <w:bottom w:val="nil"/>
              <w:right w:val="nil"/>
            </w:tcBorders>
            <w:shd w:val="clear" w:color="auto" w:fill="E7E6E6" w:themeFill="background2"/>
            <w:noWrap/>
            <w:vAlign w:val="center"/>
            <w:hideMark/>
          </w:tcPr>
          <w:p w14:paraId="17BEF39D"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3,2</w:t>
            </w:r>
          </w:p>
        </w:tc>
        <w:tc>
          <w:tcPr>
            <w:tcW w:w="1417" w:type="dxa"/>
            <w:tcBorders>
              <w:top w:val="nil"/>
              <w:left w:val="nil"/>
              <w:bottom w:val="nil"/>
              <w:right w:val="nil"/>
            </w:tcBorders>
            <w:shd w:val="clear" w:color="auto" w:fill="E7E6E6" w:themeFill="background2"/>
            <w:noWrap/>
            <w:vAlign w:val="center"/>
            <w:hideMark/>
          </w:tcPr>
          <w:p w14:paraId="13947C0B"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0,714</w:t>
            </w:r>
          </w:p>
        </w:tc>
        <w:tc>
          <w:tcPr>
            <w:tcW w:w="870" w:type="dxa"/>
            <w:tcBorders>
              <w:left w:val="nil"/>
              <w:bottom w:val="nil"/>
              <w:right w:val="nil"/>
            </w:tcBorders>
            <w:shd w:val="clear" w:color="auto" w:fill="E7E6E6" w:themeFill="background2"/>
            <w:noWrap/>
            <w:vAlign w:val="center"/>
            <w:hideMark/>
          </w:tcPr>
          <w:p w14:paraId="426779B4"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0,48</w:t>
            </w:r>
          </w:p>
        </w:tc>
      </w:tr>
      <w:tr w:rsidR="00CF1D64" w:rsidRPr="005E28E7" w14:paraId="389F6132" w14:textId="77777777" w:rsidTr="00793028">
        <w:trPr>
          <w:trHeight w:val="70"/>
          <w:jc w:val="center"/>
        </w:trPr>
        <w:tc>
          <w:tcPr>
            <w:tcW w:w="1276" w:type="dxa"/>
            <w:vMerge/>
            <w:tcBorders>
              <w:left w:val="nil"/>
              <w:right w:val="nil"/>
            </w:tcBorders>
            <w:shd w:val="clear" w:color="auto" w:fill="E7E6E6" w:themeFill="background2"/>
            <w:noWrap/>
            <w:vAlign w:val="center"/>
            <w:hideMark/>
          </w:tcPr>
          <w:p w14:paraId="2F783C5C"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vMerge/>
            <w:tcBorders>
              <w:left w:val="nil"/>
              <w:right w:val="nil"/>
            </w:tcBorders>
            <w:shd w:val="clear" w:color="auto" w:fill="E7E6E6" w:themeFill="background2"/>
            <w:noWrap/>
            <w:textDirection w:val="btLr"/>
            <w:vAlign w:val="center"/>
            <w:hideMark/>
          </w:tcPr>
          <w:p w14:paraId="32B055B6"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1843" w:type="dxa"/>
            <w:tcBorders>
              <w:top w:val="nil"/>
              <w:left w:val="nil"/>
              <w:bottom w:val="nil"/>
              <w:right w:val="nil"/>
            </w:tcBorders>
            <w:shd w:val="clear" w:color="auto" w:fill="E7E6E6" w:themeFill="background2"/>
            <w:noWrap/>
            <w:vAlign w:val="center"/>
            <w:hideMark/>
          </w:tcPr>
          <w:p w14:paraId="31D4FB1D" w14:textId="15F25AB2" w:rsidR="00CF1D64" w:rsidRPr="00282F8F" w:rsidRDefault="00CF1D64" w:rsidP="00E6485C">
            <w:pPr>
              <w:spacing w:after="0" w:line="240" w:lineRule="auto"/>
              <w:ind w:left="640"/>
              <w:rPr>
                <w:rFonts w:eastAsia="Times New Roman" w:cs="Times New Roman"/>
                <w:color w:val="000000"/>
                <w:sz w:val="20"/>
                <w:lang w:eastAsia="pt-PT"/>
              </w:rPr>
            </w:pPr>
            <w:r w:rsidRPr="00282F8F">
              <w:rPr>
                <w:rFonts w:eastAsia="Times New Roman" w:cs="Times New Roman"/>
                <w:color w:val="000000"/>
                <w:sz w:val="20"/>
                <w:lang w:eastAsia="pt-PT"/>
              </w:rPr>
              <w:t>D</w:t>
            </w:r>
            <w:r w:rsidR="000A23D0">
              <w:rPr>
                <w:rFonts w:eastAsia="Times New Roman" w:cs="Times New Roman"/>
                <w:color w:val="000000"/>
                <w:sz w:val="20"/>
                <w:lang w:eastAsia="pt-PT"/>
              </w:rPr>
              <w:t>E</w:t>
            </w:r>
          </w:p>
        </w:tc>
        <w:tc>
          <w:tcPr>
            <w:tcW w:w="690" w:type="dxa"/>
            <w:tcBorders>
              <w:top w:val="nil"/>
              <w:left w:val="nil"/>
              <w:bottom w:val="nil"/>
              <w:right w:val="nil"/>
            </w:tcBorders>
            <w:shd w:val="clear" w:color="auto" w:fill="E7E6E6" w:themeFill="background2"/>
            <w:noWrap/>
            <w:vAlign w:val="center"/>
            <w:hideMark/>
          </w:tcPr>
          <w:p w14:paraId="52B252C3"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-1,835</w:t>
            </w:r>
          </w:p>
        </w:tc>
        <w:tc>
          <w:tcPr>
            <w:tcW w:w="1276" w:type="dxa"/>
            <w:tcBorders>
              <w:top w:val="nil"/>
              <w:left w:val="nil"/>
              <w:bottom w:val="nil"/>
              <w:right w:val="nil"/>
            </w:tcBorders>
            <w:shd w:val="clear" w:color="auto" w:fill="E7E6E6" w:themeFill="background2"/>
            <w:noWrap/>
            <w:vAlign w:val="center"/>
            <w:hideMark/>
          </w:tcPr>
          <w:p w14:paraId="1E1DEAC5"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0,999</w:t>
            </w:r>
          </w:p>
        </w:tc>
        <w:tc>
          <w:tcPr>
            <w:tcW w:w="1417" w:type="dxa"/>
            <w:tcBorders>
              <w:top w:val="nil"/>
              <w:left w:val="nil"/>
              <w:bottom w:val="nil"/>
              <w:right w:val="nil"/>
            </w:tcBorders>
            <w:shd w:val="clear" w:color="auto" w:fill="E7E6E6" w:themeFill="background2"/>
            <w:noWrap/>
            <w:vAlign w:val="center"/>
            <w:hideMark/>
          </w:tcPr>
          <w:p w14:paraId="7CC43891"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-1,837</w:t>
            </w:r>
          </w:p>
        </w:tc>
        <w:tc>
          <w:tcPr>
            <w:tcW w:w="870" w:type="dxa"/>
            <w:tcBorders>
              <w:left w:val="nil"/>
              <w:bottom w:val="nil"/>
              <w:right w:val="nil"/>
            </w:tcBorders>
            <w:shd w:val="clear" w:color="auto" w:fill="E7E6E6" w:themeFill="background2"/>
            <w:noWrap/>
            <w:vAlign w:val="center"/>
            <w:hideMark/>
          </w:tcPr>
          <w:p w14:paraId="0EBB0AF0"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0,07</w:t>
            </w:r>
          </w:p>
        </w:tc>
      </w:tr>
      <w:tr w:rsidR="00CF1D64" w:rsidRPr="005E28E7" w14:paraId="43715FF2" w14:textId="77777777" w:rsidTr="00793028">
        <w:trPr>
          <w:trHeight w:val="100"/>
          <w:jc w:val="center"/>
        </w:trPr>
        <w:tc>
          <w:tcPr>
            <w:tcW w:w="1276" w:type="dxa"/>
            <w:vMerge/>
            <w:tcBorders>
              <w:left w:val="nil"/>
              <w:right w:val="nil"/>
            </w:tcBorders>
            <w:shd w:val="clear" w:color="auto" w:fill="E7E6E6" w:themeFill="background2"/>
            <w:noWrap/>
            <w:vAlign w:val="center"/>
            <w:hideMark/>
          </w:tcPr>
          <w:p w14:paraId="556083FE"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vMerge/>
            <w:tcBorders>
              <w:left w:val="nil"/>
              <w:right w:val="nil"/>
            </w:tcBorders>
            <w:shd w:val="clear" w:color="auto" w:fill="E7E6E6" w:themeFill="background2"/>
            <w:noWrap/>
            <w:textDirection w:val="btLr"/>
            <w:vAlign w:val="center"/>
            <w:hideMark/>
          </w:tcPr>
          <w:p w14:paraId="72B49664"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1843" w:type="dxa"/>
            <w:tcBorders>
              <w:top w:val="nil"/>
              <w:left w:val="nil"/>
              <w:bottom w:val="nil"/>
              <w:right w:val="nil"/>
            </w:tcBorders>
            <w:shd w:val="clear" w:color="auto" w:fill="E7E6E6" w:themeFill="background2"/>
            <w:noWrap/>
            <w:vAlign w:val="center"/>
            <w:hideMark/>
          </w:tcPr>
          <w:p w14:paraId="14FA627B" w14:textId="77777777" w:rsidR="00CF1D64" w:rsidRPr="00282F8F" w:rsidRDefault="00CF1D64" w:rsidP="00E6485C">
            <w:pPr>
              <w:spacing w:after="0" w:line="240" w:lineRule="auto"/>
              <w:ind w:left="640"/>
              <w:rPr>
                <w:rFonts w:eastAsia="Times New Roman" w:cs="Times New Roman"/>
                <w:color w:val="000000"/>
                <w:sz w:val="20"/>
                <w:lang w:eastAsia="pt-PT"/>
              </w:rPr>
            </w:pPr>
            <w:proofErr w:type="spellStart"/>
            <w:r w:rsidRPr="00282F8F">
              <w:rPr>
                <w:rFonts w:eastAsia="Times New Roman" w:cs="Times New Roman"/>
                <w:color w:val="000000"/>
                <w:sz w:val="20"/>
                <w:lang w:eastAsia="pt-PT"/>
              </w:rPr>
              <w:t>TxPI</w:t>
            </w:r>
            <w:proofErr w:type="spellEnd"/>
          </w:p>
        </w:tc>
        <w:tc>
          <w:tcPr>
            <w:tcW w:w="690" w:type="dxa"/>
            <w:tcBorders>
              <w:top w:val="nil"/>
              <w:left w:val="nil"/>
              <w:bottom w:val="nil"/>
              <w:right w:val="nil"/>
            </w:tcBorders>
            <w:shd w:val="clear" w:color="auto" w:fill="E7E6E6" w:themeFill="background2"/>
            <w:noWrap/>
            <w:vAlign w:val="center"/>
            <w:hideMark/>
          </w:tcPr>
          <w:p w14:paraId="64A0CE97"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-0,179</w:t>
            </w:r>
          </w:p>
        </w:tc>
        <w:tc>
          <w:tcPr>
            <w:tcW w:w="1276" w:type="dxa"/>
            <w:tcBorders>
              <w:top w:val="nil"/>
              <w:left w:val="nil"/>
              <w:bottom w:val="nil"/>
              <w:right w:val="nil"/>
            </w:tcBorders>
            <w:shd w:val="clear" w:color="auto" w:fill="E7E6E6" w:themeFill="background2"/>
            <w:noWrap/>
            <w:vAlign w:val="center"/>
            <w:hideMark/>
          </w:tcPr>
          <w:p w14:paraId="082262C2"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0,079</w:t>
            </w:r>
          </w:p>
        </w:tc>
        <w:tc>
          <w:tcPr>
            <w:tcW w:w="1417" w:type="dxa"/>
            <w:tcBorders>
              <w:top w:val="nil"/>
              <w:left w:val="nil"/>
              <w:bottom w:val="nil"/>
              <w:right w:val="nil"/>
            </w:tcBorders>
            <w:shd w:val="clear" w:color="auto" w:fill="E7E6E6" w:themeFill="background2"/>
            <w:noWrap/>
            <w:vAlign w:val="center"/>
            <w:hideMark/>
          </w:tcPr>
          <w:p w14:paraId="2A334F2C"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-2,233</w:t>
            </w:r>
          </w:p>
        </w:tc>
        <w:tc>
          <w:tcPr>
            <w:tcW w:w="870" w:type="dxa"/>
            <w:tcBorders>
              <w:left w:val="nil"/>
              <w:bottom w:val="nil"/>
              <w:right w:val="nil"/>
            </w:tcBorders>
            <w:shd w:val="clear" w:color="auto" w:fill="E7E6E6" w:themeFill="background2"/>
            <w:noWrap/>
            <w:vAlign w:val="center"/>
            <w:hideMark/>
          </w:tcPr>
          <w:p w14:paraId="0D710249"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0,03</w:t>
            </w:r>
          </w:p>
        </w:tc>
      </w:tr>
      <w:tr w:rsidR="00CF1D64" w:rsidRPr="005E28E7" w14:paraId="5022A385" w14:textId="77777777" w:rsidTr="00793028">
        <w:trPr>
          <w:trHeight w:val="70"/>
          <w:jc w:val="center"/>
        </w:trPr>
        <w:tc>
          <w:tcPr>
            <w:tcW w:w="1276" w:type="dxa"/>
            <w:vMerge/>
            <w:tcBorders>
              <w:left w:val="nil"/>
              <w:right w:val="nil"/>
            </w:tcBorders>
            <w:shd w:val="clear" w:color="auto" w:fill="E7E6E6" w:themeFill="background2"/>
            <w:noWrap/>
            <w:vAlign w:val="center"/>
            <w:hideMark/>
          </w:tcPr>
          <w:p w14:paraId="6F7A8DF2"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vMerge/>
            <w:tcBorders>
              <w:left w:val="nil"/>
              <w:right w:val="nil"/>
            </w:tcBorders>
            <w:shd w:val="clear" w:color="auto" w:fill="E7E6E6" w:themeFill="background2"/>
            <w:noWrap/>
            <w:textDirection w:val="btLr"/>
            <w:vAlign w:val="center"/>
            <w:hideMark/>
          </w:tcPr>
          <w:p w14:paraId="4BA45E3F"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1843" w:type="dxa"/>
            <w:tcBorders>
              <w:top w:val="nil"/>
              <w:left w:val="nil"/>
              <w:bottom w:val="nil"/>
              <w:right w:val="nil"/>
            </w:tcBorders>
            <w:shd w:val="clear" w:color="auto" w:fill="E7E6E6" w:themeFill="background2"/>
            <w:noWrap/>
            <w:vAlign w:val="center"/>
            <w:hideMark/>
          </w:tcPr>
          <w:p w14:paraId="7BC06EED" w14:textId="77777777" w:rsidR="00CF1D64" w:rsidRPr="00282F8F" w:rsidRDefault="00CF1D64" w:rsidP="00E6485C">
            <w:pPr>
              <w:spacing w:after="0" w:line="240" w:lineRule="auto"/>
              <w:ind w:left="640"/>
              <w:rPr>
                <w:rFonts w:eastAsia="Times New Roman" w:cs="Times New Roman"/>
                <w:color w:val="000000"/>
                <w:sz w:val="20"/>
                <w:lang w:eastAsia="pt-PT"/>
              </w:rPr>
            </w:pPr>
            <w:proofErr w:type="spellStart"/>
            <w:r w:rsidRPr="00282F8F">
              <w:rPr>
                <w:rFonts w:eastAsia="Times New Roman" w:cs="Times New Roman"/>
                <w:color w:val="000000"/>
                <w:sz w:val="20"/>
                <w:lang w:eastAsia="pt-PT"/>
              </w:rPr>
              <w:t>TxD</w:t>
            </w:r>
            <w:proofErr w:type="spellEnd"/>
          </w:p>
        </w:tc>
        <w:tc>
          <w:tcPr>
            <w:tcW w:w="690" w:type="dxa"/>
            <w:tcBorders>
              <w:top w:val="nil"/>
              <w:left w:val="nil"/>
              <w:bottom w:val="nil"/>
              <w:right w:val="nil"/>
            </w:tcBorders>
            <w:shd w:val="clear" w:color="auto" w:fill="E7E6E6" w:themeFill="background2"/>
            <w:noWrap/>
            <w:vAlign w:val="center"/>
            <w:hideMark/>
          </w:tcPr>
          <w:p w14:paraId="206C6459"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0,78</w:t>
            </w:r>
          </w:p>
        </w:tc>
        <w:tc>
          <w:tcPr>
            <w:tcW w:w="1276" w:type="dxa"/>
            <w:tcBorders>
              <w:top w:val="nil"/>
              <w:left w:val="nil"/>
              <w:bottom w:val="nil"/>
              <w:right w:val="nil"/>
            </w:tcBorders>
            <w:shd w:val="clear" w:color="auto" w:fill="E7E6E6" w:themeFill="background2"/>
            <w:noWrap/>
            <w:vAlign w:val="center"/>
            <w:hideMark/>
          </w:tcPr>
          <w:p w14:paraId="79527389"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0,826</w:t>
            </w:r>
          </w:p>
        </w:tc>
        <w:tc>
          <w:tcPr>
            <w:tcW w:w="1417" w:type="dxa"/>
            <w:tcBorders>
              <w:top w:val="nil"/>
              <w:left w:val="nil"/>
              <w:bottom w:val="nil"/>
              <w:right w:val="nil"/>
            </w:tcBorders>
            <w:shd w:val="clear" w:color="auto" w:fill="E7E6E6" w:themeFill="background2"/>
            <w:noWrap/>
            <w:vAlign w:val="center"/>
            <w:hideMark/>
          </w:tcPr>
          <w:p w14:paraId="6B273A5D"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0,945</w:t>
            </w:r>
          </w:p>
        </w:tc>
        <w:tc>
          <w:tcPr>
            <w:tcW w:w="870" w:type="dxa"/>
            <w:tcBorders>
              <w:left w:val="nil"/>
              <w:bottom w:val="nil"/>
              <w:right w:val="nil"/>
            </w:tcBorders>
            <w:shd w:val="clear" w:color="auto" w:fill="E7E6E6" w:themeFill="background2"/>
            <w:noWrap/>
            <w:vAlign w:val="center"/>
            <w:hideMark/>
          </w:tcPr>
          <w:p w14:paraId="5AF6FBB1"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0,35</w:t>
            </w:r>
          </w:p>
        </w:tc>
      </w:tr>
      <w:tr w:rsidR="00CF1D64" w:rsidRPr="005E28E7" w14:paraId="7EC55312" w14:textId="77777777" w:rsidTr="00793028">
        <w:trPr>
          <w:trHeight w:val="70"/>
          <w:jc w:val="center"/>
        </w:trPr>
        <w:tc>
          <w:tcPr>
            <w:tcW w:w="1276" w:type="dxa"/>
            <w:vMerge/>
            <w:tcBorders>
              <w:left w:val="nil"/>
              <w:bottom w:val="nil"/>
              <w:right w:val="nil"/>
            </w:tcBorders>
            <w:shd w:val="clear" w:color="auto" w:fill="E7E6E6" w:themeFill="background2"/>
            <w:noWrap/>
            <w:vAlign w:val="center"/>
            <w:hideMark/>
          </w:tcPr>
          <w:p w14:paraId="5BE80692"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vMerge/>
            <w:tcBorders>
              <w:left w:val="nil"/>
              <w:bottom w:val="nil"/>
              <w:right w:val="nil"/>
            </w:tcBorders>
            <w:shd w:val="clear" w:color="auto" w:fill="E7E6E6" w:themeFill="background2"/>
            <w:noWrap/>
            <w:textDirection w:val="btLr"/>
            <w:vAlign w:val="center"/>
            <w:hideMark/>
          </w:tcPr>
          <w:p w14:paraId="6F510666"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1843" w:type="dxa"/>
            <w:tcBorders>
              <w:top w:val="nil"/>
              <w:left w:val="nil"/>
              <w:bottom w:val="single" w:sz="8" w:space="0" w:color="auto"/>
              <w:right w:val="nil"/>
            </w:tcBorders>
            <w:shd w:val="clear" w:color="auto" w:fill="E7E6E6" w:themeFill="background2"/>
            <w:noWrap/>
            <w:vAlign w:val="center"/>
            <w:hideMark/>
          </w:tcPr>
          <w:p w14:paraId="126F5E75" w14:textId="77777777" w:rsidR="00CF1D64" w:rsidRPr="00282F8F" w:rsidRDefault="00CF1D64" w:rsidP="00E6485C">
            <w:pPr>
              <w:spacing w:after="0" w:line="240" w:lineRule="auto"/>
              <w:ind w:left="640"/>
              <w:rPr>
                <w:rFonts w:eastAsia="Times New Roman" w:cs="Times New Roman"/>
                <w:color w:val="000000"/>
                <w:sz w:val="20"/>
                <w:lang w:eastAsia="pt-PT"/>
              </w:rPr>
            </w:pPr>
            <w:r w:rsidRPr="00282F8F">
              <w:rPr>
                <w:rFonts w:eastAsia="Times New Roman" w:cs="Times New Roman"/>
                <w:color w:val="000000"/>
                <w:sz w:val="20"/>
                <w:lang w:eastAsia="pt-PT"/>
              </w:rPr>
              <w:t>PA</w:t>
            </w:r>
          </w:p>
        </w:tc>
        <w:tc>
          <w:tcPr>
            <w:tcW w:w="690" w:type="dxa"/>
            <w:tcBorders>
              <w:top w:val="nil"/>
              <w:left w:val="nil"/>
              <w:bottom w:val="single" w:sz="8" w:space="0" w:color="auto"/>
              <w:right w:val="nil"/>
            </w:tcBorders>
            <w:shd w:val="clear" w:color="auto" w:fill="E7E6E6" w:themeFill="background2"/>
            <w:noWrap/>
            <w:vAlign w:val="center"/>
            <w:hideMark/>
          </w:tcPr>
          <w:p w14:paraId="55877B74"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0,15</w:t>
            </w:r>
          </w:p>
        </w:tc>
        <w:tc>
          <w:tcPr>
            <w:tcW w:w="1276" w:type="dxa"/>
            <w:tcBorders>
              <w:top w:val="nil"/>
              <w:left w:val="nil"/>
              <w:bottom w:val="single" w:sz="8" w:space="0" w:color="auto"/>
              <w:right w:val="nil"/>
            </w:tcBorders>
            <w:shd w:val="clear" w:color="auto" w:fill="E7E6E6" w:themeFill="background2"/>
            <w:noWrap/>
            <w:vAlign w:val="center"/>
            <w:hideMark/>
          </w:tcPr>
          <w:p w14:paraId="4997FFE2"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0,056</w:t>
            </w:r>
          </w:p>
        </w:tc>
        <w:tc>
          <w:tcPr>
            <w:tcW w:w="1417" w:type="dxa"/>
            <w:tcBorders>
              <w:top w:val="nil"/>
              <w:left w:val="nil"/>
              <w:bottom w:val="single" w:sz="8" w:space="0" w:color="auto"/>
              <w:right w:val="nil"/>
            </w:tcBorders>
            <w:shd w:val="clear" w:color="auto" w:fill="E7E6E6" w:themeFill="background2"/>
            <w:noWrap/>
            <w:vAlign w:val="center"/>
            <w:hideMark/>
          </w:tcPr>
          <w:p w14:paraId="67406CC5"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2,656</w:t>
            </w:r>
          </w:p>
        </w:tc>
        <w:tc>
          <w:tcPr>
            <w:tcW w:w="870" w:type="dxa"/>
            <w:tcBorders>
              <w:left w:val="nil"/>
              <w:bottom w:val="single" w:sz="8" w:space="0" w:color="auto"/>
              <w:right w:val="nil"/>
            </w:tcBorders>
            <w:shd w:val="clear" w:color="auto" w:fill="E7E6E6" w:themeFill="background2"/>
            <w:noWrap/>
            <w:vAlign w:val="center"/>
            <w:hideMark/>
          </w:tcPr>
          <w:p w14:paraId="2D99C272"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0,01</w:t>
            </w:r>
          </w:p>
        </w:tc>
      </w:tr>
      <w:tr w:rsidR="00CF1D64" w:rsidRPr="005E28E7" w14:paraId="719DC4DE" w14:textId="77777777" w:rsidTr="00793028">
        <w:trPr>
          <w:trHeight w:val="300"/>
          <w:jc w:val="center"/>
        </w:trPr>
        <w:tc>
          <w:tcPr>
            <w:tcW w:w="1276" w:type="dxa"/>
            <w:tcBorders>
              <w:top w:val="nil"/>
              <w:left w:val="nil"/>
              <w:bottom w:val="nil"/>
              <w:right w:val="nil"/>
            </w:tcBorders>
            <w:shd w:val="clear" w:color="auto" w:fill="E7E6E6" w:themeFill="background2"/>
            <w:noWrap/>
            <w:vAlign w:val="center"/>
            <w:hideMark/>
          </w:tcPr>
          <w:p w14:paraId="7310DA90"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tcBorders>
              <w:top w:val="nil"/>
              <w:left w:val="nil"/>
              <w:bottom w:val="nil"/>
              <w:right w:val="nil"/>
            </w:tcBorders>
            <w:shd w:val="clear" w:color="auto" w:fill="E7E6E6" w:themeFill="background2"/>
            <w:noWrap/>
            <w:vAlign w:val="bottom"/>
            <w:hideMark/>
          </w:tcPr>
          <w:p w14:paraId="689DBE45" w14:textId="77777777" w:rsidR="00CF1D64" w:rsidRPr="00282F8F" w:rsidRDefault="00CF1D64" w:rsidP="00CF1D64">
            <w:pPr>
              <w:spacing w:after="0" w:line="240" w:lineRule="auto"/>
              <w:rPr>
                <w:rFonts w:eastAsia="Times New Roman" w:cs="Times New Roman"/>
                <w:color w:val="000000"/>
                <w:sz w:val="20"/>
                <w:lang w:eastAsia="pt-PT"/>
              </w:rPr>
            </w:pPr>
          </w:p>
        </w:tc>
        <w:tc>
          <w:tcPr>
            <w:tcW w:w="1843" w:type="dxa"/>
            <w:tcBorders>
              <w:top w:val="nil"/>
              <w:left w:val="nil"/>
              <w:bottom w:val="nil"/>
              <w:right w:val="nil"/>
            </w:tcBorders>
            <w:shd w:val="clear" w:color="auto" w:fill="E7E6E6" w:themeFill="background2"/>
            <w:noWrap/>
            <w:vAlign w:val="bottom"/>
            <w:hideMark/>
          </w:tcPr>
          <w:tbl>
            <w:tblPr>
              <w:tblW w:w="0" w:type="auto"/>
              <w:tblCellSpacing w:w="0" w:type="dxa"/>
              <w:tblCellMar>
                <w:left w:w="0" w:type="dxa"/>
                <w:right w:w="0" w:type="dxa"/>
              </w:tblCellMar>
              <w:tblLook w:val="04A0" w:firstRow="1" w:lastRow="0" w:firstColumn="1" w:lastColumn="0" w:noHBand="0" w:noVBand="1"/>
            </w:tblPr>
            <w:tblGrid>
              <w:gridCol w:w="1580"/>
            </w:tblGrid>
            <w:tr w:rsidR="00CF1D64" w:rsidRPr="00282F8F" w14:paraId="43823E6A" w14:textId="77777777" w:rsidTr="00CF1D64">
              <w:trPr>
                <w:trHeight w:val="300"/>
                <w:tblCellSpacing w:w="0" w:type="dxa"/>
              </w:trPr>
              <w:tc>
                <w:tcPr>
                  <w:tcW w:w="1580" w:type="dxa"/>
                  <w:tcBorders>
                    <w:top w:val="nil"/>
                    <w:left w:val="nil"/>
                    <w:bottom w:val="nil"/>
                    <w:right w:val="nil"/>
                  </w:tcBorders>
                  <w:shd w:val="clear" w:color="auto" w:fill="auto"/>
                  <w:noWrap/>
                  <w:vAlign w:val="bottom"/>
                  <w:hideMark/>
                </w:tcPr>
                <w:p w14:paraId="069955EE" w14:textId="77777777" w:rsidR="00CF1D64" w:rsidRPr="00282F8F" w:rsidRDefault="0043154B" w:rsidP="00CF1D64">
                  <w:pPr>
                    <w:spacing w:after="0" w:line="240" w:lineRule="auto"/>
                    <w:jc w:val="center"/>
                    <w:rPr>
                      <w:rFonts w:eastAsia="Times New Roman" w:cs="Times New Roman"/>
                      <w:color w:val="000000"/>
                      <w:sz w:val="20"/>
                      <w:lang w:eastAsia="pt-PT"/>
                    </w:rPr>
                  </w:pPr>
                  <m:oMathPara>
                    <m:oMathParaPr>
                      <m:jc m:val="center"/>
                    </m:oMathParaPr>
                    <m:oMath>
                      <m:sSup>
                        <m:sSupPr>
                          <m:ctrlPr>
                            <w:rPr>
                              <w:rFonts w:ascii="Cambria Math" w:eastAsia="Times New Roman" w:hAnsi="Cambria Math" w:cs="Times New Roman"/>
                              <w:i/>
                              <w:color w:val="000000"/>
                              <w:sz w:val="20"/>
                              <w:lang w:eastAsia="pt-PT"/>
                            </w:rPr>
                          </m:ctrlPr>
                        </m:sSupPr>
                        <m:e>
                          <m:r>
                            <w:rPr>
                              <w:rFonts w:ascii="Cambria Math" w:eastAsia="Times New Roman" w:hAnsi="Cambria Math" w:cs="Times New Roman"/>
                              <w:color w:val="000000"/>
                              <w:sz w:val="20"/>
                              <w:lang w:eastAsia="pt-PT"/>
                            </w:rPr>
                            <m:t>R</m:t>
                          </m:r>
                        </m:e>
                        <m:sup>
                          <m:r>
                            <w:rPr>
                              <w:rFonts w:ascii="Cambria Math" w:eastAsia="Times New Roman" w:hAnsi="Cambria Math" w:cs="Times New Roman"/>
                              <w:color w:val="000000"/>
                              <w:sz w:val="20"/>
                              <w:lang w:eastAsia="pt-PT"/>
                            </w:rPr>
                            <m:t>2</m:t>
                          </m:r>
                        </m:sup>
                      </m:sSup>
                    </m:oMath>
                  </m:oMathPara>
                </w:p>
              </w:tc>
            </w:tr>
          </w:tbl>
          <w:p w14:paraId="76A12FC3" w14:textId="77777777" w:rsidR="00CF1D64" w:rsidRPr="00282F8F" w:rsidRDefault="00CF1D64" w:rsidP="00CF1D64">
            <w:pPr>
              <w:spacing w:after="0" w:line="240" w:lineRule="auto"/>
              <w:rPr>
                <w:rFonts w:ascii="Calibri" w:eastAsia="Times New Roman" w:hAnsi="Calibri" w:cs="Times New Roman"/>
                <w:color w:val="000000"/>
                <w:sz w:val="20"/>
                <w:lang w:eastAsia="pt-PT"/>
              </w:rPr>
            </w:pPr>
          </w:p>
        </w:tc>
        <w:tc>
          <w:tcPr>
            <w:tcW w:w="4253" w:type="dxa"/>
            <w:gridSpan w:val="4"/>
            <w:tcBorders>
              <w:top w:val="nil"/>
              <w:left w:val="nil"/>
              <w:bottom w:val="nil"/>
              <w:right w:val="nil"/>
            </w:tcBorders>
            <w:shd w:val="clear" w:color="auto" w:fill="E7E6E6" w:themeFill="background2"/>
            <w:noWrap/>
            <w:vAlign w:val="bottom"/>
            <w:hideMark/>
          </w:tcPr>
          <w:p w14:paraId="20B24214" w14:textId="77777777" w:rsidR="00CF1D64" w:rsidRPr="00282F8F" w:rsidRDefault="00CF1D64" w:rsidP="00CF1D64">
            <w:pPr>
              <w:spacing w:after="0" w:line="240" w:lineRule="auto"/>
              <w:jc w:val="center"/>
              <w:rPr>
                <w:rFonts w:eastAsia="Times New Roman" w:cs="Times New Roman"/>
                <w:color w:val="000000"/>
                <w:sz w:val="20"/>
                <w:lang w:eastAsia="pt-PT"/>
              </w:rPr>
            </w:pPr>
            <w:r w:rsidRPr="00282F8F">
              <w:rPr>
                <w:rFonts w:eastAsia="Times New Roman" w:cs="Times New Roman"/>
                <w:color w:val="000000"/>
                <w:sz w:val="20"/>
                <w:lang w:eastAsia="pt-PT"/>
              </w:rPr>
              <w:t>0,401</w:t>
            </w:r>
          </w:p>
        </w:tc>
      </w:tr>
      <w:tr w:rsidR="00CF1D64" w:rsidRPr="005E28E7" w14:paraId="0EF490C8" w14:textId="77777777" w:rsidTr="00793028">
        <w:trPr>
          <w:trHeight w:val="80"/>
          <w:jc w:val="center"/>
        </w:trPr>
        <w:tc>
          <w:tcPr>
            <w:tcW w:w="1276" w:type="dxa"/>
            <w:tcBorders>
              <w:top w:val="nil"/>
              <w:left w:val="nil"/>
              <w:bottom w:val="single" w:sz="8" w:space="0" w:color="auto"/>
              <w:right w:val="nil"/>
            </w:tcBorders>
            <w:shd w:val="clear" w:color="auto" w:fill="E7E6E6" w:themeFill="background2"/>
            <w:noWrap/>
            <w:vAlign w:val="center"/>
            <w:hideMark/>
          </w:tcPr>
          <w:p w14:paraId="4C965D0D" w14:textId="77777777" w:rsidR="00CF1D64" w:rsidRPr="00282F8F" w:rsidRDefault="00CF1D64" w:rsidP="00CF1D64">
            <w:pPr>
              <w:spacing w:after="0" w:line="240" w:lineRule="auto"/>
              <w:rPr>
                <w:rFonts w:eastAsia="Times New Roman" w:cs="Times New Roman"/>
                <w:b/>
                <w:bCs/>
                <w:color w:val="000000"/>
                <w:sz w:val="20"/>
                <w:lang w:eastAsia="pt-PT"/>
              </w:rPr>
            </w:pPr>
            <w:r w:rsidRPr="00282F8F">
              <w:rPr>
                <w:rFonts w:eastAsia="Times New Roman" w:cs="Times New Roman"/>
                <w:b/>
                <w:bCs/>
                <w:color w:val="000000"/>
                <w:sz w:val="20"/>
                <w:lang w:eastAsia="pt-PT"/>
              </w:rPr>
              <w:t> </w:t>
            </w:r>
          </w:p>
        </w:tc>
        <w:tc>
          <w:tcPr>
            <w:tcW w:w="425" w:type="dxa"/>
            <w:tcBorders>
              <w:top w:val="nil"/>
              <w:left w:val="nil"/>
              <w:bottom w:val="single" w:sz="8" w:space="0" w:color="auto"/>
              <w:right w:val="nil"/>
            </w:tcBorders>
            <w:shd w:val="clear" w:color="auto" w:fill="E7E6E6" w:themeFill="background2"/>
            <w:noWrap/>
            <w:vAlign w:val="bottom"/>
            <w:hideMark/>
          </w:tcPr>
          <w:p w14:paraId="3F7CA4D9" w14:textId="77777777" w:rsidR="00CF1D64" w:rsidRPr="00282F8F" w:rsidRDefault="00CF1D64" w:rsidP="00CF1D64">
            <w:pPr>
              <w:spacing w:after="0" w:line="240" w:lineRule="auto"/>
              <w:rPr>
                <w:rFonts w:eastAsia="Times New Roman" w:cs="Times New Roman"/>
                <w:color w:val="000000"/>
                <w:sz w:val="20"/>
                <w:lang w:eastAsia="pt-PT"/>
              </w:rPr>
            </w:pPr>
            <w:r w:rsidRPr="00282F8F">
              <w:rPr>
                <w:rFonts w:eastAsia="Times New Roman" w:cs="Times New Roman"/>
                <w:color w:val="000000"/>
                <w:sz w:val="20"/>
                <w:lang w:eastAsia="pt-PT"/>
              </w:rPr>
              <w:t> </w:t>
            </w:r>
          </w:p>
        </w:tc>
        <w:tc>
          <w:tcPr>
            <w:tcW w:w="1843" w:type="dxa"/>
            <w:tcBorders>
              <w:top w:val="nil"/>
              <w:left w:val="nil"/>
              <w:bottom w:val="single" w:sz="8" w:space="0" w:color="auto"/>
              <w:right w:val="nil"/>
            </w:tcBorders>
            <w:shd w:val="clear" w:color="auto" w:fill="E7E6E6" w:themeFill="background2"/>
            <w:noWrap/>
            <w:vAlign w:val="bottom"/>
            <w:hideMark/>
          </w:tcPr>
          <w:p w14:paraId="2BCCEC9A" w14:textId="77777777" w:rsidR="00CF1D64" w:rsidRPr="00282F8F" w:rsidRDefault="0043154B" w:rsidP="00CF1D64">
            <w:pPr>
              <w:spacing w:after="0" w:line="240" w:lineRule="auto"/>
              <w:jc w:val="center"/>
              <w:rPr>
                <w:rFonts w:eastAsia="Times New Roman" w:cs="Times New Roman"/>
                <w:color w:val="000000"/>
                <w:sz w:val="20"/>
                <w:lang w:eastAsia="pt-PT"/>
              </w:rPr>
            </w:pPr>
            <m:oMathPara>
              <m:oMath>
                <m:sSup>
                  <m:sSupPr>
                    <m:ctrlPr>
                      <w:rPr>
                        <w:rFonts w:ascii="Cambria Math" w:eastAsia="Times New Roman" w:hAnsi="Cambria Math" w:cs="Times New Roman"/>
                        <w:i/>
                        <w:color w:val="000000"/>
                        <w:sz w:val="20"/>
                        <w:lang w:eastAsia="pt-PT"/>
                      </w:rPr>
                    </m:ctrlPr>
                  </m:sSupPr>
                  <m:e>
                    <m:r>
                      <w:rPr>
                        <w:rFonts w:ascii="Cambria Math" w:eastAsia="Times New Roman" w:hAnsi="Cambria Math" w:cs="Times New Roman"/>
                        <w:color w:val="000000"/>
                        <w:sz w:val="20"/>
                        <w:lang w:eastAsia="pt-PT"/>
                      </w:rPr>
                      <m:t>R</m:t>
                    </m:r>
                  </m:e>
                  <m:sup>
                    <m:r>
                      <w:rPr>
                        <w:rFonts w:ascii="Cambria Math" w:eastAsia="Times New Roman" w:hAnsi="Cambria Math" w:cs="Times New Roman"/>
                        <w:color w:val="000000"/>
                        <w:sz w:val="20"/>
                        <w:lang w:eastAsia="pt-PT"/>
                      </w:rPr>
                      <m:t>2</m:t>
                    </m:r>
                  </m:sup>
                </m:sSup>
                <m:r>
                  <w:rPr>
                    <w:rFonts w:ascii="Cambria Math" w:eastAsia="Times New Roman" w:hAnsi="Cambria Math" w:cs="Times New Roman"/>
                    <w:color w:val="000000"/>
                    <w:sz w:val="20"/>
                    <w:lang w:eastAsia="pt-PT"/>
                  </w:rPr>
                  <m:t xml:space="preserve"> Ajustado</m:t>
                </m:r>
              </m:oMath>
            </m:oMathPara>
          </w:p>
        </w:tc>
        <w:tc>
          <w:tcPr>
            <w:tcW w:w="4253" w:type="dxa"/>
            <w:gridSpan w:val="4"/>
            <w:tcBorders>
              <w:top w:val="nil"/>
              <w:left w:val="nil"/>
              <w:bottom w:val="single" w:sz="8" w:space="0" w:color="auto"/>
              <w:right w:val="nil"/>
            </w:tcBorders>
            <w:shd w:val="clear" w:color="auto" w:fill="E7E6E6" w:themeFill="background2"/>
            <w:noWrap/>
            <w:vAlign w:val="bottom"/>
            <w:hideMark/>
          </w:tcPr>
          <w:p w14:paraId="6F9DACA1" w14:textId="77777777" w:rsidR="00CF1D64" w:rsidRPr="00282F8F" w:rsidRDefault="00CF1D64" w:rsidP="00CF1D64">
            <w:pPr>
              <w:spacing w:after="0" w:line="240" w:lineRule="auto"/>
              <w:jc w:val="center"/>
              <w:rPr>
                <w:rFonts w:eastAsia="Times New Roman" w:cs="Times New Roman"/>
                <w:color w:val="000000"/>
                <w:sz w:val="20"/>
                <w:lang w:eastAsia="pt-PT"/>
              </w:rPr>
            </w:pPr>
            <w:r w:rsidRPr="00282F8F">
              <w:rPr>
                <w:rFonts w:eastAsia="Times New Roman" w:cs="Times New Roman"/>
                <w:color w:val="000000"/>
                <w:sz w:val="20"/>
                <w:lang w:eastAsia="pt-PT"/>
              </w:rPr>
              <w:t>0,249</w:t>
            </w:r>
          </w:p>
        </w:tc>
      </w:tr>
      <w:tr w:rsidR="00CF1D64" w:rsidRPr="005E28E7" w14:paraId="00ECEDE4" w14:textId="77777777" w:rsidTr="00793028">
        <w:trPr>
          <w:trHeight w:val="152"/>
          <w:jc w:val="center"/>
        </w:trPr>
        <w:tc>
          <w:tcPr>
            <w:tcW w:w="1276" w:type="dxa"/>
            <w:vMerge w:val="restart"/>
            <w:tcBorders>
              <w:top w:val="nil"/>
              <w:left w:val="nil"/>
              <w:right w:val="nil"/>
            </w:tcBorders>
            <w:shd w:val="clear" w:color="auto" w:fill="auto"/>
            <w:noWrap/>
            <w:vAlign w:val="center"/>
            <w:hideMark/>
          </w:tcPr>
          <w:p w14:paraId="5762F889" w14:textId="77777777" w:rsidR="00CF1D64" w:rsidRPr="00282F8F" w:rsidRDefault="00CF1D64" w:rsidP="00CF1D64">
            <w:pPr>
              <w:spacing w:after="0" w:line="240" w:lineRule="auto"/>
              <w:rPr>
                <w:rFonts w:eastAsia="Times New Roman" w:cs="Times New Roman"/>
                <w:b/>
                <w:bCs/>
                <w:color w:val="000000"/>
                <w:sz w:val="20"/>
                <w:lang w:eastAsia="pt-PT"/>
              </w:rPr>
            </w:pPr>
            <w:r w:rsidRPr="005E28E7">
              <w:rPr>
                <w:rFonts w:eastAsia="Times New Roman" w:cs="Times New Roman"/>
                <w:b/>
                <w:bCs/>
                <w:color w:val="000000"/>
                <w:sz w:val="20"/>
                <w:lang w:eastAsia="pt-PT"/>
              </w:rPr>
              <w:t>Equação</w:t>
            </w:r>
            <w:r w:rsidRPr="00282F8F">
              <w:rPr>
                <w:rFonts w:eastAsia="Times New Roman" w:cs="Times New Roman"/>
                <w:b/>
                <w:bCs/>
                <w:color w:val="000000"/>
                <w:sz w:val="20"/>
                <w:lang w:eastAsia="pt-PT"/>
              </w:rPr>
              <w:t xml:space="preserve"> 4.5</w:t>
            </w:r>
          </w:p>
        </w:tc>
        <w:tc>
          <w:tcPr>
            <w:tcW w:w="425" w:type="dxa"/>
            <w:vMerge w:val="restart"/>
            <w:tcBorders>
              <w:top w:val="nil"/>
              <w:left w:val="nil"/>
              <w:right w:val="nil"/>
            </w:tcBorders>
            <w:shd w:val="clear" w:color="auto" w:fill="auto"/>
            <w:noWrap/>
            <w:textDirection w:val="btLr"/>
            <w:vAlign w:val="center"/>
            <w:hideMark/>
          </w:tcPr>
          <w:p w14:paraId="0AE57C3C" w14:textId="77777777" w:rsidR="00CF1D64" w:rsidRPr="00282F8F" w:rsidRDefault="00CF1D64" w:rsidP="00CF1D64">
            <w:pPr>
              <w:spacing w:after="0" w:line="240" w:lineRule="auto"/>
              <w:jc w:val="center"/>
              <w:rPr>
                <w:rFonts w:eastAsia="Times New Roman" w:cs="Times New Roman"/>
                <w:b/>
                <w:bCs/>
                <w:color w:val="000000"/>
                <w:sz w:val="20"/>
                <w:lang w:eastAsia="pt-PT"/>
              </w:rPr>
            </w:pPr>
            <w:r w:rsidRPr="00282F8F">
              <w:rPr>
                <w:rFonts w:eastAsia="Times New Roman" w:cs="Times New Roman"/>
                <w:b/>
                <w:bCs/>
                <w:color w:val="000000"/>
                <w:sz w:val="20"/>
                <w:lang w:eastAsia="pt-PT"/>
              </w:rPr>
              <w:t>Variáveis</w:t>
            </w:r>
          </w:p>
        </w:tc>
        <w:tc>
          <w:tcPr>
            <w:tcW w:w="1843" w:type="dxa"/>
            <w:tcBorders>
              <w:top w:val="nil"/>
              <w:left w:val="nil"/>
              <w:bottom w:val="nil"/>
              <w:right w:val="nil"/>
            </w:tcBorders>
            <w:shd w:val="clear" w:color="auto" w:fill="auto"/>
            <w:noWrap/>
            <w:vAlign w:val="center"/>
            <w:hideMark/>
          </w:tcPr>
          <w:p w14:paraId="20DBC2D2" w14:textId="77777777" w:rsidR="00CF1D64" w:rsidRPr="00282F8F" w:rsidRDefault="00CF1D64" w:rsidP="00E6485C">
            <w:pPr>
              <w:spacing w:after="0" w:line="240" w:lineRule="auto"/>
              <w:ind w:left="640"/>
              <w:rPr>
                <w:rFonts w:eastAsia="Times New Roman" w:cs="Times New Roman"/>
                <w:color w:val="000000"/>
                <w:sz w:val="20"/>
                <w:lang w:eastAsia="pt-PT"/>
              </w:rPr>
            </w:pPr>
            <w:r w:rsidRPr="00282F8F">
              <w:rPr>
                <w:rFonts w:eastAsia="Times New Roman" w:cs="Times New Roman"/>
                <w:color w:val="000000"/>
                <w:sz w:val="20"/>
                <w:lang w:eastAsia="pt-PT"/>
              </w:rPr>
              <w:t>C</w:t>
            </w:r>
          </w:p>
        </w:tc>
        <w:tc>
          <w:tcPr>
            <w:tcW w:w="690" w:type="dxa"/>
            <w:tcBorders>
              <w:top w:val="nil"/>
              <w:left w:val="nil"/>
              <w:bottom w:val="nil"/>
              <w:right w:val="nil"/>
            </w:tcBorders>
            <w:shd w:val="clear" w:color="auto" w:fill="auto"/>
            <w:noWrap/>
            <w:vAlign w:val="center"/>
            <w:hideMark/>
          </w:tcPr>
          <w:p w14:paraId="29CDAE88"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41,424</w:t>
            </w:r>
          </w:p>
        </w:tc>
        <w:tc>
          <w:tcPr>
            <w:tcW w:w="1276" w:type="dxa"/>
            <w:tcBorders>
              <w:top w:val="nil"/>
              <w:left w:val="nil"/>
              <w:bottom w:val="nil"/>
              <w:right w:val="nil"/>
            </w:tcBorders>
            <w:shd w:val="clear" w:color="auto" w:fill="auto"/>
            <w:noWrap/>
            <w:vAlign w:val="center"/>
            <w:hideMark/>
          </w:tcPr>
          <w:p w14:paraId="52AD72BE"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3,725</w:t>
            </w:r>
          </w:p>
        </w:tc>
        <w:tc>
          <w:tcPr>
            <w:tcW w:w="1417" w:type="dxa"/>
            <w:tcBorders>
              <w:top w:val="nil"/>
              <w:left w:val="nil"/>
              <w:bottom w:val="nil"/>
              <w:right w:val="nil"/>
            </w:tcBorders>
            <w:shd w:val="clear" w:color="auto" w:fill="auto"/>
            <w:noWrap/>
            <w:vAlign w:val="center"/>
            <w:hideMark/>
          </w:tcPr>
          <w:p w14:paraId="6317CCF8"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11,12</w:t>
            </w:r>
          </w:p>
        </w:tc>
        <w:tc>
          <w:tcPr>
            <w:tcW w:w="870" w:type="dxa"/>
            <w:tcBorders>
              <w:top w:val="single" w:sz="4" w:space="0" w:color="auto"/>
              <w:left w:val="nil"/>
              <w:bottom w:val="nil"/>
              <w:right w:val="nil"/>
            </w:tcBorders>
            <w:shd w:val="clear" w:color="auto" w:fill="auto"/>
            <w:noWrap/>
            <w:vAlign w:val="center"/>
            <w:hideMark/>
          </w:tcPr>
          <w:p w14:paraId="231F4027"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0,00</w:t>
            </w:r>
          </w:p>
        </w:tc>
      </w:tr>
      <w:tr w:rsidR="00CF1D64" w:rsidRPr="005E28E7" w14:paraId="009ED2A1" w14:textId="77777777" w:rsidTr="00793028">
        <w:trPr>
          <w:trHeight w:val="70"/>
          <w:jc w:val="center"/>
        </w:trPr>
        <w:tc>
          <w:tcPr>
            <w:tcW w:w="1276" w:type="dxa"/>
            <w:vMerge/>
            <w:tcBorders>
              <w:left w:val="nil"/>
              <w:right w:val="nil"/>
            </w:tcBorders>
            <w:shd w:val="clear" w:color="auto" w:fill="auto"/>
            <w:noWrap/>
            <w:vAlign w:val="center"/>
            <w:hideMark/>
          </w:tcPr>
          <w:p w14:paraId="1C6EEF84"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vMerge/>
            <w:tcBorders>
              <w:left w:val="nil"/>
              <w:right w:val="nil"/>
            </w:tcBorders>
            <w:shd w:val="clear" w:color="auto" w:fill="auto"/>
            <w:noWrap/>
            <w:textDirection w:val="btLr"/>
            <w:vAlign w:val="center"/>
            <w:hideMark/>
          </w:tcPr>
          <w:p w14:paraId="66E74A75"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1843" w:type="dxa"/>
            <w:tcBorders>
              <w:top w:val="nil"/>
              <w:left w:val="nil"/>
              <w:bottom w:val="nil"/>
              <w:right w:val="nil"/>
            </w:tcBorders>
            <w:shd w:val="clear" w:color="auto" w:fill="auto"/>
            <w:noWrap/>
            <w:vAlign w:val="center"/>
            <w:hideMark/>
          </w:tcPr>
          <w:p w14:paraId="522055FD" w14:textId="77777777" w:rsidR="00CF1D64" w:rsidRPr="00282F8F" w:rsidRDefault="00CF1D64" w:rsidP="00E6485C">
            <w:pPr>
              <w:spacing w:after="0" w:line="240" w:lineRule="auto"/>
              <w:ind w:left="640"/>
              <w:rPr>
                <w:rFonts w:eastAsia="Times New Roman" w:cs="Times New Roman"/>
                <w:color w:val="000000"/>
                <w:sz w:val="20"/>
                <w:lang w:eastAsia="pt-PT"/>
              </w:rPr>
            </w:pPr>
            <w:r w:rsidRPr="00282F8F">
              <w:rPr>
                <w:rFonts w:eastAsia="Times New Roman" w:cs="Times New Roman"/>
                <w:color w:val="000000"/>
                <w:sz w:val="20"/>
                <w:lang w:eastAsia="pt-PT"/>
              </w:rPr>
              <w:t>CP</w:t>
            </w:r>
          </w:p>
        </w:tc>
        <w:tc>
          <w:tcPr>
            <w:tcW w:w="690" w:type="dxa"/>
            <w:tcBorders>
              <w:top w:val="nil"/>
              <w:left w:val="nil"/>
              <w:bottom w:val="nil"/>
              <w:right w:val="nil"/>
            </w:tcBorders>
            <w:shd w:val="clear" w:color="auto" w:fill="auto"/>
            <w:noWrap/>
            <w:vAlign w:val="center"/>
            <w:hideMark/>
          </w:tcPr>
          <w:p w14:paraId="3D8FA739"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1,957</w:t>
            </w:r>
          </w:p>
        </w:tc>
        <w:tc>
          <w:tcPr>
            <w:tcW w:w="1276" w:type="dxa"/>
            <w:tcBorders>
              <w:top w:val="nil"/>
              <w:left w:val="nil"/>
              <w:bottom w:val="nil"/>
              <w:right w:val="nil"/>
            </w:tcBorders>
            <w:shd w:val="clear" w:color="auto" w:fill="auto"/>
            <w:noWrap/>
            <w:vAlign w:val="center"/>
            <w:hideMark/>
          </w:tcPr>
          <w:p w14:paraId="4B0F0727"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3,181</w:t>
            </w:r>
          </w:p>
        </w:tc>
        <w:tc>
          <w:tcPr>
            <w:tcW w:w="1417" w:type="dxa"/>
            <w:tcBorders>
              <w:top w:val="nil"/>
              <w:left w:val="nil"/>
              <w:bottom w:val="nil"/>
              <w:right w:val="nil"/>
            </w:tcBorders>
            <w:shd w:val="clear" w:color="auto" w:fill="auto"/>
            <w:noWrap/>
            <w:vAlign w:val="center"/>
            <w:hideMark/>
          </w:tcPr>
          <w:p w14:paraId="1A924E05"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0,615</w:t>
            </w:r>
          </w:p>
        </w:tc>
        <w:tc>
          <w:tcPr>
            <w:tcW w:w="870" w:type="dxa"/>
            <w:tcBorders>
              <w:left w:val="nil"/>
              <w:bottom w:val="nil"/>
              <w:right w:val="nil"/>
            </w:tcBorders>
            <w:shd w:val="clear" w:color="auto" w:fill="auto"/>
            <w:noWrap/>
            <w:vAlign w:val="center"/>
            <w:hideMark/>
          </w:tcPr>
          <w:p w14:paraId="79C7CA0A"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0,54</w:t>
            </w:r>
          </w:p>
        </w:tc>
      </w:tr>
      <w:tr w:rsidR="00CF1D64" w:rsidRPr="005E28E7" w14:paraId="415FFF9B" w14:textId="77777777" w:rsidTr="00793028">
        <w:trPr>
          <w:trHeight w:val="70"/>
          <w:jc w:val="center"/>
        </w:trPr>
        <w:tc>
          <w:tcPr>
            <w:tcW w:w="1276" w:type="dxa"/>
            <w:vMerge/>
            <w:tcBorders>
              <w:left w:val="nil"/>
              <w:right w:val="nil"/>
            </w:tcBorders>
            <w:shd w:val="clear" w:color="auto" w:fill="auto"/>
            <w:noWrap/>
            <w:vAlign w:val="center"/>
            <w:hideMark/>
          </w:tcPr>
          <w:p w14:paraId="68031AAA"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vMerge/>
            <w:tcBorders>
              <w:left w:val="nil"/>
              <w:right w:val="nil"/>
            </w:tcBorders>
            <w:shd w:val="clear" w:color="auto" w:fill="auto"/>
            <w:noWrap/>
            <w:textDirection w:val="btLr"/>
            <w:vAlign w:val="center"/>
            <w:hideMark/>
          </w:tcPr>
          <w:p w14:paraId="5A22E418"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1843" w:type="dxa"/>
            <w:tcBorders>
              <w:top w:val="nil"/>
              <w:left w:val="nil"/>
              <w:bottom w:val="nil"/>
              <w:right w:val="nil"/>
            </w:tcBorders>
            <w:shd w:val="clear" w:color="auto" w:fill="auto"/>
            <w:noWrap/>
            <w:vAlign w:val="center"/>
            <w:hideMark/>
          </w:tcPr>
          <w:p w14:paraId="07954716" w14:textId="216E5D51" w:rsidR="00CF1D64" w:rsidRPr="00282F8F" w:rsidRDefault="00CF1D64" w:rsidP="00E6485C">
            <w:pPr>
              <w:spacing w:after="0" w:line="240" w:lineRule="auto"/>
              <w:ind w:left="640"/>
              <w:rPr>
                <w:rFonts w:eastAsia="Times New Roman" w:cs="Times New Roman"/>
                <w:color w:val="000000"/>
                <w:sz w:val="20"/>
                <w:lang w:eastAsia="pt-PT"/>
              </w:rPr>
            </w:pPr>
            <w:r w:rsidRPr="00282F8F">
              <w:rPr>
                <w:rFonts w:eastAsia="Times New Roman" w:cs="Times New Roman"/>
                <w:color w:val="000000"/>
                <w:sz w:val="20"/>
                <w:lang w:eastAsia="pt-PT"/>
              </w:rPr>
              <w:t>D</w:t>
            </w:r>
            <w:r w:rsidR="000A23D0">
              <w:rPr>
                <w:rFonts w:eastAsia="Times New Roman" w:cs="Times New Roman"/>
                <w:color w:val="000000"/>
                <w:sz w:val="20"/>
                <w:lang w:eastAsia="pt-PT"/>
              </w:rPr>
              <w:t>E</w:t>
            </w:r>
          </w:p>
        </w:tc>
        <w:tc>
          <w:tcPr>
            <w:tcW w:w="690" w:type="dxa"/>
            <w:tcBorders>
              <w:top w:val="nil"/>
              <w:left w:val="nil"/>
              <w:bottom w:val="nil"/>
              <w:right w:val="nil"/>
            </w:tcBorders>
            <w:shd w:val="clear" w:color="auto" w:fill="auto"/>
            <w:noWrap/>
            <w:vAlign w:val="center"/>
            <w:hideMark/>
          </w:tcPr>
          <w:p w14:paraId="04D4CCB8"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-1,916</w:t>
            </w:r>
          </w:p>
        </w:tc>
        <w:tc>
          <w:tcPr>
            <w:tcW w:w="1276" w:type="dxa"/>
            <w:tcBorders>
              <w:top w:val="nil"/>
              <w:left w:val="nil"/>
              <w:bottom w:val="nil"/>
              <w:right w:val="nil"/>
            </w:tcBorders>
            <w:shd w:val="clear" w:color="auto" w:fill="auto"/>
            <w:noWrap/>
            <w:vAlign w:val="center"/>
            <w:hideMark/>
          </w:tcPr>
          <w:p w14:paraId="72BE6B62"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0,995</w:t>
            </w:r>
          </w:p>
        </w:tc>
        <w:tc>
          <w:tcPr>
            <w:tcW w:w="1417" w:type="dxa"/>
            <w:tcBorders>
              <w:top w:val="nil"/>
              <w:left w:val="nil"/>
              <w:bottom w:val="nil"/>
              <w:right w:val="nil"/>
            </w:tcBorders>
            <w:shd w:val="clear" w:color="auto" w:fill="auto"/>
            <w:noWrap/>
            <w:vAlign w:val="center"/>
            <w:hideMark/>
          </w:tcPr>
          <w:p w14:paraId="0E2A85D1"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-1,925</w:t>
            </w:r>
          </w:p>
        </w:tc>
        <w:tc>
          <w:tcPr>
            <w:tcW w:w="870" w:type="dxa"/>
            <w:tcBorders>
              <w:left w:val="nil"/>
              <w:bottom w:val="nil"/>
              <w:right w:val="nil"/>
            </w:tcBorders>
            <w:shd w:val="clear" w:color="auto" w:fill="auto"/>
            <w:noWrap/>
            <w:vAlign w:val="center"/>
            <w:hideMark/>
          </w:tcPr>
          <w:p w14:paraId="105C561B"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0,06</w:t>
            </w:r>
          </w:p>
        </w:tc>
      </w:tr>
      <w:tr w:rsidR="00CF1D64" w:rsidRPr="005E28E7" w14:paraId="61BF7B11" w14:textId="77777777" w:rsidTr="00793028">
        <w:trPr>
          <w:trHeight w:val="70"/>
          <w:jc w:val="center"/>
        </w:trPr>
        <w:tc>
          <w:tcPr>
            <w:tcW w:w="1276" w:type="dxa"/>
            <w:vMerge/>
            <w:tcBorders>
              <w:left w:val="nil"/>
              <w:right w:val="nil"/>
            </w:tcBorders>
            <w:shd w:val="clear" w:color="auto" w:fill="auto"/>
            <w:noWrap/>
            <w:vAlign w:val="center"/>
            <w:hideMark/>
          </w:tcPr>
          <w:p w14:paraId="1ADDC72F"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vMerge/>
            <w:tcBorders>
              <w:left w:val="nil"/>
              <w:right w:val="nil"/>
            </w:tcBorders>
            <w:shd w:val="clear" w:color="auto" w:fill="auto"/>
            <w:noWrap/>
            <w:textDirection w:val="btLr"/>
            <w:vAlign w:val="center"/>
            <w:hideMark/>
          </w:tcPr>
          <w:p w14:paraId="492F22CD"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1843" w:type="dxa"/>
            <w:tcBorders>
              <w:top w:val="nil"/>
              <w:left w:val="nil"/>
              <w:bottom w:val="nil"/>
              <w:right w:val="nil"/>
            </w:tcBorders>
            <w:shd w:val="clear" w:color="auto" w:fill="auto"/>
            <w:noWrap/>
            <w:vAlign w:val="center"/>
            <w:hideMark/>
          </w:tcPr>
          <w:p w14:paraId="3056EC50" w14:textId="77777777" w:rsidR="00CF1D64" w:rsidRPr="00282F8F" w:rsidRDefault="00CF1D64" w:rsidP="00E6485C">
            <w:pPr>
              <w:spacing w:after="0" w:line="240" w:lineRule="auto"/>
              <w:ind w:left="640"/>
              <w:rPr>
                <w:rFonts w:eastAsia="Times New Roman" w:cs="Times New Roman"/>
                <w:color w:val="000000"/>
                <w:sz w:val="20"/>
                <w:lang w:eastAsia="pt-PT"/>
              </w:rPr>
            </w:pPr>
            <w:proofErr w:type="spellStart"/>
            <w:r w:rsidRPr="00282F8F">
              <w:rPr>
                <w:rFonts w:eastAsia="Times New Roman" w:cs="Times New Roman"/>
                <w:color w:val="000000"/>
                <w:sz w:val="20"/>
                <w:lang w:eastAsia="pt-PT"/>
              </w:rPr>
              <w:t>TxPI</w:t>
            </w:r>
            <w:proofErr w:type="spellEnd"/>
          </w:p>
        </w:tc>
        <w:tc>
          <w:tcPr>
            <w:tcW w:w="690" w:type="dxa"/>
            <w:tcBorders>
              <w:top w:val="nil"/>
              <w:left w:val="nil"/>
              <w:bottom w:val="nil"/>
              <w:right w:val="nil"/>
            </w:tcBorders>
            <w:shd w:val="clear" w:color="auto" w:fill="auto"/>
            <w:noWrap/>
            <w:vAlign w:val="center"/>
            <w:hideMark/>
          </w:tcPr>
          <w:p w14:paraId="11B48ABD"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-0,186</w:t>
            </w:r>
          </w:p>
        </w:tc>
        <w:tc>
          <w:tcPr>
            <w:tcW w:w="1276" w:type="dxa"/>
            <w:tcBorders>
              <w:top w:val="nil"/>
              <w:left w:val="nil"/>
              <w:bottom w:val="nil"/>
              <w:right w:val="nil"/>
            </w:tcBorders>
            <w:shd w:val="clear" w:color="auto" w:fill="auto"/>
            <w:noWrap/>
            <w:vAlign w:val="center"/>
            <w:hideMark/>
          </w:tcPr>
          <w:p w14:paraId="563B27AF"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0,08</w:t>
            </w:r>
          </w:p>
        </w:tc>
        <w:tc>
          <w:tcPr>
            <w:tcW w:w="1417" w:type="dxa"/>
            <w:tcBorders>
              <w:top w:val="nil"/>
              <w:left w:val="nil"/>
              <w:bottom w:val="nil"/>
              <w:right w:val="nil"/>
            </w:tcBorders>
            <w:shd w:val="clear" w:color="auto" w:fill="auto"/>
            <w:noWrap/>
            <w:vAlign w:val="center"/>
            <w:hideMark/>
          </w:tcPr>
          <w:p w14:paraId="366E592A"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-2,343</w:t>
            </w:r>
          </w:p>
        </w:tc>
        <w:tc>
          <w:tcPr>
            <w:tcW w:w="870" w:type="dxa"/>
            <w:tcBorders>
              <w:left w:val="nil"/>
              <w:bottom w:val="nil"/>
              <w:right w:val="nil"/>
            </w:tcBorders>
            <w:shd w:val="clear" w:color="auto" w:fill="auto"/>
            <w:noWrap/>
            <w:vAlign w:val="center"/>
            <w:hideMark/>
          </w:tcPr>
          <w:p w14:paraId="425F6C03"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0,02</w:t>
            </w:r>
          </w:p>
        </w:tc>
      </w:tr>
      <w:tr w:rsidR="00CF1D64" w:rsidRPr="005E28E7" w14:paraId="54A4A181" w14:textId="77777777" w:rsidTr="00793028">
        <w:trPr>
          <w:trHeight w:val="176"/>
          <w:jc w:val="center"/>
        </w:trPr>
        <w:tc>
          <w:tcPr>
            <w:tcW w:w="1276" w:type="dxa"/>
            <w:vMerge/>
            <w:tcBorders>
              <w:left w:val="nil"/>
              <w:bottom w:val="nil"/>
              <w:right w:val="nil"/>
            </w:tcBorders>
            <w:shd w:val="clear" w:color="auto" w:fill="auto"/>
            <w:noWrap/>
            <w:vAlign w:val="center"/>
            <w:hideMark/>
          </w:tcPr>
          <w:p w14:paraId="09E11C10"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vMerge/>
            <w:tcBorders>
              <w:left w:val="nil"/>
              <w:bottom w:val="nil"/>
              <w:right w:val="nil"/>
            </w:tcBorders>
            <w:shd w:val="clear" w:color="auto" w:fill="auto"/>
            <w:noWrap/>
            <w:textDirection w:val="btLr"/>
            <w:vAlign w:val="center"/>
            <w:hideMark/>
          </w:tcPr>
          <w:p w14:paraId="1BFE3FF9"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1843" w:type="dxa"/>
            <w:tcBorders>
              <w:top w:val="nil"/>
              <w:left w:val="nil"/>
              <w:bottom w:val="single" w:sz="8" w:space="0" w:color="auto"/>
              <w:right w:val="nil"/>
            </w:tcBorders>
            <w:shd w:val="clear" w:color="auto" w:fill="auto"/>
            <w:noWrap/>
            <w:vAlign w:val="center"/>
            <w:hideMark/>
          </w:tcPr>
          <w:p w14:paraId="03E8E2BE" w14:textId="77777777" w:rsidR="00CF1D64" w:rsidRPr="00282F8F" w:rsidRDefault="00CF1D64" w:rsidP="00E6485C">
            <w:pPr>
              <w:spacing w:after="0" w:line="240" w:lineRule="auto"/>
              <w:ind w:left="640"/>
              <w:rPr>
                <w:rFonts w:eastAsia="Times New Roman" w:cs="Times New Roman"/>
                <w:color w:val="000000"/>
                <w:sz w:val="20"/>
                <w:lang w:eastAsia="pt-PT"/>
              </w:rPr>
            </w:pPr>
            <w:r w:rsidRPr="00282F8F">
              <w:rPr>
                <w:rFonts w:eastAsia="Times New Roman" w:cs="Times New Roman"/>
                <w:color w:val="000000"/>
                <w:sz w:val="20"/>
                <w:lang w:eastAsia="pt-PT"/>
              </w:rPr>
              <w:t>PA</w:t>
            </w:r>
          </w:p>
        </w:tc>
        <w:tc>
          <w:tcPr>
            <w:tcW w:w="690" w:type="dxa"/>
            <w:tcBorders>
              <w:top w:val="nil"/>
              <w:left w:val="nil"/>
              <w:bottom w:val="single" w:sz="8" w:space="0" w:color="auto"/>
              <w:right w:val="nil"/>
            </w:tcBorders>
            <w:shd w:val="clear" w:color="auto" w:fill="auto"/>
            <w:noWrap/>
            <w:vAlign w:val="center"/>
            <w:hideMark/>
          </w:tcPr>
          <w:p w14:paraId="184F37BE"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0,163</w:t>
            </w:r>
          </w:p>
        </w:tc>
        <w:tc>
          <w:tcPr>
            <w:tcW w:w="1276" w:type="dxa"/>
            <w:tcBorders>
              <w:top w:val="nil"/>
              <w:left w:val="nil"/>
              <w:bottom w:val="single" w:sz="8" w:space="0" w:color="auto"/>
              <w:right w:val="nil"/>
            </w:tcBorders>
            <w:shd w:val="clear" w:color="auto" w:fill="auto"/>
            <w:noWrap/>
            <w:vAlign w:val="center"/>
            <w:hideMark/>
          </w:tcPr>
          <w:p w14:paraId="321A27A6"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0,054</w:t>
            </w:r>
          </w:p>
        </w:tc>
        <w:tc>
          <w:tcPr>
            <w:tcW w:w="1417" w:type="dxa"/>
            <w:tcBorders>
              <w:top w:val="nil"/>
              <w:left w:val="nil"/>
              <w:bottom w:val="single" w:sz="8" w:space="0" w:color="auto"/>
              <w:right w:val="nil"/>
            </w:tcBorders>
            <w:shd w:val="clear" w:color="auto" w:fill="auto"/>
            <w:noWrap/>
            <w:vAlign w:val="center"/>
            <w:hideMark/>
          </w:tcPr>
          <w:p w14:paraId="306FEAEA"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3</w:t>
            </w:r>
          </w:p>
        </w:tc>
        <w:tc>
          <w:tcPr>
            <w:tcW w:w="870" w:type="dxa"/>
            <w:tcBorders>
              <w:left w:val="nil"/>
              <w:bottom w:val="single" w:sz="8" w:space="0" w:color="auto"/>
              <w:right w:val="nil"/>
            </w:tcBorders>
            <w:shd w:val="clear" w:color="auto" w:fill="auto"/>
            <w:noWrap/>
            <w:vAlign w:val="center"/>
            <w:hideMark/>
          </w:tcPr>
          <w:p w14:paraId="5093E428" w14:textId="77777777" w:rsidR="00CF1D64" w:rsidRPr="00282F8F" w:rsidRDefault="00CF1D64" w:rsidP="00E6485C">
            <w:pPr>
              <w:spacing w:after="0" w:line="240" w:lineRule="auto"/>
              <w:jc w:val="right"/>
              <w:rPr>
                <w:rFonts w:eastAsia="Times New Roman" w:cs="Times New Roman"/>
                <w:color w:val="000000"/>
                <w:sz w:val="20"/>
                <w:lang w:eastAsia="pt-PT"/>
              </w:rPr>
            </w:pPr>
            <w:r w:rsidRPr="00282F8F">
              <w:rPr>
                <w:rFonts w:eastAsia="Times New Roman" w:cs="Times New Roman"/>
                <w:color w:val="000000"/>
                <w:sz w:val="20"/>
                <w:lang w:eastAsia="pt-PT"/>
              </w:rPr>
              <w:t>0,00</w:t>
            </w:r>
          </w:p>
        </w:tc>
      </w:tr>
      <w:tr w:rsidR="00CF1D64" w:rsidRPr="005E28E7" w14:paraId="7F42B058" w14:textId="77777777" w:rsidTr="00793028">
        <w:trPr>
          <w:trHeight w:val="60"/>
          <w:jc w:val="center"/>
        </w:trPr>
        <w:tc>
          <w:tcPr>
            <w:tcW w:w="1276" w:type="dxa"/>
            <w:tcBorders>
              <w:top w:val="nil"/>
              <w:left w:val="nil"/>
              <w:bottom w:val="nil"/>
              <w:right w:val="nil"/>
            </w:tcBorders>
            <w:shd w:val="clear" w:color="auto" w:fill="auto"/>
            <w:noWrap/>
            <w:vAlign w:val="center"/>
            <w:hideMark/>
          </w:tcPr>
          <w:p w14:paraId="4AD4BCEF" w14:textId="77777777" w:rsidR="00CF1D64" w:rsidRPr="00282F8F" w:rsidRDefault="00CF1D64" w:rsidP="00CF1D64">
            <w:pPr>
              <w:spacing w:after="0" w:line="240" w:lineRule="auto"/>
              <w:rPr>
                <w:rFonts w:eastAsia="Times New Roman" w:cs="Times New Roman"/>
                <w:b/>
                <w:bCs/>
                <w:color w:val="000000"/>
                <w:sz w:val="20"/>
                <w:lang w:eastAsia="pt-PT"/>
              </w:rPr>
            </w:pPr>
          </w:p>
        </w:tc>
        <w:tc>
          <w:tcPr>
            <w:tcW w:w="425" w:type="dxa"/>
            <w:tcBorders>
              <w:top w:val="nil"/>
              <w:left w:val="nil"/>
              <w:bottom w:val="nil"/>
              <w:right w:val="nil"/>
            </w:tcBorders>
            <w:shd w:val="clear" w:color="auto" w:fill="auto"/>
            <w:noWrap/>
            <w:vAlign w:val="bottom"/>
            <w:hideMark/>
          </w:tcPr>
          <w:p w14:paraId="5E610C51" w14:textId="77777777" w:rsidR="00CF1D64" w:rsidRPr="00282F8F" w:rsidRDefault="00CF1D64" w:rsidP="00CF1D64">
            <w:pPr>
              <w:spacing w:after="0" w:line="240" w:lineRule="auto"/>
              <w:rPr>
                <w:rFonts w:eastAsia="Times New Roman" w:cs="Times New Roman"/>
                <w:color w:val="000000"/>
                <w:sz w:val="20"/>
                <w:lang w:eastAsia="pt-PT"/>
              </w:rPr>
            </w:pPr>
          </w:p>
        </w:tc>
        <w:tc>
          <w:tcPr>
            <w:tcW w:w="1843" w:type="dxa"/>
            <w:tcBorders>
              <w:top w:val="nil"/>
              <w:left w:val="nil"/>
              <w:bottom w:val="nil"/>
              <w:right w:val="nil"/>
            </w:tcBorders>
            <w:shd w:val="clear" w:color="auto" w:fill="auto"/>
            <w:noWrap/>
            <w:vAlign w:val="bottom"/>
            <w:hideMark/>
          </w:tcPr>
          <w:tbl>
            <w:tblPr>
              <w:tblW w:w="0" w:type="auto"/>
              <w:tblCellSpacing w:w="0" w:type="dxa"/>
              <w:tblCellMar>
                <w:left w:w="0" w:type="dxa"/>
                <w:right w:w="0" w:type="dxa"/>
              </w:tblCellMar>
              <w:tblLook w:val="04A0" w:firstRow="1" w:lastRow="0" w:firstColumn="1" w:lastColumn="0" w:noHBand="0" w:noVBand="1"/>
            </w:tblPr>
            <w:tblGrid>
              <w:gridCol w:w="1580"/>
            </w:tblGrid>
            <w:tr w:rsidR="00CF1D64" w:rsidRPr="00282F8F" w14:paraId="5E6544C0" w14:textId="77777777" w:rsidTr="00CF1D64">
              <w:trPr>
                <w:trHeight w:val="300"/>
                <w:tblCellSpacing w:w="0" w:type="dxa"/>
              </w:trPr>
              <w:tc>
                <w:tcPr>
                  <w:tcW w:w="1580" w:type="dxa"/>
                  <w:tcBorders>
                    <w:top w:val="nil"/>
                    <w:left w:val="nil"/>
                    <w:bottom w:val="nil"/>
                    <w:right w:val="nil"/>
                  </w:tcBorders>
                  <w:shd w:val="clear" w:color="auto" w:fill="auto"/>
                  <w:noWrap/>
                  <w:vAlign w:val="bottom"/>
                  <w:hideMark/>
                </w:tcPr>
                <w:p w14:paraId="4C22640E" w14:textId="77777777" w:rsidR="00CF1D64" w:rsidRPr="00282F8F" w:rsidRDefault="0043154B" w:rsidP="00CF1D64">
                  <w:pPr>
                    <w:spacing w:after="0" w:line="240" w:lineRule="auto"/>
                    <w:jc w:val="center"/>
                    <w:rPr>
                      <w:rFonts w:eastAsia="Times New Roman" w:cs="Times New Roman"/>
                      <w:color w:val="000000"/>
                      <w:sz w:val="20"/>
                      <w:lang w:eastAsia="pt-PT"/>
                    </w:rPr>
                  </w:pPr>
                  <m:oMathPara>
                    <m:oMathParaPr>
                      <m:jc m:val="center"/>
                    </m:oMathParaPr>
                    <m:oMath>
                      <m:sSup>
                        <m:sSupPr>
                          <m:ctrlPr>
                            <w:rPr>
                              <w:rFonts w:ascii="Cambria Math" w:eastAsia="Times New Roman" w:hAnsi="Cambria Math" w:cs="Times New Roman"/>
                              <w:i/>
                              <w:color w:val="000000"/>
                              <w:sz w:val="20"/>
                              <w:lang w:eastAsia="pt-PT"/>
                            </w:rPr>
                          </m:ctrlPr>
                        </m:sSupPr>
                        <m:e>
                          <m:r>
                            <w:rPr>
                              <w:rFonts w:ascii="Cambria Math" w:eastAsia="Times New Roman" w:hAnsi="Cambria Math" w:cs="Times New Roman"/>
                              <w:color w:val="000000"/>
                              <w:sz w:val="20"/>
                              <w:lang w:eastAsia="pt-PT"/>
                            </w:rPr>
                            <m:t>R</m:t>
                          </m:r>
                        </m:e>
                        <m:sup>
                          <m:r>
                            <w:rPr>
                              <w:rFonts w:ascii="Cambria Math" w:eastAsia="Times New Roman" w:hAnsi="Cambria Math" w:cs="Times New Roman"/>
                              <w:color w:val="000000"/>
                              <w:sz w:val="20"/>
                              <w:lang w:eastAsia="pt-PT"/>
                            </w:rPr>
                            <m:t>2</m:t>
                          </m:r>
                        </m:sup>
                      </m:sSup>
                    </m:oMath>
                  </m:oMathPara>
                </w:p>
              </w:tc>
            </w:tr>
          </w:tbl>
          <w:p w14:paraId="6E0B6784" w14:textId="77777777" w:rsidR="00CF1D64" w:rsidRPr="00282F8F" w:rsidRDefault="00CF1D64" w:rsidP="00CF1D64">
            <w:pPr>
              <w:spacing w:after="0" w:line="240" w:lineRule="auto"/>
              <w:rPr>
                <w:rFonts w:ascii="Calibri" w:eastAsia="Times New Roman" w:hAnsi="Calibri" w:cs="Times New Roman"/>
                <w:color w:val="000000"/>
                <w:sz w:val="20"/>
                <w:lang w:eastAsia="pt-PT"/>
              </w:rPr>
            </w:pPr>
          </w:p>
        </w:tc>
        <w:tc>
          <w:tcPr>
            <w:tcW w:w="4253" w:type="dxa"/>
            <w:gridSpan w:val="4"/>
            <w:tcBorders>
              <w:top w:val="nil"/>
              <w:left w:val="nil"/>
              <w:bottom w:val="nil"/>
              <w:right w:val="nil"/>
            </w:tcBorders>
            <w:shd w:val="clear" w:color="auto" w:fill="auto"/>
            <w:noWrap/>
            <w:vAlign w:val="bottom"/>
            <w:hideMark/>
          </w:tcPr>
          <w:p w14:paraId="468F3720" w14:textId="77777777" w:rsidR="00CF1D64" w:rsidRPr="00282F8F" w:rsidRDefault="00CF1D64" w:rsidP="00CF1D64">
            <w:pPr>
              <w:spacing w:after="0" w:line="240" w:lineRule="auto"/>
              <w:jc w:val="center"/>
              <w:rPr>
                <w:rFonts w:eastAsia="Times New Roman" w:cs="Times New Roman"/>
                <w:color w:val="000000"/>
                <w:sz w:val="20"/>
                <w:lang w:eastAsia="pt-PT"/>
              </w:rPr>
            </w:pPr>
            <w:r w:rsidRPr="00282F8F">
              <w:rPr>
                <w:rFonts w:eastAsia="Times New Roman" w:cs="Times New Roman"/>
                <w:color w:val="000000"/>
                <w:sz w:val="20"/>
                <w:lang w:eastAsia="pt-PT"/>
              </w:rPr>
              <w:t>0,401</w:t>
            </w:r>
          </w:p>
        </w:tc>
      </w:tr>
      <w:tr w:rsidR="00CF1D64" w:rsidRPr="005E28E7" w14:paraId="58734F69" w14:textId="77777777" w:rsidTr="00793028">
        <w:trPr>
          <w:trHeight w:val="80"/>
          <w:jc w:val="center"/>
        </w:trPr>
        <w:tc>
          <w:tcPr>
            <w:tcW w:w="1276" w:type="dxa"/>
            <w:tcBorders>
              <w:top w:val="nil"/>
              <w:left w:val="nil"/>
              <w:bottom w:val="double" w:sz="4" w:space="0" w:color="auto"/>
              <w:right w:val="nil"/>
            </w:tcBorders>
            <w:shd w:val="clear" w:color="auto" w:fill="auto"/>
            <w:noWrap/>
            <w:vAlign w:val="center"/>
            <w:hideMark/>
          </w:tcPr>
          <w:p w14:paraId="3C742B7C" w14:textId="77777777" w:rsidR="00CF1D64" w:rsidRPr="00282F8F" w:rsidRDefault="00CF1D64" w:rsidP="00CF1D64">
            <w:pPr>
              <w:spacing w:after="0" w:line="240" w:lineRule="auto"/>
              <w:rPr>
                <w:rFonts w:eastAsia="Times New Roman" w:cs="Times New Roman"/>
                <w:b/>
                <w:bCs/>
                <w:color w:val="000000"/>
                <w:sz w:val="20"/>
                <w:lang w:eastAsia="pt-PT"/>
              </w:rPr>
            </w:pPr>
            <w:r w:rsidRPr="00282F8F">
              <w:rPr>
                <w:rFonts w:eastAsia="Times New Roman" w:cs="Times New Roman"/>
                <w:b/>
                <w:bCs/>
                <w:color w:val="000000"/>
                <w:sz w:val="20"/>
                <w:lang w:eastAsia="pt-PT"/>
              </w:rPr>
              <w:t> </w:t>
            </w:r>
          </w:p>
        </w:tc>
        <w:tc>
          <w:tcPr>
            <w:tcW w:w="425" w:type="dxa"/>
            <w:tcBorders>
              <w:top w:val="nil"/>
              <w:left w:val="nil"/>
              <w:bottom w:val="double" w:sz="4" w:space="0" w:color="auto"/>
              <w:right w:val="nil"/>
            </w:tcBorders>
            <w:shd w:val="clear" w:color="auto" w:fill="auto"/>
            <w:noWrap/>
            <w:vAlign w:val="bottom"/>
            <w:hideMark/>
          </w:tcPr>
          <w:p w14:paraId="4FB51621" w14:textId="77777777" w:rsidR="00CF1D64" w:rsidRPr="00282F8F" w:rsidRDefault="00CF1D64" w:rsidP="00CF1D64">
            <w:pPr>
              <w:spacing w:after="0" w:line="240" w:lineRule="auto"/>
              <w:rPr>
                <w:rFonts w:eastAsia="Times New Roman" w:cs="Times New Roman"/>
                <w:color w:val="000000"/>
                <w:sz w:val="20"/>
                <w:lang w:eastAsia="pt-PT"/>
              </w:rPr>
            </w:pPr>
            <w:r w:rsidRPr="00282F8F">
              <w:rPr>
                <w:rFonts w:eastAsia="Times New Roman" w:cs="Times New Roman"/>
                <w:color w:val="000000"/>
                <w:sz w:val="20"/>
                <w:lang w:eastAsia="pt-PT"/>
              </w:rPr>
              <w:t> </w:t>
            </w:r>
          </w:p>
        </w:tc>
        <w:tc>
          <w:tcPr>
            <w:tcW w:w="1843" w:type="dxa"/>
            <w:tcBorders>
              <w:top w:val="nil"/>
              <w:left w:val="nil"/>
              <w:bottom w:val="double" w:sz="4" w:space="0" w:color="auto"/>
              <w:right w:val="nil"/>
            </w:tcBorders>
            <w:shd w:val="clear" w:color="auto" w:fill="auto"/>
            <w:noWrap/>
            <w:vAlign w:val="bottom"/>
            <w:hideMark/>
          </w:tcPr>
          <w:p w14:paraId="711EC0E8" w14:textId="77777777" w:rsidR="00CF1D64" w:rsidRPr="00282F8F" w:rsidRDefault="0043154B" w:rsidP="00CF1D64">
            <w:pPr>
              <w:spacing w:after="0" w:line="240" w:lineRule="auto"/>
              <w:jc w:val="center"/>
              <w:rPr>
                <w:rFonts w:eastAsia="Times New Roman" w:cs="Times New Roman"/>
                <w:color w:val="000000"/>
                <w:sz w:val="20"/>
                <w:lang w:eastAsia="pt-PT"/>
              </w:rPr>
            </w:pPr>
            <m:oMathPara>
              <m:oMath>
                <m:sSup>
                  <m:sSupPr>
                    <m:ctrlPr>
                      <w:rPr>
                        <w:rFonts w:ascii="Cambria Math" w:eastAsia="Times New Roman" w:hAnsi="Cambria Math" w:cs="Times New Roman"/>
                        <w:i/>
                        <w:color w:val="000000"/>
                        <w:sz w:val="20"/>
                        <w:lang w:eastAsia="pt-PT"/>
                      </w:rPr>
                    </m:ctrlPr>
                  </m:sSupPr>
                  <m:e>
                    <m:r>
                      <w:rPr>
                        <w:rFonts w:ascii="Cambria Math" w:eastAsia="Times New Roman" w:hAnsi="Cambria Math" w:cs="Times New Roman"/>
                        <w:color w:val="000000"/>
                        <w:sz w:val="20"/>
                        <w:lang w:eastAsia="pt-PT"/>
                      </w:rPr>
                      <m:t>R</m:t>
                    </m:r>
                  </m:e>
                  <m:sup>
                    <m:r>
                      <w:rPr>
                        <w:rFonts w:ascii="Cambria Math" w:eastAsia="Times New Roman" w:hAnsi="Cambria Math" w:cs="Times New Roman"/>
                        <w:color w:val="000000"/>
                        <w:sz w:val="20"/>
                        <w:lang w:eastAsia="pt-PT"/>
                      </w:rPr>
                      <m:t>2</m:t>
                    </m:r>
                  </m:sup>
                </m:sSup>
                <m:r>
                  <w:rPr>
                    <w:rFonts w:ascii="Cambria Math" w:eastAsia="Times New Roman" w:hAnsi="Cambria Math" w:cs="Times New Roman"/>
                    <w:color w:val="000000"/>
                    <w:sz w:val="20"/>
                    <w:lang w:eastAsia="pt-PT"/>
                  </w:rPr>
                  <m:t xml:space="preserve"> Ajustado</m:t>
                </m:r>
              </m:oMath>
            </m:oMathPara>
          </w:p>
        </w:tc>
        <w:tc>
          <w:tcPr>
            <w:tcW w:w="4253" w:type="dxa"/>
            <w:gridSpan w:val="4"/>
            <w:tcBorders>
              <w:top w:val="nil"/>
              <w:left w:val="nil"/>
              <w:bottom w:val="double" w:sz="4" w:space="0" w:color="auto"/>
              <w:right w:val="nil"/>
            </w:tcBorders>
            <w:shd w:val="clear" w:color="auto" w:fill="auto"/>
            <w:noWrap/>
            <w:vAlign w:val="bottom"/>
            <w:hideMark/>
          </w:tcPr>
          <w:p w14:paraId="43DB8B14" w14:textId="77777777" w:rsidR="00CF1D64" w:rsidRPr="00282F8F" w:rsidRDefault="00CF1D64" w:rsidP="00CF1D64">
            <w:pPr>
              <w:spacing w:after="0" w:line="240" w:lineRule="auto"/>
              <w:jc w:val="center"/>
              <w:rPr>
                <w:rFonts w:eastAsia="Times New Roman" w:cs="Times New Roman"/>
                <w:color w:val="000000"/>
                <w:sz w:val="20"/>
                <w:lang w:eastAsia="pt-PT"/>
              </w:rPr>
            </w:pPr>
            <w:r w:rsidRPr="00282F8F">
              <w:rPr>
                <w:rFonts w:eastAsia="Times New Roman" w:cs="Times New Roman"/>
                <w:color w:val="000000"/>
                <w:sz w:val="20"/>
                <w:lang w:eastAsia="pt-PT"/>
              </w:rPr>
              <w:t>0,249</w:t>
            </w:r>
          </w:p>
        </w:tc>
      </w:tr>
    </w:tbl>
    <w:p w14:paraId="3C9CC020" w14:textId="75364AA6" w:rsidR="00947B7B" w:rsidRDefault="00B1078A" w:rsidP="001B55D8">
      <w:pPr>
        <w:spacing w:line="360" w:lineRule="auto"/>
        <w:jc w:val="both"/>
        <w:rPr>
          <w:rFonts w:eastAsiaTheme="minorEastAsia"/>
          <w:iCs/>
        </w:rPr>
      </w:pPr>
      <w:r>
        <w:rPr>
          <w:rFonts w:eastAsiaTheme="minorEastAsia"/>
          <w:iCs/>
        </w:rPr>
        <w:lastRenderedPageBreak/>
        <w:t xml:space="preserve">Segundo os resultados apresentados, relativamente à equação 4.2 </w:t>
      </w:r>
      <w:r w:rsidR="00B4646C">
        <w:rPr>
          <w:rFonts w:eastAsiaTheme="minorEastAsia"/>
          <w:iCs/>
        </w:rPr>
        <w:t>pode-se</w:t>
      </w:r>
      <w:r>
        <w:rPr>
          <w:rFonts w:eastAsiaTheme="minorEastAsia"/>
          <w:iCs/>
        </w:rPr>
        <w:t xml:space="preserve"> observar que as variáveis CP e V</w:t>
      </w:r>
      <w:r w:rsidR="00E6485C">
        <w:rPr>
          <w:rFonts w:eastAsiaTheme="minorEastAsia"/>
          <w:iCs/>
        </w:rPr>
        <w:t>E</w:t>
      </w:r>
      <w:r>
        <w:rPr>
          <w:rFonts w:eastAsiaTheme="minorEastAsia"/>
          <w:iCs/>
        </w:rPr>
        <w:t xml:space="preserve">nd, </w:t>
      </w:r>
      <w:r w:rsidR="00457CE5">
        <w:rPr>
          <w:rFonts w:eastAsiaTheme="minorEastAsia"/>
          <w:iCs/>
        </w:rPr>
        <w:t>c</w:t>
      </w:r>
      <w:r>
        <w:rPr>
          <w:rFonts w:eastAsiaTheme="minorEastAsia"/>
          <w:iCs/>
        </w:rPr>
        <w:t xml:space="preserve">ompetição </w:t>
      </w:r>
      <w:r w:rsidR="00457CE5">
        <w:rPr>
          <w:rFonts w:eastAsiaTheme="minorEastAsia"/>
          <w:iCs/>
        </w:rPr>
        <w:t>p</w:t>
      </w:r>
      <w:r>
        <w:rPr>
          <w:rFonts w:eastAsiaTheme="minorEastAsia"/>
          <w:iCs/>
        </w:rPr>
        <w:t xml:space="preserve">olítica e </w:t>
      </w:r>
      <w:r w:rsidR="00457CE5">
        <w:rPr>
          <w:rFonts w:eastAsiaTheme="minorEastAsia"/>
          <w:iCs/>
        </w:rPr>
        <w:t>va</w:t>
      </w:r>
      <w:r>
        <w:rPr>
          <w:rFonts w:eastAsiaTheme="minorEastAsia"/>
          <w:iCs/>
        </w:rPr>
        <w:t xml:space="preserve">lor de </w:t>
      </w:r>
      <w:r w:rsidR="00457CE5">
        <w:rPr>
          <w:rFonts w:eastAsiaTheme="minorEastAsia"/>
          <w:iCs/>
        </w:rPr>
        <w:t>e</w:t>
      </w:r>
      <w:r>
        <w:rPr>
          <w:rFonts w:eastAsiaTheme="minorEastAsia"/>
          <w:iCs/>
        </w:rPr>
        <w:t>ndividamento, não são estatisticamente significativas (</w:t>
      </w:r>
      <w:r w:rsidR="00793028">
        <w:rPr>
          <w:rFonts w:eastAsiaTheme="minorEastAsia"/>
          <w:i/>
        </w:rPr>
        <w:t>p-</w:t>
      </w:r>
      <w:proofErr w:type="spellStart"/>
      <w:r w:rsidR="00793028">
        <w:rPr>
          <w:rFonts w:eastAsiaTheme="minorEastAsia"/>
          <w:i/>
        </w:rPr>
        <w:t>value</w:t>
      </w:r>
      <w:proofErr w:type="spellEnd"/>
      <w:r>
        <w:rPr>
          <w:rFonts w:eastAsiaTheme="minorEastAsia"/>
          <w:iCs/>
        </w:rPr>
        <w:t xml:space="preserve"> = 0,58 e </w:t>
      </w:r>
      <w:r w:rsidR="00793028">
        <w:rPr>
          <w:rFonts w:eastAsiaTheme="minorEastAsia"/>
          <w:i/>
        </w:rPr>
        <w:t>p-</w:t>
      </w:r>
      <w:proofErr w:type="spellStart"/>
      <w:r w:rsidR="00793028">
        <w:rPr>
          <w:rFonts w:eastAsiaTheme="minorEastAsia"/>
          <w:i/>
        </w:rPr>
        <w:t>value</w:t>
      </w:r>
      <w:proofErr w:type="spellEnd"/>
      <w:r w:rsidRPr="00432298">
        <w:rPr>
          <w:rFonts w:eastAsiaTheme="minorEastAsia"/>
          <w:i/>
        </w:rPr>
        <w:t>.</w:t>
      </w:r>
      <w:r>
        <w:rPr>
          <w:rFonts w:eastAsiaTheme="minorEastAsia"/>
          <w:iCs/>
        </w:rPr>
        <w:t xml:space="preserve"> = 0,46, respetivamente)</w:t>
      </w:r>
      <w:r w:rsidR="00697162">
        <w:rPr>
          <w:rFonts w:eastAsiaTheme="minorEastAsia"/>
          <w:iCs/>
        </w:rPr>
        <w:t xml:space="preserve">, não podendo, nesta equação, serem consideradas determinantes do índice de transparência municipal, ITM. </w:t>
      </w:r>
      <w:r>
        <w:rPr>
          <w:rFonts w:eastAsiaTheme="minorEastAsia"/>
          <w:iCs/>
        </w:rPr>
        <w:t>As variáveis D</w:t>
      </w:r>
      <w:r w:rsidR="000A23D0">
        <w:rPr>
          <w:rFonts w:eastAsiaTheme="minorEastAsia"/>
          <w:iCs/>
        </w:rPr>
        <w:t>E</w:t>
      </w:r>
      <w:r>
        <w:rPr>
          <w:rFonts w:eastAsiaTheme="minorEastAsia"/>
          <w:iCs/>
        </w:rPr>
        <w:t xml:space="preserve"> e </w:t>
      </w:r>
      <w:proofErr w:type="spellStart"/>
      <w:r>
        <w:rPr>
          <w:rFonts w:eastAsiaTheme="minorEastAsia"/>
          <w:iCs/>
        </w:rPr>
        <w:t>TxPI</w:t>
      </w:r>
      <w:proofErr w:type="spellEnd"/>
      <w:r>
        <w:rPr>
          <w:rFonts w:eastAsiaTheme="minorEastAsia"/>
          <w:iCs/>
        </w:rPr>
        <w:t xml:space="preserve">, </w:t>
      </w:r>
      <w:r w:rsidR="000A23D0">
        <w:rPr>
          <w:rFonts w:eastAsiaTheme="minorEastAsia" w:cs="Times New Roman"/>
        </w:rPr>
        <w:t xml:space="preserve">despesa efetiva </w:t>
      </w:r>
      <w:r w:rsidR="000A23D0" w:rsidRPr="00506E82">
        <w:rPr>
          <w:rFonts w:eastAsiaTheme="minorEastAsia" w:cs="Times New Roman"/>
          <w:i/>
          <w:iCs/>
        </w:rPr>
        <w:t>per capita</w:t>
      </w:r>
      <w:r w:rsidR="000A23D0">
        <w:rPr>
          <w:rFonts w:eastAsiaTheme="minorEastAsia" w:cs="Times New Roman"/>
        </w:rPr>
        <w:t xml:space="preserve"> </w:t>
      </w:r>
      <w:r>
        <w:rPr>
          <w:rFonts w:eastAsiaTheme="minorEastAsia"/>
          <w:iCs/>
        </w:rPr>
        <w:t xml:space="preserve">e </w:t>
      </w:r>
      <w:r w:rsidR="00457CE5">
        <w:rPr>
          <w:rFonts w:eastAsiaTheme="minorEastAsia"/>
          <w:iCs/>
        </w:rPr>
        <w:t>t</w:t>
      </w:r>
      <w:r>
        <w:rPr>
          <w:rFonts w:eastAsiaTheme="minorEastAsia"/>
          <w:iCs/>
        </w:rPr>
        <w:t xml:space="preserve">axa de </w:t>
      </w:r>
      <w:r w:rsidR="00457CE5">
        <w:rPr>
          <w:rFonts w:eastAsiaTheme="minorEastAsia"/>
          <w:iCs/>
        </w:rPr>
        <w:t>p</w:t>
      </w:r>
      <w:r>
        <w:rPr>
          <w:rFonts w:eastAsiaTheme="minorEastAsia"/>
          <w:iCs/>
        </w:rPr>
        <w:t>opulação</w:t>
      </w:r>
      <w:r w:rsidR="00457CE5">
        <w:rPr>
          <w:rFonts w:eastAsiaTheme="minorEastAsia"/>
          <w:iCs/>
        </w:rPr>
        <w:t xml:space="preserve"> i</w:t>
      </w:r>
      <w:r>
        <w:rPr>
          <w:rFonts w:eastAsiaTheme="minorEastAsia"/>
          <w:iCs/>
        </w:rPr>
        <w:t>dosa, são estatisticamente significativas em 5%</w:t>
      </w:r>
      <w:r w:rsidR="00697162">
        <w:rPr>
          <w:rFonts w:eastAsiaTheme="minorEastAsia"/>
          <w:iCs/>
        </w:rPr>
        <w:t xml:space="preserve"> (</w:t>
      </w:r>
      <w:r w:rsidR="00793028">
        <w:rPr>
          <w:rFonts w:eastAsiaTheme="minorEastAsia"/>
          <w:i/>
        </w:rPr>
        <w:t>p-</w:t>
      </w:r>
      <w:proofErr w:type="spellStart"/>
      <w:r w:rsidR="00793028">
        <w:rPr>
          <w:rFonts w:eastAsiaTheme="minorEastAsia"/>
          <w:i/>
        </w:rPr>
        <w:t>value</w:t>
      </w:r>
      <w:proofErr w:type="spellEnd"/>
      <w:r w:rsidR="00697162">
        <w:rPr>
          <w:rFonts w:eastAsiaTheme="minorEastAsia"/>
          <w:iCs/>
        </w:rPr>
        <w:t xml:space="preserve"> = 0,05 e </w:t>
      </w:r>
      <w:r w:rsidR="00793028">
        <w:rPr>
          <w:rFonts w:eastAsiaTheme="minorEastAsia"/>
          <w:i/>
        </w:rPr>
        <w:t>p-</w:t>
      </w:r>
      <w:proofErr w:type="spellStart"/>
      <w:r w:rsidR="00793028">
        <w:rPr>
          <w:rFonts w:eastAsiaTheme="minorEastAsia"/>
          <w:i/>
        </w:rPr>
        <w:t>value</w:t>
      </w:r>
      <w:proofErr w:type="spellEnd"/>
      <w:r w:rsidR="00697162">
        <w:rPr>
          <w:rFonts w:eastAsiaTheme="minorEastAsia"/>
          <w:iCs/>
        </w:rPr>
        <w:t xml:space="preserve"> = 0,02, respetivamente). A variável PA, </w:t>
      </w:r>
      <w:r w:rsidR="00457CE5">
        <w:rPr>
          <w:rFonts w:eastAsiaTheme="minorEastAsia"/>
          <w:iCs/>
        </w:rPr>
        <w:t>p</w:t>
      </w:r>
      <w:r w:rsidR="00697162">
        <w:rPr>
          <w:rFonts w:eastAsiaTheme="minorEastAsia"/>
          <w:iCs/>
        </w:rPr>
        <w:t xml:space="preserve">ercentagem de </w:t>
      </w:r>
      <w:r w:rsidR="00457CE5">
        <w:rPr>
          <w:rFonts w:eastAsiaTheme="minorEastAsia"/>
          <w:iCs/>
        </w:rPr>
        <w:t>a</w:t>
      </w:r>
      <w:r w:rsidR="00697162">
        <w:rPr>
          <w:rFonts w:eastAsiaTheme="minorEastAsia"/>
          <w:iCs/>
        </w:rPr>
        <w:t>bstenção, também estatisticamente significativa, mas a nível de significância de 1%. Desta forma, as variáveis D</w:t>
      </w:r>
      <w:r w:rsidR="000A23D0">
        <w:rPr>
          <w:rFonts w:eastAsiaTheme="minorEastAsia"/>
          <w:iCs/>
        </w:rPr>
        <w:t>E</w:t>
      </w:r>
      <w:r w:rsidR="00697162">
        <w:rPr>
          <w:rFonts w:eastAsiaTheme="minorEastAsia"/>
          <w:iCs/>
        </w:rPr>
        <w:t xml:space="preserve">, </w:t>
      </w:r>
      <w:proofErr w:type="spellStart"/>
      <w:r w:rsidR="00697162">
        <w:rPr>
          <w:rFonts w:eastAsiaTheme="minorEastAsia"/>
          <w:iCs/>
        </w:rPr>
        <w:t>TxPI</w:t>
      </w:r>
      <w:proofErr w:type="spellEnd"/>
      <w:r w:rsidR="00697162">
        <w:rPr>
          <w:rFonts w:eastAsiaTheme="minorEastAsia"/>
          <w:iCs/>
        </w:rPr>
        <w:t>, e PA</w:t>
      </w:r>
      <w:r w:rsidR="00DA7015">
        <w:rPr>
          <w:rFonts w:eastAsiaTheme="minorEastAsia"/>
          <w:iCs/>
        </w:rPr>
        <w:t xml:space="preserve"> </w:t>
      </w:r>
      <w:r w:rsidR="00697162">
        <w:rPr>
          <w:rFonts w:eastAsiaTheme="minorEastAsia"/>
          <w:iCs/>
        </w:rPr>
        <w:t xml:space="preserve">são consideradas determinantes do nível de transparência municipal. Comparando os valores do coeficiente de </w:t>
      </w:r>
      <w:r w:rsidR="00697162">
        <w:rPr>
          <w:rFonts w:ascii="Courier New" w:eastAsiaTheme="minorEastAsia" w:hAnsi="Courier New" w:cs="Courier New"/>
          <w:iCs/>
        </w:rPr>
        <w:t>β</w:t>
      </w:r>
      <w:r w:rsidR="00697162">
        <w:rPr>
          <w:rFonts w:eastAsiaTheme="minorEastAsia"/>
          <w:iCs/>
        </w:rPr>
        <w:t xml:space="preserve"> e as respetivas variáveis, </w:t>
      </w:r>
      <w:r w:rsidR="00B4646C">
        <w:rPr>
          <w:rFonts w:eastAsiaTheme="minorEastAsia"/>
          <w:iCs/>
        </w:rPr>
        <w:t>observa-se</w:t>
      </w:r>
      <w:r w:rsidR="00697162">
        <w:rPr>
          <w:rFonts w:eastAsiaTheme="minorEastAsia"/>
          <w:iCs/>
        </w:rPr>
        <w:t xml:space="preserve"> que as variáveis D</w:t>
      </w:r>
      <w:r w:rsidR="000A23D0">
        <w:rPr>
          <w:rFonts w:eastAsiaTheme="minorEastAsia"/>
          <w:iCs/>
        </w:rPr>
        <w:t>E</w:t>
      </w:r>
      <w:r w:rsidR="00DA7015">
        <w:rPr>
          <w:rFonts w:eastAsiaTheme="minorEastAsia"/>
          <w:iCs/>
        </w:rPr>
        <w:t xml:space="preserve"> </w:t>
      </w:r>
      <w:r w:rsidR="00697162">
        <w:rPr>
          <w:rFonts w:eastAsiaTheme="minorEastAsia"/>
          <w:iCs/>
        </w:rPr>
        <w:t xml:space="preserve">e </w:t>
      </w:r>
      <w:proofErr w:type="spellStart"/>
      <w:r w:rsidR="00697162">
        <w:rPr>
          <w:rFonts w:eastAsiaTheme="minorEastAsia"/>
          <w:iCs/>
        </w:rPr>
        <w:t>TxPI</w:t>
      </w:r>
      <w:proofErr w:type="spellEnd"/>
      <w:r w:rsidR="00DA7015">
        <w:rPr>
          <w:rFonts w:eastAsiaTheme="minorEastAsia"/>
          <w:iCs/>
        </w:rPr>
        <w:t xml:space="preserve"> </w:t>
      </w:r>
      <w:r w:rsidR="00697162">
        <w:rPr>
          <w:rFonts w:eastAsiaTheme="minorEastAsia"/>
          <w:iCs/>
        </w:rPr>
        <w:t>apresentam uma relação negativa com o ITM</w:t>
      </w:r>
      <w:r w:rsidR="00DA7015">
        <w:rPr>
          <w:rFonts w:eastAsiaTheme="minorEastAsia"/>
          <w:iCs/>
        </w:rPr>
        <w:t>,</w:t>
      </w:r>
      <w:r w:rsidR="00697162">
        <w:rPr>
          <w:rFonts w:eastAsiaTheme="minorEastAsia"/>
          <w:iCs/>
        </w:rPr>
        <w:t xml:space="preserve"> ou seja, para cada unidade da D</w:t>
      </w:r>
      <w:r w:rsidR="000A23D0">
        <w:rPr>
          <w:rFonts w:eastAsiaTheme="minorEastAsia"/>
          <w:iCs/>
        </w:rPr>
        <w:t>E</w:t>
      </w:r>
      <w:r w:rsidR="00697162">
        <w:rPr>
          <w:rFonts w:eastAsiaTheme="minorEastAsia"/>
          <w:iCs/>
        </w:rPr>
        <w:t xml:space="preserve"> e PA, o ITM diminui em 1,936 e 0,186, respetivamente. Por sua vez, os valores do coeficiente </w:t>
      </w:r>
      <w:r w:rsidR="00697162">
        <w:rPr>
          <w:rFonts w:ascii="Courier New" w:eastAsiaTheme="minorEastAsia" w:hAnsi="Courier New" w:cs="Courier New"/>
          <w:iCs/>
        </w:rPr>
        <w:t>β,</w:t>
      </w:r>
      <w:r w:rsidR="00697162">
        <w:rPr>
          <w:rFonts w:eastAsiaTheme="minorEastAsia"/>
          <w:iCs/>
        </w:rPr>
        <w:t xml:space="preserve"> a variável PA apresenta uma relação positiva com o ITM no qual uma unidade </w:t>
      </w:r>
      <w:r w:rsidR="00432298">
        <w:rPr>
          <w:rFonts w:eastAsiaTheme="minorEastAsia"/>
          <w:iCs/>
        </w:rPr>
        <w:t xml:space="preserve">da PA aumenta o ITM em 0, 172. Este modelo apresenta um </w:t>
      </w:r>
      <m:oMath>
        <m:sSup>
          <m:sSupPr>
            <m:ctrlPr>
              <w:rPr>
                <w:rFonts w:ascii="Cambria Math" w:eastAsiaTheme="minorEastAsia" w:hAnsi="Cambria Math"/>
                <w:i/>
                <w:iCs/>
              </w:rPr>
            </m:ctrlPr>
          </m:sSupPr>
          <m:e>
            <m:r>
              <w:rPr>
                <w:rFonts w:ascii="Cambria Math" w:eastAsiaTheme="minorEastAsia" w:hAnsi="Cambria Math"/>
              </w:rPr>
              <m:t>R</m:t>
            </m:r>
          </m:e>
          <m:sup>
            <m:r>
              <w:rPr>
                <w:rFonts w:ascii="Cambria Math" w:eastAsiaTheme="minorEastAsia" w:hAnsi="Cambria Math"/>
              </w:rPr>
              <m:t>2</m:t>
            </m:r>
          </m:sup>
        </m:sSup>
      </m:oMath>
      <w:r w:rsidR="00432298">
        <w:rPr>
          <w:rFonts w:eastAsiaTheme="minorEastAsia"/>
          <w:iCs/>
        </w:rPr>
        <w:t xml:space="preserve"> ajustado = 0,248 o que significa que as variáveis explicativas, explicam 24,8% o ITM</w:t>
      </w:r>
      <w:r w:rsidR="00DA7015">
        <w:rPr>
          <w:rFonts w:eastAsiaTheme="minorEastAsia"/>
          <w:iCs/>
        </w:rPr>
        <w:t xml:space="preserve"> </w:t>
      </w:r>
      <w:r w:rsidR="00432298">
        <w:rPr>
          <w:rFonts w:eastAsiaTheme="minorEastAsia"/>
          <w:iCs/>
        </w:rPr>
        <w:t>que é a variável dependente</w:t>
      </w:r>
      <w:r w:rsidR="00DA7015">
        <w:rPr>
          <w:rFonts w:eastAsiaTheme="minorEastAsia"/>
          <w:iCs/>
        </w:rPr>
        <w:t>.</w:t>
      </w:r>
    </w:p>
    <w:p w14:paraId="2AFDF400" w14:textId="14168F59" w:rsidR="00697162" w:rsidRDefault="00432298" w:rsidP="001B55D8">
      <w:pPr>
        <w:spacing w:line="360" w:lineRule="auto"/>
        <w:jc w:val="both"/>
        <w:rPr>
          <w:rFonts w:eastAsiaTheme="minorEastAsia"/>
          <w:iCs/>
        </w:rPr>
      </w:pPr>
      <w:r>
        <w:rPr>
          <w:rFonts w:eastAsiaTheme="minorEastAsia"/>
          <w:iCs/>
        </w:rPr>
        <w:t>No modelo referente à equação 4.3, as variáveis CP</w:t>
      </w:r>
      <w:r w:rsidR="00DA7015">
        <w:rPr>
          <w:rFonts w:eastAsiaTheme="minorEastAsia"/>
          <w:iCs/>
        </w:rPr>
        <w:t xml:space="preserve"> </w:t>
      </w:r>
      <w:r>
        <w:rPr>
          <w:rFonts w:eastAsiaTheme="minorEastAsia"/>
          <w:iCs/>
        </w:rPr>
        <w:t>e PR</w:t>
      </w:r>
      <w:r w:rsidR="00DA7015">
        <w:rPr>
          <w:rFonts w:eastAsiaTheme="minorEastAsia"/>
          <w:iCs/>
        </w:rPr>
        <w:t xml:space="preserve"> </w:t>
      </w:r>
      <w:r>
        <w:rPr>
          <w:rFonts w:eastAsiaTheme="minorEastAsia"/>
          <w:iCs/>
        </w:rPr>
        <w:t>não são estatisticamente significativas (</w:t>
      </w:r>
      <w:r w:rsidR="00793028" w:rsidRPr="00793028">
        <w:rPr>
          <w:rFonts w:eastAsiaTheme="minorEastAsia"/>
          <w:i/>
        </w:rPr>
        <w:t>p-</w:t>
      </w:r>
      <w:proofErr w:type="spellStart"/>
      <w:r w:rsidR="00793028" w:rsidRPr="00793028">
        <w:rPr>
          <w:rFonts w:eastAsiaTheme="minorEastAsia"/>
          <w:i/>
        </w:rPr>
        <w:t>value</w:t>
      </w:r>
      <w:proofErr w:type="spellEnd"/>
      <w:r>
        <w:rPr>
          <w:rFonts w:eastAsiaTheme="minorEastAsia"/>
          <w:iCs/>
        </w:rPr>
        <w:t xml:space="preserve"> = 0,48 e </w:t>
      </w:r>
      <w:r w:rsidR="00793028" w:rsidRPr="00793028">
        <w:rPr>
          <w:rFonts w:eastAsiaTheme="minorEastAsia"/>
          <w:i/>
        </w:rPr>
        <w:t>p-</w:t>
      </w:r>
      <w:proofErr w:type="spellStart"/>
      <w:r w:rsidR="00793028" w:rsidRPr="00793028">
        <w:rPr>
          <w:rFonts w:eastAsiaTheme="minorEastAsia"/>
          <w:i/>
        </w:rPr>
        <w:t>value</w:t>
      </w:r>
      <w:proofErr w:type="spellEnd"/>
      <w:r>
        <w:rPr>
          <w:rFonts w:eastAsiaTheme="minorEastAsia"/>
          <w:iCs/>
        </w:rPr>
        <w:t xml:space="preserve"> = 0,45, respetivamente), logo, não são consideradas determinantes do ITM. Já as variáveis D</w:t>
      </w:r>
      <w:r w:rsidR="000A23D0">
        <w:rPr>
          <w:rFonts w:eastAsiaTheme="minorEastAsia"/>
          <w:iCs/>
        </w:rPr>
        <w:t>E</w:t>
      </w:r>
      <w:r>
        <w:rPr>
          <w:rFonts w:eastAsiaTheme="minorEastAsia"/>
          <w:iCs/>
        </w:rPr>
        <w:t xml:space="preserve">, </w:t>
      </w:r>
      <w:proofErr w:type="spellStart"/>
      <w:r>
        <w:rPr>
          <w:rFonts w:eastAsiaTheme="minorEastAsia"/>
          <w:iCs/>
        </w:rPr>
        <w:t>TxPI</w:t>
      </w:r>
      <w:proofErr w:type="spellEnd"/>
      <w:r w:rsidR="00DA7015">
        <w:rPr>
          <w:rFonts w:eastAsiaTheme="minorEastAsia"/>
          <w:iCs/>
        </w:rPr>
        <w:t xml:space="preserve"> </w:t>
      </w:r>
      <w:r>
        <w:rPr>
          <w:rFonts w:eastAsiaTheme="minorEastAsia"/>
          <w:iCs/>
        </w:rPr>
        <w:t xml:space="preserve">e PA, </w:t>
      </w:r>
      <w:r w:rsidR="009632E9">
        <w:rPr>
          <w:rFonts w:eastAsiaTheme="minorEastAsia"/>
          <w:iCs/>
        </w:rPr>
        <w:t xml:space="preserve">como </w:t>
      </w:r>
      <w:r>
        <w:rPr>
          <w:rFonts w:eastAsiaTheme="minorEastAsia"/>
          <w:iCs/>
        </w:rPr>
        <w:t>são estatisticamente significativas com um nível de significância de 10%, 5% e 1%, respetivamente</w:t>
      </w:r>
      <w:r w:rsidR="009632E9">
        <w:rPr>
          <w:rFonts w:eastAsiaTheme="minorEastAsia"/>
          <w:iCs/>
        </w:rPr>
        <w:t>, podem ser consideradas determinantes do ITM</w:t>
      </w:r>
      <w:r>
        <w:rPr>
          <w:rFonts w:eastAsiaTheme="minorEastAsia"/>
          <w:iCs/>
        </w:rPr>
        <w:t>. Neste modelo, à semelhança do anterior, a variável D</w:t>
      </w:r>
      <w:r w:rsidR="000A23D0">
        <w:rPr>
          <w:rFonts w:eastAsiaTheme="minorEastAsia"/>
          <w:iCs/>
        </w:rPr>
        <w:t>E</w:t>
      </w:r>
      <w:r w:rsidR="00DA7015">
        <w:rPr>
          <w:rFonts w:eastAsiaTheme="minorEastAsia"/>
          <w:iCs/>
        </w:rPr>
        <w:t xml:space="preserve"> </w:t>
      </w:r>
      <w:r>
        <w:rPr>
          <w:rFonts w:eastAsiaTheme="minorEastAsia"/>
          <w:iCs/>
        </w:rPr>
        <w:t xml:space="preserve">e </w:t>
      </w:r>
      <w:proofErr w:type="spellStart"/>
      <w:r w:rsidR="00860E10">
        <w:rPr>
          <w:rFonts w:eastAsiaTheme="minorEastAsia"/>
          <w:iCs/>
        </w:rPr>
        <w:t>TxPI</w:t>
      </w:r>
      <w:proofErr w:type="spellEnd"/>
      <w:r w:rsidR="00DA7015">
        <w:rPr>
          <w:rFonts w:eastAsiaTheme="minorEastAsia"/>
          <w:iCs/>
        </w:rPr>
        <w:t xml:space="preserve"> </w:t>
      </w:r>
      <w:r w:rsidR="00860E10">
        <w:rPr>
          <w:rFonts w:eastAsiaTheme="minorEastAsia"/>
          <w:iCs/>
        </w:rPr>
        <w:t>apresentam uma relação negativa com ITM</w:t>
      </w:r>
      <w:r w:rsidR="00DA7015">
        <w:rPr>
          <w:rFonts w:eastAsiaTheme="minorEastAsia"/>
          <w:iCs/>
        </w:rPr>
        <w:t xml:space="preserve"> </w:t>
      </w:r>
      <w:r w:rsidR="00860E10">
        <w:rPr>
          <w:rFonts w:eastAsiaTheme="minorEastAsia"/>
          <w:iCs/>
        </w:rPr>
        <w:t xml:space="preserve">para cada unidade de </w:t>
      </w:r>
      <w:proofErr w:type="spellStart"/>
      <w:r w:rsidR="00860E10">
        <w:rPr>
          <w:rFonts w:eastAsiaTheme="minorEastAsia"/>
          <w:iCs/>
        </w:rPr>
        <w:t>D</w:t>
      </w:r>
      <w:r w:rsidR="000A23D0">
        <w:rPr>
          <w:rFonts w:eastAsiaTheme="minorEastAsia"/>
          <w:iCs/>
        </w:rPr>
        <w:t>E</w:t>
      </w:r>
      <w:proofErr w:type="spellEnd"/>
      <w:r w:rsidR="00860E10">
        <w:rPr>
          <w:rFonts w:eastAsiaTheme="minorEastAsia"/>
          <w:iCs/>
        </w:rPr>
        <w:t xml:space="preserve"> e PA, o ITM diminui em 1,855 e 0,179, respetivamente. No que toca à PA</w:t>
      </w:r>
      <w:r w:rsidR="00DA7015">
        <w:rPr>
          <w:rFonts w:eastAsiaTheme="minorEastAsia"/>
          <w:iCs/>
        </w:rPr>
        <w:t xml:space="preserve"> </w:t>
      </w:r>
      <w:r w:rsidR="00860E10">
        <w:rPr>
          <w:rFonts w:eastAsiaTheme="minorEastAsia"/>
          <w:iCs/>
        </w:rPr>
        <w:t xml:space="preserve">esta apresenta uma relação positiva com a variável dependente, ou seja, para cada unidade da PA, o ITM aumenta em 0,149. Relativamente ao </w:t>
      </w:r>
      <m:oMath>
        <m:sSup>
          <m:sSupPr>
            <m:ctrlPr>
              <w:rPr>
                <w:rFonts w:ascii="Cambria Math" w:eastAsiaTheme="minorEastAsia" w:hAnsi="Cambria Math"/>
                <w:i/>
                <w:iCs/>
              </w:rPr>
            </m:ctrlPr>
          </m:sSupPr>
          <m:e>
            <m:r>
              <w:rPr>
                <w:rFonts w:ascii="Cambria Math" w:eastAsiaTheme="minorEastAsia" w:hAnsi="Cambria Math"/>
              </w:rPr>
              <m:t>R</m:t>
            </m:r>
          </m:e>
          <m:sup>
            <m:r>
              <w:rPr>
                <w:rFonts w:ascii="Cambria Math" w:eastAsiaTheme="minorEastAsia" w:hAnsi="Cambria Math"/>
              </w:rPr>
              <m:t>2</m:t>
            </m:r>
          </m:sup>
        </m:sSup>
      </m:oMath>
      <w:r w:rsidR="00860E10">
        <w:rPr>
          <w:rFonts w:eastAsiaTheme="minorEastAsia"/>
          <w:iCs/>
        </w:rPr>
        <w:t xml:space="preserve"> ajustado, este apresenta o mesmo valor do modelo anterior pois as variáveis estatisticamente significativas acabaram por ser as mesmas, </w:t>
      </w:r>
      <m:oMath>
        <m:sSup>
          <m:sSupPr>
            <m:ctrlPr>
              <w:rPr>
                <w:rFonts w:ascii="Cambria Math" w:eastAsiaTheme="minorEastAsia" w:hAnsi="Cambria Math"/>
                <w:i/>
                <w:iCs/>
              </w:rPr>
            </m:ctrlPr>
          </m:sSupPr>
          <m:e>
            <m:r>
              <w:rPr>
                <w:rFonts w:ascii="Cambria Math" w:eastAsiaTheme="minorEastAsia" w:hAnsi="Cambria Math"/>
              </w:rPr>
              <m:t>R</m:t>
            </m:r>
          </m:e>
          <m:sup>
            <m:r>
              <w:rPr>
                <w:rFonts w:ascii="Cambria Math" w:eastAsiaTheme="minorEastAsia" w:hAnsi="Cambria Math"/>
              </w:rPr>
              <m:t>2</m:t>
            </m:r>
          </m:sup>
        </m:sSup>
      </m:oMath>
      <w:r w:rsidR="00860E10">
        <w:rPr>
          <w:rFonts w:eastAsiaTheme="minorEastAsia"/>
          <w:iCs/>
        </w:rPr>
        <w:t xml:space="preserve"> ajustado = 0,248 que indica que as variáveis D</w:t>
      </w:r>
      <w:r w:rsidR="000A23D0">
        <w:rPr>
          <w:rFonts w:eastAsiaTheme="minorEastAsia"/>
          <w:iCs/>
        </w:rPr>
        <w:t>E</w:t>
      </w:r>
      <w:r w:rsidR="00860E10">
        <w:rPr>
          <w:rFonts w:eastAsiaTheme="minorEastAsia"/>
          <w:iCs/>
        </w:rPr>
        <w:t xml:space="preserve">, </w:t>
      </w:r>
      <w:proofErr w:type="spellStart"/>
      <w:r w:rsidR="00860E10">
        <w:rPr>
          <w:rFonts w:eastAsiaTheme="minorEastAsia"/>
          <w:iCs/>
        </w:rPr>
        <w:t>TxPI</w:t>
      </w:r>
      <w:proofErr w:type="spellEnd"/>
      <w:r w:rsidR="00860E10">
        <w:rPr>
          <w:rFonts w:eastAsiaTheme="minorEastAsia"/>
          <w:iCs/>
        </w:rPr>
        <w:t xml:space="preserve"> e PA explicam 24,8% a variável dependente, ITM</w:t>
      </w:r>
      <w:r w:rsidR="00DA7015">
        <w:rPr>
          <w:rFonts w:eastAsiaTheme="minorEastAsia"/>
          <w:iCs/>
        </w:rPr>
        <w:t>.</w:t>
      </w:r>
      <w:r w:rsidR="00860E10">
        <w:rPr>
          <w:rFonts w:eastAsiaTheme="minorEastAsia"/>
          <w:iCs/>
        </w:rPr>
        <w:t xml:space="preserve"> </w:t>
      </w:r>
    </w:p>
    <w:p w14:paraId="24DFCCAF" w14:textId="79C45B5E" w:rsidR="00B559DD" w:rsidRDefault="003777B3" w:rsidP="001B55D8">
      <w:pPr>
        <w:spacing w:line="360" w:lineRule="auto"/>
        <w:jc w:val="both"/>
        <w:rPr>
          <w:rFonts w:eastAsiaTheme="minorEastAsia"/>
          <w:iCs/>
        </w:rPr>
      </w:pPr>
      <w:r>
        <w:rPr>
          <w:rFonts w:eastAsiaTheme="minorEastAsia"/>
          <w:iCs/>
        </w:rPr>
        <w:t xml:space="preserve">Perante o modelo da equação 4.4, </w:t>
      </w:r>
      <w:r w:rsidR="0075727F">
        <w:rPr>
          <w:rFonts w:eastAsiaTheme="minorEastAsia"/>
          <w:iCs/>
        </w:rPr>
        <w:t>as variáveis D</w:t>
      </w:r>
      <w:r w:rsidR="000A23D0">
        <w:rPr>
          <w:rFonts w:eastAsiaTheme="minorEastAsia"/>
          <w:iCs/>
        </w:rPr>
        <w:t>E</w:t>
      </w:r>
      <w:r w:rsidR="0075727F">
        <w:rPr>
          <w:rFonts w:eastAsiaTheme="minorEastAsia"/>
          <w:iCs/>
        </w:rPr>
        <w:t xml:space="preserve">, </w:t>
      </w:r>
      <w:proofErr w:type="spellStart"/>
      <w:r w:rsidR="0075727F">
        <w:rPr>
          <w:rFonts w:eastAsiaTheme="minorEastAsia"/>
          <w:iCs/>
        </w:rPr>
        <w:t>TxPI</w:t>
      </w:r>
      <w:proofErr w:type="spellEnd"/>
      <w:r w:rsidR="00DA7015">
        <w:rPr>
          <w:rFonts w:eastAsiaTheme="minorEastAsia"/>
          <w:iCs/>
        </w:rPr>
        <w:t xml:space="preserve"> </w:t>
      </w:r>
      <w:r w:rsidR="0075727F">
        <w:rPr>
          <w:rFonts w:eastAsiaTheme="minorEastAsia"/>
          <w:iCs/>
        </w:rPr>
        <w:t>e PA</w:t>
      </w:r>
      <w:r w:rsidR="00DA7015">
        <w:rPr>
          <w:rFonts w:eastAsiaTheme="minorEastAsia"/>
          <w:iCs/>
        </w:rPr>
        <w:t xml:space="preserve"> </w:t>
      </w:r>
      <w:r w:rsidR="0075727F">
        <w:rPr>
          <w:rFonts w:eastAsiaTheme="minorEastAsia"/>
          <w:iCs/>
        </w:rPr>
        <w:t>são, novamente, estatisticamente significativas</w:t>
      </w:r>
      <w:r w:rsidR="00C767FE">
        <w:rPr>
          <w:rFonts w:eastAsiaTheme="minorEastAsia"/>
          <w:iCs/>
        </w:rPr>
        <w:t xml:space="preserve"> (</w:t>
      </w:r>
      <w:r w:rsidR="00793028">
        <w:rPr>
          <w:rFonts w:eastAsiaTheme="minorEastAsia"/>
          <w:i/>
        </w:rPr>
        <w:t>p-</w:t>
      </w:r>
      <w:proofErr w:type="spellStart"/>
      <w:r w:rsidR="00793028">
        <w:rPr>
          <w:rFonts w:eastAsiaTheme="minorEastAsia"/>
          <w:i/>
        </w:rPr>
        <w:t>value</w:t>
      </w:r>
      <w:proofErr w:type="spellEnd"/>
      <w:r w:rsidR="00C767FE">
        <w:rPr>
          <w:rFonts w:eastAsiaTheme="minorEastAsia"/>
          <w:iCs/>
        </w:rPr>
        <w:t xml:space="preserve"> = 0,07; </w:t>
      </w:r>
      <w:r w:rsidR="00793028">
        <w:rPr>
          <w:rFonts w:eastAsiaTheme="minorEastAsia"/>
          <w:i/>
        </w:rPr>
        <w:t>p-</w:t>
      </w:r>
      <w:proofErr w:type="spellStart"/>
      <w:r w:rsidR="00793028">
        <w:rPr>
          <w:rFonts w:eastAsiaTheme="minorEastAsia"/>
          <w:i/>
        </w:rPr>
        <w:t>value</w:t>
      </w:r>
      <w:proofErr w:type="spellEnd"/>
      <w:r w:rsidR="00C767FE">
        <w:rPr>
          <w:rFonts w:eastAsiaTheme="minorEastAsia"/>
          <w:iCs/>
        </w:rPr>
        <w:t xml:space="preserve"> = 0,03; </w:t>
      </w:r>
      <w:r w:rsidR="00793028">
        <w:rPr>
          <w:rFonts w:eastAsiaTheme="minorEastAsia"/>
          <w:i/>
        </w:rPr>
        <w:t>p-</w:t>
      </w:r>
      <w:proofErr w:type="spellStart"/>
      <w:r w:rsidR="00793028">
        <w:rPr>
          <w:rFonts w:eastAsiaTheme="minorEastAsia"/>
          <w:i/>
        </w:rPr>
        <w:t>value</w:t>
      </w:r>
      <w:proofErr w:type="spellEnd"/>
      <w:r w:rsidR="00C767FE">
        <w:rPr>
          <w:rFonts w:eastAsiaTheme="minorEastAsia"/>
          <w:iCs/>
        </w:rPr>
        <w:t xml:space="preserve"> = 0,01)</w:t>
      </w:r>
      <w:r w:rsidR="0075727F">
        <w:rPr>
          <w:rFonts w:eastAsiaTheme="minorEastAsia"/>
          <w:iCs/>
        </w:rPr>
        <w:t xml:space="preserve"> em 10%, 5% e 1%, respetivamente. </w:t>
      </w:r>
      <w:r w:rsidR="009632E9">
        <w:rPr>
          <w:rFonts w:eastAsiaTheme="minorEastAsia"/>
          <w:iCs/>
        </w:rPr>
        <w:t xml:space="preserve">Estas variáveis podem, então, ser consideradas determinantes do nível de transparência municipal. </w:t>
      </w:r>
      <w:r w:rsidR="0075727F">
        <w:rPr>
          <w:rFonts w:eastAsiaTheme="minorEastAsia"/>
          <w:iCs/>
        </w:rPr>
        <w:t xml:space="preserve">Os valores </w:t>
      </w:r>
      <w:r w:rsidR="0075727F">
        <w:rPr>
          <w:rFonts w:ascii="Courier New" w:eastAsiaTheme="minorEastAsia" w:hAnsi="Courier New" w:cs="Courier New"/>
          <w:iCs/>
        </w:rPr>
        <w:t xml:space="preserve">β </w:t>
      </w:r>
      <w:r w:rsidR="0075727F" w:rsidRPr="0075727F">
        <w:rPr>
          <w:rFonts w:eastAsiaTheme="minorEastAsia"/>
          <w:iCs/>
        </w:rPr>
        <w:t>das variáveis explicativas</w:t>
      </w:r>
      <w:r w:rsidR="0075727F">
        <w:rPr>
          <w:rFonts w:ascii="Courier New" w:eastAsiaTheme="minorEastAsia" w:hAnsi="Courier New" w:cs="Courier New"/>
          <w:iCs/>
        </w:rPr>
        <w:t xml:space="preserve"> </w:t>
      </w:r>
      <w:r w:rsidR="0075727F">
        <w:rPr>
          <w:rFonts w:eastAsiaTheme="minorEastAsia"/>
          <w:iCs/>
        </w:rPr>
        <w:t>manterem-se praticamente os mesmos, sendo que as variáveis D</w:t>
      </w:r>
      <w:r w:rsidR="000A23D0">
        <w:rPr>
          <w:rFonts w:eastAsiaTheme="minorEastAsia"/>
          <w:iCs/>
        </w:rPr>
        <w:t>E</w:t>
      </w:r>
      <w:r w:rsidR="00DA7015">
        <w:rPr>
          <w:rFonts w:eastAsiaTheme="minorEastAsia"/>
          <w:iCs/>
        </w:rPr>
        <w:t xml:space="preserve"> </w:t>
      </w:r>
      <w:r w:rsidR="0075727F">
        <w:rPr>
          <w:rFonts w:eastAsiaTheme="minorEastAsia"/>
          <w:iCs/>
        </w:rPr>
        <w:t xml:space="preserve">e </w:t>
      </w:r>
      <w:proofErr w:type="spellStart"/>
      <w:r w:rsidR="0075727F">
        <w:rPr>
          <w:rFonts w:eastAsiaTheme="minorEastAsia"/>
          <w:iCs/>
        </w:rPr>
        <w:t>TxPI</w:t>
      </w:r>
      <w:proofErr w:type="spellEnd"/>
      <w:r w:rsidR="00DA7015">
        <w:rPr>
          <w:rFonts w:eastAsiaTheme="minorEastAsia"/>
          <w:iCs/>
        </w:rPr>
        <w:t xml:space="preserve"> </w:t>
      </w:r>
      <w:r w:rsidR="0075727F">
        <w:rPr>
          <w:rFonts w:eastAsiaTheme="minorEastAsia"/>
          <w:iCs/>
        </w:rPr>
        <w:t xml:space="preserve">apresentam uma relação negativa com a variável </w:t>
      </w:r>
      <w:r w:rsidR="0075727F">
        <w:rPr>
          <w:rFonts w:eastAsiaTheme="minorEastAsia"/>
          <w:iCs/>
        </w:rPr>
        <w:lastRenderedPageBreak/>
        <w:t>dependente, ITM, ou seja, para cada unidade da D</w:t>
      </w:r>
      <w:r w:rsidR="000A23D0">
        <w:rPr>
          <w:rFonts w:eastAsiaTheme="minorEastAsia"/>
          <w:iCs/>
        </w:rPr>
        <w:t>E</w:t>
      </w:r>
      <w:r w:rsidR="0075727F">
        <w:rPr>
          <w:rFonts w:eastAsiaTheme="minorEastAsia"/>
          <w:iCs/>
        </w:rPr>
        <w:t xml:space="preserve"> e </w:t>
      </w:r>
      <w:proofErr w:type="spellStart"/>
      <w:r w:rsidR="0075727F">
        <w:rPr>
          <w:rFonts w:eastAsiaTheme="minorEastAsia"/>
          <w:iCs/>
        </w:rPr>
        <w:t>TxPI</w:t>
      </w:r>
      <w:proofErr w:type="spellEnd"/>
      <w:r w:rsidR="0075727F">
        <w:rPr>
          <w:rFonts w:eastAsiaTheme="minorEastAsia"/>
          <w:iCs/>
        </w:rPr>
        <w:t xml:space="preserve">, o ITM diminui em 1,835 e 0, 179, respetivamente. </w:t>
      </w:r>
      <w:r w:rsidR="00B559DD">
        <w:rPr>
          <w:rFonts w:eastAsiaTheme="minorEastAsia"/>
          <w:iCs/>
        </w:rPr>
        <w:t>A variável PA</w:t>
      </w:r>
      <w:r w:rsidR="00DA7015">
        <w:rPr>
          <w:rFonts w:eastAsiaTheme="minorEastAsia"/>
          <w:iCs/>
        </w:rPr>
        <w:t xml:space="preserve"> </w:t>
      </w:r>
      <w:r w:rsidR="00B559DD">
        <w:rPr>
          <w:rFonts w:eastAsiaTheme="minorEastAsia"/>
          <w:iCs/>
        </w:rPr>
        <w:t>apresenta, mais uma vez, uma relação positiva com o ITM no qual para uma unidade da PA, o ITM aumenta 0,15. Já as variáveis, CP</w:t>
      </w:r>
      <w:r w:rsidR="00DA7015">
        <w:rPr>
          <w:rFonts w:eastAsiaTheme="minorEastAsia"/>
          <w:iCs/>
        </w:rPr>
        <w:t xml:space="preserve"> </w:t>
      </w:r>
      <w:r w:rsidR="00B559DD">
        <w:rPr>
          <w:rFonts w:eastAsiaTheme="minorEastAsia"/>
          <w:iCs/>
        </w:rPr>
        <w:t xml:space="preserve">e </w:t>
      </w:r>
      <w:proofErr w:type="spellStart"/>
      <w:r w:rsidR="00B559DD">
        <w:rPr>
          <w:rFonts w:eastAsiaTheme="minorEastAsia"/>
          <w:iCs/>
        </w:rPr>
        <w:t>TxD</w:t>
      </w:r>
      <w:proofErr w:type="spellEnd"/>
      <w:r w:rsidR="00B559DD">
        <w:rPr>
          <w:rFonts w:eastAsiaTheme="minorEastAsia"/>
          <w:iCs/>
        </w:rPr>
        <w:t xml:space="preserve">, </w:t>
      </w:r>
      <w:r w:rsidR="00457CE5">
        <w:rPr>
          <w:rFonts w:eastAsiaTheme="minorEastAsia"/>
          <w:iCs/>
        </w:rPr>
        <w:t>t</w:t>
      </w:r>
      <w:r w:rsidR="00B559DD">
        <w:rPr>
          <w:rFonts w:eastAsiaTheme="minorEastAsia"/>
          <w:iCs/>
        </w:rPr>
        <w:t xml:space="preserve">axa de </w:t>
      </w:r>
      <w:r w:rsidR="00457CE5">
        <w:rPr>
          <w:rFonts w:eastAsiaTheme="minorEastAsia"/>
          <w:iCs/>
        </w:rPr>
        <w:t>d</w:t>
      </w:r>
      <w:r w:rsidR="00B559DD">
        <w:rPr>
          <w:rFonts w:eastAsiaTheme="minorEastAsia"/>
          <w:iCs/>
        </w:rPr>
        <w:t>esemprego, não são estatisticamente significativas (</w:t>
      </w:r>
      <w:r w:rsidR="00793028">
        <w:rPr>
          <w:rFonts w:eastAsiaTheme="minorEastAsia"/>
          <w:i/>
        </w:rPr>
        <w:t>p-</w:t>
      </w:r>
      <w:proofErr w:type="spellStart"/>
      <w:r w:rsidR="00793028">
        <w:rPr>
          <w:rFonts w:eastAsiaTheme="minorEastAsia"/>
          <w:i/>
        </w:rPr>
        <w:t>value</w:t>
      </w:r>
      <w:proofErr w:type="spellEnd"/>
      <w:r w:rsidR="00B559DD">
        <w:rPr>
          <w:rFonts w:eastAsiaTheme="minorEastAsia"/>
          <w:iCs/>
        </w:rPr>
        <w:t xml:space="preserve"> = 0,48 e </w:t>
      </w:r>
      <w:r w:rsidR="00793028">
        <w:rPr>
          <w:rFonts w:eastAsiaTheme="minorEastAsia"/>
          <w:i/>
        </w:rPr>
        <w:t>p-</w:t>
      </w:r>
      <w:proofErr w:type="spellStart"/>
      <w:r w:rsidR="00793028">
        <w:rPr>
          <w:rFonts w:eastAsiaTheme="minorEastAsia"/>
          <w:i/>
        </w:rPr>
        <w:t>value</w:t>
      </w:r>
      <w:proofErr w:type="spellEnd"/>
      <w:r w:rsidR="00B559DD">
        <w:rPr>
          <w:rFonts w:eastAsiaTheme="minorEastAsia"/>
          <w:iCs/>
        </w:rPr>
        <w:t xml:space="preserve"> = 0,35, respetivamente) não podendo ser consideradas determinantes do nível de transparência municipal. Neste modelo, o</w:t>
      </w:r>
      <w:r w:rsidR="0033100A">
        <w:rPr>
          <w:rFonts w:eastAsiaTheme="minorEastAsia"/>
          <w:iCs/>
        </w:rPr>
        <w:t xml:space="preserve"> </w:t>
      </w:r>
      <m:oMath>
        <m:sSup>
          <m:sSupPr>
            <m:ctrlPr>
              <w:rPr>
                <w:rFonts w:ascii="Cambria Math" w:eastAsiaTheme="minorEastAsia" w:hAnsi="Cambria Math"/>
                <w:i/>
                <w:iCs/>
              </w:rPr>
            </m:ctrlPr>
          </m:sSupPr>
          <m:e>
            <m:r>
              <w:rPr>
                <w:rFonts w:ascii="Cambria Math" w:eastAsiaTheme="minorEastAsia" w:hAnsi="Cambria Math"/>
              </w:rPr>
              <m:t>R</m:t>
            </m:r>
          </m:e>
          <m:sup>
            <m:r>
              <w:rPr>
                <w:rFonts w:ascii="Cambria Math" w:eastAsiaTheme="minorEastAsia" w:hAnsi="Cambria Math"/>
              </w:rPr>
              <m:t>2</m:t>
            </m:r>
          </m:sup>
        </m:sSup>
      </m:oMath>
      <w:r w:rsidR="00B559DD">
        <w:rPr>
          <w:rFonts w:eastAsiaTheme="minorEastAsia"/>
          <w:iCs/>
        </w:rPr>
        <w:t xml:space="preserve">  ajustado = 0,249, ou seja, as variáveis explicativas explicam 24,9% a variável dependente, ITM. O valor obtido é muito próximo dos valores da equação 4.2 e 4.3. </w:t>
      </w:r>
    </w:p>
    <w:p w14:paraId="18EA92F4" w14:textId="7A74B557" w:rsidR="00B725A5" w:rsidRDefault="00C767FE" w:rsidP="00151643">
      <w:pPr>
        <w:spacing w:line="360" w:lineRule="auto"/>
        <w:jc w:val="both"/>
        <w:rPr>
          <w:rFonts w:eastAsiaTheme="minorEastAsia"/>
          <w:iCs/>
        </w:rPr>
      </w:pPr>
      <w:r>
        <w:rPr>
          <w:rFonts w:eastAsiaTheme="minorEastAsia"/>
          <w:iCs/>
        </w:rPr>
        <w:t>No último modelo da equação 4.5, as variáveis incluídas foram a CP, D</w:t>
      </w:r>
      <w:r w:rsidR="000A23D0">
        <w:rPr>
          <w:rFonts w:eastAsiaTheme="minorEastAsia"/>
          <w:iCs/>
        </w:rPr>
        <w:t>E</w:t>
      </w:r>
      <w:r>
        <w:rPr>
          <w:rFonts w:eastAsiaTheme="minorEastAsia"/>
          <w:iCs/>
        </w:rPr>
        <w:t xml:space="preserve">, </w:t>
      </w:r>
      <w:proofErr w:type="spellStart"/>
      <w:r>
        <w:rPr>
          <w:rFonts w:eastAsiaTheme="minorEastAsia"/>
          <w:iCs/>
        </w:rPr>
        <w:t>TxPI</w:t>
      </w:r>
      <w:proofErr w:type="spellEnd"/>
      <w:r>
        <w:rPr>
          <w:rFonts w:eastAsiaTheme="minorEastAsia"/>
          <w:iCs/>
        </w:rPr>
        <w:t>, e PA. Relativamente à variável CP também neste modelo, não é considerada como uma determinante do ITM pois não é estatisticamente significativa (</w:t>
      </w:r>
      <w:r w:rsidR="00793028">
        <w:rPr>
          <w:rFonts w:eastAsiaTheme="minorEastAsia"/>
          <w:i/>
        </w:rPr>
        <w:t>p-</w:t>
      </w:r>
      <w:proofErr w:type="spellStart"/>
      <w:r w:rsidR="00793028">
        <w:rPr>
          <w:rFonts w:eastAsiaTheme="minorEastAsia"/>
          <w:i/>
        </w:rPr>
        <w:t>value</w:t>
      </w:r>
      <w:proofErr w:type="spellEnd"/>
      <w:r>
        <w:rPr>
          <w:rFonts w:eastAsiaTheme="minorEastAsia"/>
          <w:iCs/>
        </w:rPr>
        <w:t xml:space="preserve"> = 0,54). As variáveis DO</w:t>
      </w:r>
      <w:r w:rsidR="00DA7015">
        <w:rPr>
          <w:rFonts w:eastAsiaTheme="minorEastAsia"/>
          <w:iCs/>
        </w:rPr>
        <w:t xml:space="preserve"> </w:t>
      </w:r>
      <w:r>
        <w:rPr>
          <w:rFonts w:eastAsiaTheme="minorEastAsia"/>
          <w:iCs/>
        </w:rPr>
        <w:t xml:space="preserve">e </w:t>
      </w:r>
      <w:proofErr w:type="spellStart"/>
      <w:r>
        <w:rPr>
          <w:rFonts w:eastAsiaTheme="minorEastAsia"/>
          <w:iCs/>
        </w:rPr>
        <w:t>TxPI</w:t>
      </w:r>
      <w:proofErr w:type="spellEnd"/>
      <w:r w:rsidR="00DA7015">
        <w:rPr>
          <w:rFonts w:eastAsiaTheme="minorEastAsia"/>
          <w:iCs/>
        </w:rPr>
        <w:t xml:space="preserve"> </w:t>
      </w:r>
      <w:r>
        <w:rPr>
          <w:rFonts w:eastAsiaTheme="minorEastAsia"/>
          <w:iCs/>
        </w:rPr>
        <w:t>são estatisticamente significativas para um nível de significância de 10% e 5%, respetivamente</w:t>
      </w:r>
      <w:r w:rsidR="009632E9">
        <w:rPr>
          <w:rFonts w:eastAsiaTheme="minorEastAsia"/>
          <w:iCs/>
        </w:rPr>
        <w:t>, podendo ser, desta forma, consideradas determinantes do ITM.</w:t>
      </w:r>
      <w:r>
        <w:rPr>
          <w:rFonts w:eastAsiaTheme="minorEastAsia"/>
          <w:iCs/>
        </w:rPr>
        <w:t xml:space="preserve"> À semelhança das equações anteriores, estas variáveis apresentam uma relação negativa com a variável dependente, ITM</w:t>
      </w:r>
      <w:r w:rsidR="00DA7015">
        <w:rPr>
          <w:rFonts w:eastAsiaTheme="minorEastAsia"/>
          <w:iCs/>
        </w:rPr>
        <w:t xml:space="preserve"> </w:t>
      </w:r>
      <w:r>
        <w:rPr>
          <w:rFonts w:eastAsiaTheme="minorEastAsia"/>
          <w:iCs/>
        </w:rPr>
        <w:t xml:space="preserve">sendo os valores </w:t>
      </w:r>
      <w:r>
        <w:rPr>
          <w:rFonts w:ascii="Courier New" w:eastAsiaTheme="minorEastAsia" w:hAnsi="Courier New" w:cs="Courier New"/>
          <w:iCs/>
        </w:rPr>
        <w:t>β</w:t>
      </w:r>
      <w:r>
        <w:rPr>
          <w:rFonts w:eastAsiaTheme="minorEastAsia"/>
          <w:iCs/>
        </w:rPr>
        <w:t xml:space="preserve"> </w:t>
      </w:r>
      <w:r w:rsidR="009632E9">
        <w:rPr>
          <w:rFonts w:eastAsiaTheme="minorEastAsia"/>
          <w:iCs/>
        </w:rPr>
        <w:t>ligeiramente superiores aos valores anteriores</w:t>
      </w:r>
      <w:r>
        <w:rPr>
          <w:rFonts w:eastAsiaTheme="minorEastAsia"/>
          <w:iCs/>
        </w:rPr>
        <w:t xml:space="preserve">. </w:t>
      </w:r>
      <w:bookmarkStart w:id="132" w:name="_Hlk54115668"/>
      <w:r>
        <w:rPr>
          <w:rFonts w:eastAsiaTheme="minorEastAsia"/>
          <w:iCs/>
        </w:rPr>
        <w:t>Ou seja, para cada unidade da D</w:t>
      </w:r>
      <w:r w:rsidR="000A23D0">
        <w:rPr>
          <w:rFonts w:eastAsiaTheme="minorEastAsia"/>
          <w:iCs/>
        </w:rPr>
        <w:t>E</w:t>
      </w:r>
      <w:r>
        <w:rPr>
          <w:rFonts w:eastAsiaTheme="minorEastAsia"/>
          <w:iCs/>
        </w:rPr>
        <w:t xml:space="preserve"> e </w:t>
      </w:r>
      <w:proofErr w:type="spellStart"/>
      <w:r>
        <w:rPr>
          <w:rFonts w:eastAsiaTheme="minorEastAsia"/>
          <w:iCs/>
        </w:rPr>
        <w:t>TxPI</w:t>
      </w:r>
      <w:proofErr w:type="spellEnd"/>
      <w:r>
        <w:rPr>
          <w:rFonts w:eastAsiaTheme="minorEastAsia"/>
          <w:iCs/>
        </w:rPr>
        <w:t xml:space="preserve">, há uma diminuição do ITM em 1,916 e 0,186, respetivamente. </w:t>
      </w:r>
      <w:bookmarkEnd w:id="132"/>
      <w:r>
        <w:rPr>
          <w:rFonts w:eastAsiaTheme="minorEastAsia"/>
          <w:iCs/>
        </w:rPr>
        <w:t>Por sua vez, a variável PA</w:t>
      </w:r>
      <w:r w:rsidR="00DA7015">
        <w:rPr>
          <w:rFonts w:eastAsiaTheme="minorEastAsia"/>
          <w:iCs/>
        </w:rPr>
        <w:t xml:space="preserve"> </w:t>
      </w:r>
      <w:r>
        <w:rPr>
          <w:rFonts w:eastAsiaTheme="minorEastAsia"/>
          <w:iCs/>
        </w:rPr>
        <w:t>é estatisticamente significativa para um nível de significância de 1%</w:t>
      </w:r>
      <w:r w:rsidR="009632E9">
        <w:rPr>
          <w:rFonts w:eastAsiaTheme="minorEastAsia"/>
          <w:iCs/>
        </w:rPr>
        <w:t xml:space="preserve">, logo, será uma determinante do nível de transparência municipal. Em relação aos valores </w:t>
      </w:r>
      <w:r w:rsidR="009632E9">
        <w:rPr>
          <w:rFonts w:ascii="Courier New" w:eastAsiaTheme="minorEastAsia" w:hAnsi="Courier New" w:cs="Courier New"/>
          <w:iCs/>
        </w:rPr>
        <w:t>β</w:t>
      </w:r>
      <w:r w:rsidR="009632E9">
        <w:rPr>
          <w:rFonts w:eastAsiaTheme="minorEastAsia"/>
          <w:iCs/>
        </w:rPr>
        <w:t xml:space="preserve"> do coeficiente, esta variável explicativa apresentam uma relação positiva com a variável dependente, como se verificou nos modelos anteriores, com a nuance de que nesta equação o valor é ligeiramente superior (</w:t>
      </w:r>
      <w:r w:rsidR="009632E9">
        <w:rPr>
          <w:rFonts w:ascii="Courier New" w:eastAsiaTheme="minorEastAsia" w:hAnsi="Courier New" w:cs="Courier New"/>
          <w:iCs/>
        </w:rPr>
        <w:t>β</w:t>
      </w:r>
      <w:r w:rsidR="009632E9">
        <w:rPr>
          <w:rFonts w:eastAsiaTheme="minorEastAsia"/>
          <w:iCs/>
        </w:rPr>
        <w:t xml:space="preserve"> = 0,163). Para cada unidade da PA, o ITM aumenta 0, 163. Em relação ao </w:t>
      </w:r>
      <m:oMath>
        <m:sSup>
          <m:sSupPr>
            <m:ctrlPr>
              <w:rPr>
                <w:rFonts w:ascii="Cambria Math" w:eastAsiaTheme="minorEastAsia" w:hAnsi="Cambria Math"/>
                <w:i/>
                <w:iCs/>
              </w:rPr>
            </m:ctrlPr>
          </m:sSupPr>
          <m:e>
            <m:r>
              <w:rPr>
                <w:rFonts w:ascii="Cambria Math" w:eastAsiaTheme="minorEastAsia" w:hAnsi="Cambria Math"/>
              </w:rPr>
              <m:t>R</m:t>
            </m:r>
          </m:e>
          <m:sup>
            <m:r>
              <w:rPr>
                <w:rFonts w:ascii="Cambria Math" w:eastAsiaTheme="minorEastAsia" w:hAnsi="Cambria Math"/>
              </w:rPr>
              <m:t>2</m:t>
            </m:r>
          </m:sup>
        </m:sSup>
      </m:oMath>
      <w:r w:rsidR="009632E9">
        <w:rPr>
          <w:rFonts w:eastAsiaTheme="minorEastAsia"/>
          <w:iCs/>
        </w:rPr>
        <w:t xml:space="preserve"> ajustado = 0,25, ou seja, estas variáveis explicativas explicam 25% da variável dependente, ITM.  Este valor de </w:t>
      </w:r>
      <m:oMath>
        <m:sSup>
          <m:sSupPr>
            <m:ctrlPr>
              <w:rPr>
                <w:rFonts w:ascii="Cambria Math" w:eastAsiaTheme="minorEastAsia" w:hAnsi="Cambria Math"/>
                <w:i/>
                <w:iCs/>
              </w:rPr>
            </m:ctrlPr>
          </m:sSupPr>
          <m:e>
            <m:r>
              <w:rPr>
                <w:rFonts w:ascii="Cambria Math" w:eastAsiaTheme="minorEastAsia" w:hAnsi="Cambria Math"/>
              </w:rPr>
              <m:t>R</m:t>
            </m:r>
          </m:e>
          <m:sup>
            <m:r>
              <w:rPr>
                <w:rFonts w:ascii="Cambria Math" w:eastAsiaTheme="minorEastAsia" w:hAnsi="Cambria Math"/>
              </w:rPr>
              <m:t>2</m:t>
            </m:r>
          </m:sup>
        </m:sSup>
      </m:oMath>
      <w:r w:rsidR="009632E9">
        <w:rPr>
          <w:rFonts w:eastAsiaTheme="minorEastAsia"/>
          <w:iCs/>
        </w:rPr>
        <w:t xml:space="preserve"> é ligeiramente superior ao das restantes equações apresentadas.</w:t>
      </w:r>
      <w:r w:rsidR="00302E68">
        <w:rPr>
          <w:rFonts w:eastAsiaTheme="minorEastAsia"/>
          <w:iCs/>
        </w:rPr>
        <w:t xml:space="preserve"> Contudo, como em ambas as equações, as variáveis, que foram consideradas que explicam melhor o ITM, foram sempre as mesmas, a D</w:t>
      </w:r>
      <w:r w:rsidR="000A23D0">
        <w:rPr>
          <w:rFonts w:eastAsiaTheme="minorEastAsia"/>
          <w:iCs/>
        </w:rPr>
        <w:t>E</w:t>
      </w:r>
      <w:r w:rsidR="00302E68">
        <w:rPr>
          <w:rFonts w:eastAsiaTheme="minorEastAsia"/>
          <w:iCs/>
        </w:rPr>
        <w:t xml:space="preserve">, a </w:t>
      </w:r>
      <w:proofErr w:type="spellStart"/>
      <w:r w:rsidR="00302E68">
        <w:rPr>
          <w:rFonts w:eastAsiaTheme="minorEastAsia"/>
          <w:iCs/>
        </w:rPr>
        <w:t>TxPI</w:t>
      </w:r>
      <w:proofErr w:type="spellEnd"/>
      <w:r w:rsidR="00E62933">
        <w:rPr>
          <w:rFonts w:eastAsiaTheme="minorEastAsia"/>
          <w:iCs/>
        </w:rPr>
        <w:t xml:space="preserve"> </w:t>
      </w:r>
      <w:r w:rsidR="00302E68">
        <w:rPr>
          <w:rFonts w:eastAsiaTheme="minorEastAsia"/>
          <w:iCs/>
        </w:rPr>
        <w:t>e a PA</w:t>
      </w:r>
      <w:r w:rsidR="00E62933">
        <w:rPr>
          <w:rFonts w:eastAsiaTheme="minorEastAsia"/>
          <w:iCs/>
        </w:rPr>
        <w:t xml:space="preserve"> </w:t>
      </w:r>
      <w:r w:rsidR="00302E68">
        <w:rPr>
          <w:rFonts w:eastAsiaTheme="minorEastAsia"/>
          <w:iCs/>
        </w:rPr>
        <w:t xml:space="preserve">este aumento não apresenta grande impacto. </w:t>
      </w:r>
    </w:p>
    <w:p w14:paraId="4025EE6D" w14:textId="342914D5" w:rsidR="009A5B7B" w:rsidRDefault="009A5B7B" w:rsidP="0078162F">
      <w:pPr>
        <w:spacing w:line="360" w:lineRule="auto"/>
        <w:jc w:val="both"/>
        <w:rPr>
          <w:rFonts w:cs="Times New Roman"/>
          <w:szCs w:val="24"/>
        </w:rPr>
      </w:pPr>
      <w:r>
        <w:rPr>
          <w:rFonts w:cs="Times New Roman"/>
          <w:szCs w:val="24"/>
        </w:rPr>
        <w:t>A análise dos resultados via modelos de regressão linear múltipla com dados em painel permite:</w:t>
      </w:r>
    </w:p>
    <w:p w14:paraId="24757178" w14:textId="09933D52" w:rsidR="0078162F" w:rsidRPr="009E55D5" w:rsidRDefault="009A5B7B" w:rsidP="0078162F">
      <w:pPr>
        <w:spacing w:line="360" w:lineRule="auto"/>
        <w:jc w:val="both"/>
        <w:rPr>
          <w:rFonts w:cs="Times New Roman"/>
        </w:rPr>
      </w:pPr>
      <w:r>
        <w:rPr>
          <w:rFonts w:cs="Times New Roman"/>
        </w:rPr>
        <w:t>Relativamente</w:t>
      </w:r>
      <w:r w:rsidR="0078162F" w:rsidRPr="009E55D5">
        <w:rPr>
          <w:rFonts w:cs="Times New Roman"/>
        </w:rPr>
        <w:t xml:space="preserve"> à </w:t>
      </w:r>
      <w:r w:rsidR="00E02A6C">
        <w:rPr>
          <w:rFonts w:cs="Times New Roman"/>
        </w:rPr>
        <w:t>h</w:t>
      </w:r>
      <w:r w:rsidR="0078162F" w:rsidRPr="009E55D5">
        <w:rPr>
          <w:rFonts w:cs="Times New Roman"/>
        </w:rPr>
        <w:t xml:space="preserve">ipótese 2: </w:t>
      </w:r>
      <w:r w:rsidR="0078162F" w:rsidRPr="009E55D5">
        <w:rPr>
          <w:rFonts w:cs="Times New Roman"/>
          <w:i/>
          <w:iCs/>
        </w:rPr>
        <w:t xml:space="preserve">Maior </w:t>
      </w:r>
      <w:r w:rsidR="0078162F" w:rsidRPr="00884E4D">
        <w:rPr>
          <w:rFonts w:cs="Times New Roman"/>
          <w:i/>
          <w:iCs/>
        </w:rPr>
        <w:t>competição política</w:t>
      </w:r>
      <w:r w:rsidR="0078162F">
        <w:rPr>
          <w:rFonts w:cs="Times New Roman"/>
          <w:i/>
          <w:iCs/>
        </w:rPr>
        <w:t xml:space="preserve"> implica</w:t>
      </w:r>
      <w:r w:rsidR="0078162F" w:rsidRPr="009E55D5">
        <w:rPr>
          <w:rFonts w:cs="Times New Roman"/>
          <w:i/>
          <w:iCs/>
        </w:rPr>
        <w:t xml:space="preserve"> maior nível de transparência,</w:t>
      </w:r>
      <w:r w:rsidR="0078162F">
        <w:rPr>
          <w:rFonts w:cs="Times New Roman"/>
          <w:i/>
          <w:iCs/>
        </w:rPr>
        <w:t xml:space="preserve"> </w:t>
      </w:r>
      <w:r w:rsidR="0078162F" w:rsidRPr="009E55D5">
        <w:rPr>
          <w:rFonts w:cs="Times New Roman"/>
        </w:rPr>
        <w:t xml:space="preserve">pelos resultados obtidos pelo </w:t>
      </w:r>
      <w:r w:rsidR="00497E1B">
        <w:rPr>
          <w:rFonts w:cs="Times New Roman"/>
        </w:rPr>
        <w:t>m</w:t>
      </w:r>
      <w:r w:rsidR="0078162F" w:rsidRPr="009E55D5">
        <w:rPr>
          <w:rFonts w:cs="Times New Roman"/>
        </w:rPr>
        <w:t xml:space="preserve">odelo de </w:t>
      </w:r>
      <w:r w:rsidR="00497E1B">
        <w:rPr>
          <w:rFonts w:cs="Times New Roman"/>
        </w:rPr>
        <w:t>r</w:t>
      </w:r>
      <w:r w:rsidR="0078162F" w:rsidRPr="009E55D5">
        <w:rPr>
          <w:rFonts w:cs="Times New Roman"/>
        </w:rPr>
        <w:t xml:space="preserve">egressão </w:t>
      </w:r>
      <w:r w:rsidR="00497E1B">
        <w:rPr>
          <w:rFonts w:cs="Times New Roman"/>
        </w:rPr>
        <w:t>l</w:t>
      </w:r>
      <w:r w:rsidR="0078162F" w:rsidRPr="009E55D5">
        <w:rPr>
          <w:rFonts w:cs="Times New Roman"/>
        </w:rPr>
        <w:t xml:space="preserve">inear </w:t>
      </w:r>
      <w:r w:rsidR="00497E1B">
        <w:rPr>
          <w:rFonts w:cs="Times New Roman"/>
        </w:rPr>
        <w:t>m</w:t>
      </w:r>
      <w:r w:rsidR="0078162F" w:rsidRPr="009E55D5">
        <w:rPr>
          <w:rFonts w:cs="Times New Roman"/>
        </w:rPr>
        <w:t xml:space="preserve">últipla com </w:t>
      </w:r>
      <w:r w:rsidR="00497E1B">
        <w:rPr>
          <w:rFonts w:cs="Times New Roman"/>
        </w:rPr>
        <w:t>d</w:t>
      </w:r>
      <w:r w:rsidR="0078162F" w:rsidRPr="009E55D5">
        <w:rPr>
          <w:rFonts w:cs="Times New Roman"/>
        </w:rPr>
        <w:t xml:space="preserve">ados em </w:t>
      </w:r>
      <w:r w:rsidR="00497E1B">
        <w:rPr>
          <w:rFonts w:cs="Times New Roman"/>
        </w:rPr>
        <w:t>p</w:t>
      </w:r>
      <w:r w:rsidR="0078162F" w:rsidRPr="009E55D5">
        <w:rPr>
          <w:rFonts w:cs="Times New Roman"/>
        </w:rPr>
        <w:t>ainel</w:t>
      </w:r>
      <w:r w:rsidR="0078162F">
        <w:rPr>
          <w:rFonts w:cs="Times New Roman"/>
        </w:rPr>
        <w:t xml:space="preserve">, a variável </w:t>
      </w:r>
      <w:r w:rsidR="003E51D5">
        <w:rPr>
          <w:rFonts w:cs="Times New Roman"/>
        </w:rPr>
        <w:t xml:space="preserve">não </w:t>
      </w:r>
      <w:r w:rsidR="0078162F">
        <w:rPr>
          <w:rFonts w:cs="Times New Roman"/>
        </w:rPr>
        <w:t>foi considerada estatisticamente significativa (</w:t>
      </w:r>
      <w:r w:rsidR="00793028">
        <w:rPr>
          <w:rFonts w:cs="Times New Roman"/>
          <w:i/>
          <w:iCs/>
        </w:rPr>
        <w:t>p-</w:t>
      </w:r>
      <w:proofErr w:type="spellStart"/>
      <w:r w:rsidR="00793028">
        <w:rPr>
          <w:rFonts w:cs="Times New Roman"/>
          <w:i/>
          <w:iCs/>
        </w:rPr>
        <w:t>value</w:t>
      </w:r>
      <w:proofErr w:type="spellEnd"/>
      <w:r w:rsidR="0078162F">
        <w:rPr>
          <w:rFonts w:cs="Times New Roman"/>
        </w:rPr>
        <w:t xml:space="preserve"> = 0,54</w:t>
      </w:r>
      <w:r>
        <w:rPr>
          <w:rFonts w:cs="Times New Roman"/>
        </w:rPr>
        <w:t>).</w:t>
      </w:r>
      <w:r w:rsidR="0078162F">
        <w:rPr>
          <w:rFonts w:cs="Times New Roman"/>
        </w:rPr>
        <w:t xml:space="preserve"> </w:t>
      </w:r>
    </w:p>
    <w:p w14:paraId="488EDD7D" w14:textId="123CD7BD" w:rsidR="0078162F" w:rsidRPr="009E55D5" w:rsidRDefault="0078162F" w:rsidP="0078162F">
      <w:pPr>
        <w:tabs>
          <w:tab w:val="left" w:pos="426"/>
        </w:tabs>
        <w:spacing w:beforeLines="60" w:before="144" w:afterLines="60" w:after="144" w:line="360" w:lineRule="auto"/>
        <w:jc w:val="both"/>
        <w:rPr>
          <w:rFonts w:cs="Times New Roman"/>
        </w:rPr>
      </w:pPr>
      <w:r w:rsidRPr="009E55D5">
        <w:rPr>
          <w:rFonts w:cs="Times New Roman"/>
        </w:rPr>
        <w:lastRenderedPageBreak/>
        <w:t xml:space="preserve">Quanto à </w:t>
      </w:r>
      <w:r w:rsidR="00E02A6C">
        <w:rPr>
          <w:rFonts w:cs="Times New Roman"/>
        </w:rPr>
        <w:t>h</w:t>
      </w:r>
      <w:r w:rsidRPr="009E55D5">
        <w:rPr>
          <w:rFonts w:cs="Times New Roman"/>
        </w:rPr>
        <w:t xml:space="preserve">ipótese 3: </w:t>
      </w:r>
      <w:r w:rsidRPr="009E55D5">
        <w:rPr>
          <w:rFonts w:cs="Times New Roman"/>
          <w:i/>
          <w:iCs/>
          <w:lang w:eastAsia="pt-PT"/>
        </w:rPr>
        <w:t xml:space="preserve">O valor de </w:t>
      </w:r>
      <w:r w:rsidRPr="00884E4D">
        <w:rPr>
          <w:rFonts w:cs="Times New Roman"/>
          <w:i/>
          <w:iCs/>
          <w:lang w:eastAsia="pt-PT"/>
        </w:rPr>
        <w:t>endividamento influencia</w:t>
      </w:r>
      <w:r w:rsidRPr="009E55D5">
        <w:rPr>
          <w:rFonts w:cs="Times New Roman"/>
          <w:i/>
          <w:iCs/>
          <w:lang w:eastAsia="pt-PT"/>
        </w:rPr>
        <w:t xml:space="preserve"> a transparência</w:t>
      </w:r>
      <w:r>
        <w:rPr>
          <w:rFonts w:cs="Times New Roman"/>
          <w:i/>
          <w:iCs/>
          <w:lang w:eastAsia="pt-PT"/>
        </w:rPr>
        <w:t xml:space="preserve">, </w:t>
      </w:r>
      <w:r w:rsidRPr="009E55D5">
        <w:rPr>
          <w:rFonts w:cs="Times New Roman"/>
        </w:rPr>
        <w:t xml:space="preserve">os resultados obtidos, através do </w:t>
      </w:r>
      <w:r w:rsidR="00497E1B">
        <w:rPr>
          <w:rFonts w:cs="Times New Roman"/>
        </w:rPr>
        <w:t>m</w:t>
      </w:r>
      <w:r w:rsidRPr="009E55D5">
        <w:rPr>
          <w:rFonts w:cs="Times New Roman"/>
        </w:rPr>
        <w:t>odel</w:t>
      </w:r>
      <w:r w:rsidR="00072CE1">
        <w:rPr>
          <w:rFonts w:cs="Times New Roman"/>
        </w:rPr>
        <w:t xml:space="preserve">o de </w:t>
      </w:r>
      <w:r w:rsidR="00497E1B">
        <w:rPr>
          <w:rFonts w:cs="Times New Roman"/>
        </w:rPr>
        <w:t>r</w:t>
      </w:r>
      <w:r w:rsidR="00072CE1">
        <w:rPr>
          <w:rFonts w:cs="Times New Roman"/>
        </w:rPr>
        <w:t xml:space="preserve">egressão </w:t>
      </w:r>
      <w:r w:rsidR="00497E1B">
        <w:rPr>
          <w:rFonts w:cs="Times New Roman"/>
        </w:rPr>
        <w:t>l</w:t>
      </w:r>
      <w:r w:rsidR="00072CE1">
        <w:rPr>
          <w:rFonts w:cs="Times New Roman"/>
        </w:rPr>
        <w:t xml:space="preserve">inear </w:t>
      </w:r>
      <w:r w:rsidR="00497E1B">
        <w:rPr>
          <w:rFonts w:cs="Times New Roman"/>
        </w:rPr>
        <w:t>m</w:t>
      </w:r>
      <w:r w:rsidR="00072CE1">
        <w:rPr>
          <w:rFonts w:cs="Times New Roman"/>
        </w:rPr>
        <w:t>últipla</w:t>
      </w:r>
      <w:r w:rsidRPr="009E55D5">
        <w:rPr>
          <w:rFonts w:cs="Times New Roman"/>
        </w:rPr>
        <w:t xml:space="preserve"> com </w:t>
      </w:r>
      <w:r w:rsidR="00497E1B">
        <w:rPr>
          <w:rFonts w:cs="Times New Roman"/>
        </w:rPr>
        <w:t>d</w:t>
      </w:r>
      <w:r w:rsidRPr="009E55D5">
        <w:rPr>
          <w:rFonts w:cs="Times New Roman"/>
        </w:rPr>
        <w:t xml:space="preserve">ados em </w:t>
      </w:r>
      <w:r w:rsidR="00497E1B">
        <w:rPr>
          <w:rFonts w:cs="Times New Roman"/>
        </w:rPr>
        <w:t>p</w:t>
      </w:r>
      <w:r w:rsidRPr="009E55D5">
        <w:rPr>
          <w:rFonts w:cs="Times New Roman"/>
        </w:rPr>
        <w:t>ainel</w:t>
      </w:r>
      <w:r>
        <w:rPr>
          <w:rFonts w:cs="Times New Roman"/>
        </w:rPr>
        <w:t>, permitiram concluir que esta variável não é estatisticamente significativa (</w:t>
      </w:r>
      <w:r w:rsidR="00793028" w:rsidRPr="00793028">
        <w:rPr>
          <w:rFonts w:cs="Times New Roman"/>
          <w:i/>
          <w:iCs/>
        </w:rPr>
        <w:t>p-</w:t>
      </w:r>
      <w:proofErr w:type="spellStart"/>
      <w:r w:rsidR="00793028" w:rsidRPr="00793028">
        <w:rPr>
          <w:rFonts w:cs="Times New Roman"/>
          <w:i/>
          <w:iCs/>
        </w:rPr>
        <w:t>value</w:t>
      </w:r>
      <w:proofErr w:type="spellEnd"/>
      <w:r>
        <w:rPr>
          <w:rFonts w:cs="Times New Roman"/>
        </w:rPr>
        <w:t xml:space="preserve"> = 0,46)</w:t>
      </w:r>
      <w:r w:rsidR="00A874B9">
        <w:rPr>
          <w:rFonts w:cs="Times New Roman"/>
        </w:rPr>
        <w:t xml:space="preserve"> não sendo, por isso, explicativa</w:t>
      </w:r>
      <w:r>
        <w:rPr>
          <w:rFonts w:cs="Times New Roman"/>
        </w:rPr>
        <w:t xml:space="preserve">. </w:t>
      </w:r>
    </w:p>
    <w:p w14:paraId="2BD3D688" w14:textId="42C208A3" w:rsidR="0078162F" w:rsidRPr="001747AF" w:rsidRDefault="0078162F" w:rsidP="0078162F">
      <w:pPr>
        <w:tabs>
          <w:tab w:val="left" w:pos="426"/>
        </w:tabs>
        <w:spacing w:beforeLines="60" w:before="144" w:afterLines="60" w:after="144" w:line="360" w:lineRule="auto"/>
        <w:jc w:val="both"/>
        <w:rPr>
          <w:rFonts w:cs="Times New Roman"/>
          <w:lang w:eastAsia="pt-PT"/>
        </w:rPr>
      </w:pPr>
      <w:r w:rsidRPr="001747AF">
        <w:rPr>
          <w:rFonts w:cs="Times New Roman"/>
          <w:lang w:eastAsia="pt-PT"/>
        </w:rPr>
        <w:t xml:space="preserve">Relativamente à </w:t>
      </w:r>
      <w:r w:rsidR="00E02A6C">
        <w:rPr>
          <w:rFonts w:cs="Times New Roman"/>
          <w:lang w:eastAsia="pt-PT"/>
        </w:rPr>
        <w:t>h</w:t>
      </w:r>
      <w:r w:rsidRPr="001747AF">
        <w:rPr>
          <w:rFonts w:cs="Times New Roman"/>
          <w:lang w:eastAsia="pt-PT"/>
        </w:rPr>
        <w:t>ipótese 4:</w:t>
      </w:r>
      <w:r>
        <w:rPr>
          <w:rFonts w:cs="Times New Roman"/>
          <w:i/>
          <w:iCs/>
          <w:lang w:eastAsia="pt-PT"/>
        </w:rPr>
        <w:t xml:space="preserve"> </w:t>
      </w:r>
      <w:r w:rsidRPr="001747AF">
        <w:rPr>
          <w:rFonts w:cs="Times New Roman"/>
          <w:i/>
          <w:iCs/>
          <w:lang w:eastAsia="pt-PT"/>
        </w:rPr>
        <w:t xml:space="preserve">A </w:t>
      </w:r>
      <w:r w:rsidR="000A23D0" w:rsidRPr="000A23D0">
        <w:rPr>
          <w:rFonts w:eastAsiaTheme="minorEastAsia" w:cs="Times New Roman"/>
          <w:i/>
          <w:iCs/>
        </w:rPr>
        <w:t>despesa efetiva per capita</w:t>
      </w:r>
      <w:r w:rsidR="000A23D0">
        <w:rPr>
          <w:rFonts w:eastAsiaTheme="minorEastAsia" w:cs="Times New Roman"/>
        </w:rPr>
        <w:t xml:space="preserve"> </w:t>
      </w:r>
      <w:r w:rsidRPr="001747AF">
        <w:rPr>
          <w:rFonts w:cs="Times New Roman"/>
          <w:i/>
          <w:iCs/>
          <w:lang w:eastAsia="pt-PT"/>
        </w:rPr>
        <w:t>influencia o nível de transparência</w:t>
      </w:r>
      <w:r>
        <w:rPr>
          <w:rFonts w:cs="Times New Roman"/>
          <w:i/>
          <w:iCs/>
          <w:lang w:eastAsia="pt-PT"/>
        </w:rPr>
        <w:t xml:space="preserve">, </w:t>
      </w:r>
      <w:r w:rsidRPr="001747AF">
        <w:rPr>
          <w:rFonts w:cs="Times New Roman"/>
          <w:lang w:eastAsia="pt-PT"/>
        </w:rPr>
        <w:t xml:space="preserve">através dos resultados obtidos pelo </w:t>
      </w:r>
      <w:r w:rsidR="00497E1B">
        <w:rPr>
          <w:rFonts w:cs="Times New Roman"/>
          <w:lang w:eastAsia="pt-PT"/>
        </w:rPr>
        <w:t>m</w:t>
      </w:r>
      <w:r w:rsidRPr="001747AF">
        <w:rPr>
          <w:rFonts w:cs="Times New Roman"/>
          <w:lang w:eastAsia="pt-PT"/>
        </w:rPr>
        <w:t xml:space="preserve">odelo de </w:t>
      </w:r>
      <w:r w:rsidR="00497E1B">
        <w:rPr>
          <w:rFonts w:cs="Times New Roman"/>
          <w:lang w:eastAsia="pt-PT"/>
        </w:rPr>
        <w:t>r</w:t>
      </w:r>
      <w:r w:rsidRPr="001747AF">
        <w:rPr>
          <w:rFonts w:cs="Times New Roman"/>
          <w:lang w:eastAsia="pt-PT"/>
        </w:rPr>
        <w:t xml:space="preserve">egressão </w:t>
      </w:r>
      <w:r w:rsidR="00497E1B">
        <w:rPr>
          <w:rFonts w:cs="Times New Roman"/>
          <w:lang w:eastAsia="pt-PT"/>
        </w:rPr>
        <w:t>l</w:t>
      </w:r>
      <w:r w:rsidRPr="001747AF">
        <w:rPr>
          <w:rFonts w:cs="Times New Roman"/>
          <w:lang w:eastAsia="pt-PT"/>
        </w:rPr>
        <w:t xml:space="preserve">inear </w:t>
      </w:r>
      <w:r w:rsidR="00497E1B">
        <w:rPr>
          <w:rFonts w:cs="Times New Roman"/>
          <w:lang w:eastAsia="pt-PT"/>
        </w:rPr>
        <w:t>m</w:t>
      </w:r>
      <w:r>
        <w:rPr>
          <w:rFonts w:cs="Times New Roman"/>
          <w:lang w:eastAsia="pt-PT"/>
        </w:rPr>
        <w:t xml:space="preserve">últipla </w:t>
      </w:r>
      <w:r w:rsidRPr="001747AF">
        <w:rPr>
          <w:rFonts w:cs="Times New Roman"/>
          <w:lang w:eastAsia="pt-PT"/>
        </w:rPr>
        <w:t xml:space="preserve">com </w:t>
      </w:r>
      <w:r w:rsidR="00497E1B">
        <w:rPr>
          <w:rFonts w:cs="Times New Roman"/>
          <w:lang w:eastAsia="pt-PT"/>
        </w:rPr>
        <w:t>d</w:t>
      </w:r>
      <w:r w:rsidRPr="001747AF">
        <w:rPr>
          <w:rFonts w:cs="Times New Roman"/>
          <w:lang w:eastAsia="pt-PT"/>
        </w:rPr>
        <w:t xml:space="preserve">ados em </w:t>
      </w:r>
      <w:r w:rsidR="00497E1B">
        <w:rPr>
          <w:rFonts w:cs="Times New Roman"/>
          <w:lang w:eastAsia="pt-PT"/>
        </w:rPr>
        <w:t>p</w:t>
      </w:r>
      <w:r w:rsidRPr="001747AF">
        <w:rPr>
          <w:rFonts w:cs="Times New Roman"/>
          <w:lang w:eastAsia="pt-PT"/>
        </w:rPr>
        <w:t>ainel</w:t>
      </w:r>
      <w:r>
        <w:rPr>
          <w:rFonts w:cs="Times New Roman"/>
          <w:lang w:eastAsia="pt-PT"/>
        </w:rPr>
        <w:t xml:space="preserve">, pode-se confirmar esta hipótese uma vez que para cada unidade da </w:t>
      </w:r>
      <w:r w:rsidR="000A23D0">
        <w:rPr>
          <w:rFonts w:eastAsiaTheme="minorEastAsia" w:cs="Times New Roman"/>
        </w:rPr>
        <w:t xml:space="preserve">despesa efetiva </w:t>
      </w:r>
      <w:r w:rsidR="000A23D0" w:rsidRPr="00506E82">
        <w:rPr>
          <w:rFonts w:eastAsiaTheme="minorEastAsia" w:cs="Times New Roman"/>
          <w:i/>
          <w:iCs/>
        </w:rPr>
        <w:t>per capita</w:t>
      </w:r>
      <w:r w:rsidR="000A23D0">
        <w:rPr>
          <w:rFonts w:eastAsiaTheme="minorEastAsia" w:cs="Times New Roman"/>
        </w:rPr>
        <w:t xml:space="preserve"> </w:t>
      </w:r>
      <w:r>
        <w:rPr>
          <w:rFonts w:cs="Times New Roman"/>
          <w:lang w:eastAsia="pt-PT"/>
        </w:rPr>
        <w:t xml:space="preserve">existe uma diminuição do </w:t>
      </w:r>
      <w:r w:rsidR="00497E1B">
        <w:rPr>
          <w:rFonts w:cs="Times New Roman"/>
          <w:lang w:eastAsia="pt-PT"/>
        </w:rPr>
        <w:t>í</w:t>
      </w:r>
      <w:r>
        <w:rPr>
          <w:rFonts w:cs="Times New Roman"/>
          <w:lang w:eastAsia="pt-PT"/>
        </w:rPr>
        <w:t xml:space="preserve">ndice de </w:t>
      </w:r>
      <w:r w:rsidR="00497E1B">
        <w:rPr>
          <w:rFonts w:cs="Times New Roman"/>
          <w:lang w:eastAsia="pt-PT"/>
        </w:rPr>
        <w:t>t</w:t>
      </w:r>
      <w:r>
        <w:rPr>
          <w:rFonts w:cs="Times New Roman"/>
          <w:lang w:eastAsia="pt-PT"/>
        </w:rPr>
        <w:t xml:space="preserve">ransparência </w:t>
      </w:r>
      <w:r w:rsidR="00497E1B">
        <w:rPr>
          <w:rFonts w:cs="Times New Roman"/>
          <w:lang w:eastAsia="pt-PT"/>
        </w:rPr>
        <w:t>m</w:t>
      </w:r>
      <w:r>
        <w:rPr>
          <w:rFonts w:cs="Times New Roman"/>
          <w:lang w:eastAsia="pt-PT"/>
        </w:rPr>
        <w:t xml:space="preserve">unicipal em 1,916. </w:t>
      </w:r>
    </w:p>
    <w:p w14:paraId="78D9FC3D" w14:textId="1131FF71" w:rsidR="0078162F" w:rsidRPr="009E55D5" w:rsidRDefault="0078162F" w:rsidP="0078162F">
      <w:pPr>
        <w:spacing w:line="360" w:lineRule="auto"/>
        <w:jc w:val="both"/>
        <w:rPr>
          <w:rFonts w:cs="Times New Roman"/>
          <w:lang w:eastAsia="pt-PT"/>
        </w:rPr>
      </w:pPr>
      <w:r w:rsidRPr="009E55D5">
        <w:rPr>
          <w:rFonts w:cs="Times New Roman"/>
        </w:rPr>
        <w:t xml:space="preserve">Quanto </w:t>
      </w:r>
      <w:r>
        <w:rPr>
          <w:rFonts w:cs="Times New Roman"/>
        </w:rPr>
        <w:t>à</w:t>
      </w:r>
      <w:r w:rsidRPr="009E55D5">
        <w:rPr>
          <w:rFonts w:cs="Times New Roman"/>
        </w:rPr>
        <w:t xml:space="preserve"> </w:t>
      </w:r>
      <w:r w:rsidR="00F338BB">
        <w:rPr>
          <w:rFonts w:cs="Times New Roman"/>
        </w:rPr>
        <w:t>h</w:t>
      </w:r>
      <w:r w:rsidRPr="009E55D5">
        <w:rPr>
          <w:rFonts w:cs="Times New Roman"/>
        </w:rPr>
        <w:t xml:space="preserve">ipótese 5: </w:t>
      </w:r>
      <w:r w:rsidRPr="009E55D5">
        <w:rPr>
          <w:rFonts w:cs="Times New Roman"/>
          <w:i/>
          <w:iCs/>
          <w:lang w:eastAsia="pt-PT"/>
        </w:rPr>
        <w:t xml:space="preserve">Quanto maior a </w:t>
      </w:r>
      <w:r w:rsidRPr="00841FB3">
        <w:rPr>
          <w:rFonts w:cs="Times New Roman"/>
          <w:i/>
          <w:iCs/>
          <w:lang w:eastAsia="pt-PT"/>
        </w:rPr>
        <w:t>população residente</w:t>
      </w:r>
      <w:r w:rsidRPr="009E55D5">
        <w:rPr>
          <w:rFonts w:cs="Times New Roman"/>
          <w:i/>
          <w:iCs/>
          <w:lang w:eastAsia="pt-PT"/>
        </w:rPr>
        <w:t xml:space="preserve"> maior </w:t>
      </w:r>
      <w:r>
        <w:rPr>
          <w:rFonts w:cs="Times New Roman"/>
          <w:i/>
          <w:iCs/>
          <w:lang w:eastAsia="pt-PT"/>
        </w:rPr>
        <w:t xml:space="preserve">o </w:t>
      </w:r>
      <w:r w:rsidRPr="009E55D5">
        <w:rPr>
          <w:rFonts w:cs="Times New Roman"/>
          <w:i/>
          <w:iCs/>
          <w:lang w:eastAsia="pt-PT"/>
        </w:rPr>
        <w:t>nível de transparência</w:t>
      </w:r>
      <w:r>
        <w:rPr>
          <w:rFonts w:cs="Times New Roman"/>
          <w:i/>
          <w:iCs/>
          <w:lang w:eastAsia="pt-PT"/>
        </w:rPr>
        <w:t xml:space="preserve">, </w:t>
      </w:r>
      <w:r>
        <w:rPr>
          <w:rFonts w:cs="Times New Roman"/>
          <w:lang w:eastAsia="pt-PT"/>
        </w:rPr>
        <w:t xml:space="preserve">através dos resultados obtidos pelo </w:t>
      </w:r>
      <w:r w:rsidR="00497E1B">
        <w:rPr>
          <w:rFonts w:cs="Times New Roman"/>
          <w:lang w:eastAsia="pt-PT"/>
        </w:rPr>
        <w:t>m</w:t>
      </w:r>
      <w:r>
        <w:rPr>
          <w:rFonts w:cs="Times New Roman"/>
          <w:lang w:eastAsia="pt-PT"/>
        </w:rPr>
        <w:t xml:space="preserve">odelo de </w:t>
      </w:r>
      <w:r w:rsidR="00497E1B">
        <w:rPr>
          <w:rFonts w:cs="Times New Roman"/>
          <w:lang w:eastAsia="pt-PT"/>
        </w:rPr>
        <w:t>r</w:t>
      </w:r>
      <w:r>
        <w:rPr>
          <w:rFonts w:cs="Times New Roman"/>
          <w:lang w:eastAsia="pt-PT"/>
        </w:rPr>
        <w:t xml:space="preserve">egressão </w:t>
      </w:r>
      <w:r w:rsidR="00497E1B">
        <w:rPr>
          <w:rFonts w:cs="Times New Roman"/>
          <w:lang w:eastAsia="pt-PT"/>
        </w:rPr>
        <w:t>l</w:t>
      </w:r>
      <w:r>
        <w:rPr>
          <w:rFonts w:cs="Times New Roman"/>
          <w:lang w:eastAsia="pt-PT"/>
        </w:rPr>
        <w:t xml:space="preserve">inear </w:t>
      </w:r>
      <w:r w:rsidR="00497E1B">
        <w:rPr>
          <w:rFonts w:cs="Times New Roman"/>
          <w:lang w:eastAsia="pt-PT"/>
        </w:rPr>
        <w:t>m</w:t>
      </w:r>
      <w:r>
        <w:rPr>
          <w:rFonts w:cs="Times New Roman"/>
          <w:lang w:eastAsia="pt-PT"/>
        </w:rPr>
        <w:t xml:space="preserve">últipla com </w:t>
      </w:r>
      <w:r w:rsidR="00497E1B">
        <w:rPr>
          <w:rFonts w:cs="Times New Roman"/>
          <w:lang w:eastAsia="pt-PT"/>
        </w:rPr>
        <w:t>d</w:t>
      </w:r>
      <w:r>
        <w:rPr>
          <w:rFonts w:cs="Times New Roman"/>
          <w:lang w:eastAsia="pt-PT"/>
        </w:rPr>
        <w:t xml:space="preserve">ados em </w:t>
      </w:r>
      <w:r w:rsidR="00497E1B">
        <w:rPr>
          <w:rFonts w:cs="Times New Roman"/>
          <w:lang w:eastAsia="pt-PT"/>
        </w:rPr>
        <w:t>p</w:t>
      </w:r>
      <w:r>
        <w:rPr>
          <w:rFonts w:cs="Times New Roman"/>
          <w:lang w:eastAsia="pt-PT"/>
        </w:rPr>
        <w:t>ainel, esta variável foi considerada como não estatisticamente significativa (</w:t>
      </w:r>
      <w:r w:rsidR="00793028">
        <w:rPr>
          <w:rFonts w:cs="Times New Roman"/>
          <w:i/>
          <w:iCs/>
          <w:lang w:eastAsia="pt-PT"/>
        </w:rPr>
        <w:t>p-</w:t>
      </w:r>
      <w:proofErr w:type="spellStart"/>
      <w:r w:rsidR="00793028">
        <w:rPr>
          <w:rFonts w:cs="Times New Roman"/>
          <w:i/>
          <w:iCs/>
          <w:lang w:eastAsia="pt-PT"/>
        </w:rPr>
        <w:t>value</w:t>
      </w:r>
      <w:proofErr w:type="spellEnd"/>
      <w:r>
        <w:rPr>
          <w:rFonts w:cs="Times New Roman"/>
          <w:lang w:eastAsia="pt-PT"/>
        </w:rPr>
        <w:t xml:space="preserve"> = 0,45)</w:t>
      </w:r>
      <w:r w:rsidR="00A874B9">
        <w:rPr>
          <w:rFonts w:cs="Times New Roman"/>
          <w:lang w:eastAsia="pt-PT"/>
        </w:rPr>
        <w:t>, logo, não é explicativa</w:t>
      </w:r>
      <w:r>
        <w:rPr>
          <w:rFonts w:cs="Times New Roman"/>
          <w:lang w:eastAsia="pt-PT"/>
        </w:rPr>
        <w:t>.</w:t>
      </w:r>
    </w:p>
    <w:p w14:paraId="5DAEB262" w14:textId="0D0AE992" w:rsidR="0078162F" w:rsidRDefault="0078162F" w:rsidP="0078162F">
      <w:pPr>
        <w:spacing w:line="360" w:lineRule="auto"/>
        <w:jc w:val="both"/>
        <w:rPr>
          <w:rFonts w:cs="Times New Roman"/>
          <w:lang w:eastAsia="pt-PT"/>
        </w:rPr>
      </w:pPr>
      <w:r w:rsidRPr="001747AF">
        <w:rPr>
          <w:rFonts w:cs="Times New Roman"/>
          <w:lang w:eastAsia="pt-PT"/>
        </w:rPr>
        <w:t xml:space="preserve">No que respeita à </w:t>
      </w:r>
      <w:r w:rsidR="00E02A6C">
        <w:rPr>
          <w:rFonts w:cs="Times New Roman"/>
          <w:lang w:eastAsia="pt-PT"/>
        </w:rPr>
        <w:t>h</w:t>
      </w:r>
      <w:r w:rsidRPr="001747AF">
        <w:rPr>
          <w:rFonts w:cs="Times New Roman"/>
          <w:lang w:eastAsia="pt-PT"/>
        </w:rPr>
        <w:t>ipótese 6:</w:t>
      </w:r>
      <w:r>
        <w:rPr>
          <w:rFonts w:cs="Times New Roman"/>
          <w:i/>
          <w:iCs/>
          <w:lang w:eastAsia="pt-PT"/>
        </w:rPr>
        <w:t xml:space="preserve"> Quanto maior a taxa de população idosa maior o nível de transparência</w:t>
      </w:r>
      <w:r w:rsidR="009A5B7B">
        <w:rPr>
          <w:rFonts w:cs="Times New Roman"/>
          <w:i/>
          <w:iCs/>
          <w:lang w:eastAsia="pt-PT"/>
        </w:rPr>
        <w:t xml:space="preserve">, </w:t>
      </w:r>
      <w:r w:rsidR="009A5B7B" w:rsidRPr="009A5B7B">
        <w:rPr>
          <w:rFonts w:cs="Times New Roman"/>
          <w:lang w:eastAsia="pt-PT"/>
        </w:rPr>
        <w:t>os</w:t>
      </w:r>
      <w:r w:rsidRPr="009A5B7B">
        <w:rPr>
          <w:rFonts w:cs="Times New Roman"/>
          <w:lang w:eastAsia="pt-PT"/>
        </w:rPr>
        <w:t xml:space="preserve"> </w:t>
      </w:r>
      <w:r w:rsidRPr="001F6B2A">
        <w:rPr>
          <w:rFonts w:cs="Times New Roman"/>
          <w:lang w:eastAsia="pt-PT"/>
        </w:rPr>
        <w:t xml:space="preserve">resultados obtidos pelo </w:t>
      </w:r>
      <w:r w:rsidR="00497E1B">
        <w:rPr>
          <w:rFonts w:cs="Times New Roman"/>
          <w:lang w:eastAsia="pt-PT"/>
        </w:rPr>
        <w:t>m</w:t>
      </w:r>
      <w:r w:rsidRPr="001F6B2A">
        <w:rPr>
          <w:rFonts w:cs="Times New Roman"/>
          <w:lang w:eastAsia="pt-PT"/>
        </w:rPr>
        <w:t xml:space="preserve">odelo de </w:t>
      </w:r>
      <w:r w:rsidR="00497E1B">
        <w:rPr>
          <w:rFonts w:cs="Times New Roman"/>
          <w:lang w:eastAsia="pt-PT"/>
        </w:rPr>
        <w:t>r</w:t>
      </w:r>
      <w:r w:rsidRPr="001F6B2A">
        <w:rPr>
          <w:rFonts w:cs="Times New Roman"/>
          <w:lang w:eastAsia="pt-PT"/>
        </w:rPr>
        <w:t xml:space="preserve">egressão linear </w:t>
      </w:r>
      <w:r w:rsidR="00497E1B">
        <w:rPr>
          <w:rFonts w:cs="Times New Roman"/>
          <w:lang w:eastAsia="pt-PT"/>
        </w:rPr>
        <w:t>m</w:t>
      </w:r>
      <w:r w:rsidRPr="001F6B2A">
        <w:rPr>
          <w:rFonts w:cs="Times New Roman"/>
          <w:lang w:eastAsia="pt-PT"/>
        </w:rPr>
        <w:t xml:space="preserve">últipla com </w:t>
      </w:r>
      <w:r w:rsidR="00497E1B">
        <w:rPr>
          <w:rFonts w:cs="Times New Roman"/>
          <w:lang w:eastAsia="pt-PT"/>
        </w:rPr>
        <w:t>d</w:t>
      </w:r>
      <w:r w:rsidRPr="001F6B2A">
        <w:rPr>
          <w:rFonts w:cs="Times New Roman"/>
          <w:lang w:eastAsia="pt-PT"/>
        </w:rPr>
        <w:t xml:space="preserve">ados em </w:t>
      </w:r>
      <w:r w:rsidR="00497E1B">
        <w:rPr>
          <w:rFonts w:cs="Times New Roman"/>
          <w:lang w:eastAsia="pt-PT"/>
        </w:rPr>
        <w:t>p</w:t>
      </w:r>
      <w:r w:rsidRPr="001F6B2A">
        <w:rPr>
          <w:rFonts w:cs="Times New Roman"/>
          <w:lang w:eastAsia="pt-PT"/>
        </w:rPr>
        <w:t>aine</w:t>
      </w:r>
      <w:r>
        <w:rPr>
          <w:rFonts w:cs="Times New Roman"/>
          <w:lang w:eastAsia="pt-PT"/>
        </w:rPr>
        <w:t>l</w:t>
      </w:r>
      <w:r w:rsidR="009A5B7B">
        <w:rPr>
          <w:rFonts w:cs="Times New Roman"/>
          <w:lang w:eastAsia="pt-PT"/>
        </w:rPr>
        <w:t xml:space="preserve"> indicam que </w:t>
      </w:r>
      <w:r>
        <w:rPr>
          <w:rFonts w:cs="Times New Roman"/>
          <w:lang w:eastAsia="pt-PT"/>
        </w:rPr>
        <w:t xml:space="preserve">para cada unidade da </w:t>
      </w:r>
      <w:r w:rsidR="00497E1B">
        <w:rPr>
          <w:rFonts w:cs="Times New Roman"/>
          <w:lang w:eastAsia="pt-PT"/>
        </w:rPr>
        <w:t>t</w:t>
      </w:r>
      <w:r>
        <w:rPr>
          <w:rFonts w:cs="Times New Roman"/>
          <w:lang w:eastAsia="pt-PT"/>
        </w:rPr>
        <w:t xml:space="preserve">axa de </w:t>
      </w:r>
      <w:r w:rsidR="00497E1B">
        <w:rPr>
          <w:rFonts w:cs="Times New Roman"/>
          <w:lang w:eastAsia="pt-PT"/>
        </w:rPr>
        <w:t>p</w:t>
      </w:r>
      <w:r>
        <w:rPr>
          <w:rFonts w:cs="Times New Roman"/>
          <w:lang w:eastAsia="pt-PT"/>
        </w:rPr>
        <w:t xml:space="preserve">opulação </w:t>
      </w:r>
      <w:r w:rsidR="00497E1B">
        <w:rPr>
          <w:rFonts w:cs="Times New Roman"/>
          <w:lang w:eastAsia="pt-PT"/>
        </w:rPr>
        <w:t>i</w:t>
      </w:r>
      <w:r>
        <w:rPr>
          <w:rFonts w:cs="Times New Roman"/>
          <w:lang w:eastAsia="pt-PT"/>
        </w:rPr>
        <w:t xml:space="preserve">dosa, o </w:t>
      </w:r>
      <w:r w:rsidR="00497E1B">
        <w:rPr>
          <w:rFonts w:cs="Times New Roman"/>
          <w:lang w:eastAsia="pt-PT"/>
        </w:rPr>
        <w:t>í</w:t>
      </w:r>
      <w:r>
        <w:rPr>
          <w:rFonts w:cs="Times New Roman"/>
          <w:lang w:eastAsia="pt-PT"/>
        </w:rPr>
        <w:t xml:space="preserve">ndice de </w:t>
      </w:r>
      <w:r w:rsidR="00497E1B">
        <w:rPr>
          <w:rFonts w:cs="Times New Roman"/>
          <w:lang w:eastAsia="pt-PT"/>
        </w:rPr>
        <w:t>t</w:t>
      </w:r>
      <w:r>
        <w:rPr>
          <w:rFonts w:cs="Times New Roman"/>
          <w:lang w:eastAsia="pt-PT"/>
        </w:rPr>
        <w:t xml:space="preserve">ransparência </w:t>
      </w:r>
      <w:r w:rsidR="00497E1B">
        <w:rPr>
          <w:rFonts w:cs="Times New Roman"/>
          <w:lang w:eastAsia="pt-PT"/>
        </w:rPr>
        <w:t>m</w:t>
      </w:r>
      <w:r>
        <w:rPr>
          <w:rFonts w:cs="Times New Roman"/>
          <w:lang w:eastAsia="pt-PT"/>
        </w:rPr>
        <w:t>unicipal diminui 0,186, ou seja, existe uma relação negativa entre esta variável explicativa e a variável dependente.</w:t>
      </w:r>
    </w:p>
    <w:p w14:paraId="11FE4E1E" w14:textId="76AF39A9" w:rsidR="0078162F" w:rsidRPr="003D53E6" w:rsidRDefault="0078162F" w:rsidP="0078162F">
      <w:pPr>
        <w:spacing w:line="360" w:lineRule="auto"/>
        <w:jc w:val="both"/>
        <w:rPr>
          <w:rFonts w:cs="Times New Roman"/>
          <w:lang w:eastAsia="pt-PT"/>
        </w:rPr>
      </w:pPr>
      <w:r w:rsidRPr="003D53E6">
        <w:rPr>
          <w:rFonts w:cs="Times New Roman"/>
          <w:lang w:eastAsia="pt-PT"/>
        </w:rPr>
        <w:t xml:space="preserve">Quanto à hipótese 7: </w:t>
      </w:r>
      <w:r w:rsidRPr="003D53E6">
        <w:rPr>
          <w:rFonts w:cs="Times New Roman"/>
          <w:i/>
          <w:iCs/>
          <w:lang w:eastAsia="pt-PT"/>
        </w:rPr>
        <w:t xml:space="preserve">Quanto maior o </w:t>
      </w:r>
      <w:r w:rsidRPr="000044C1">
        <w:rPr>
          <w:rFonts w:cs="Times New Roman"/>
          <w:i/>
          <w:iCs/>
          <w:lang w:eastAsia="pt-PT"/>
        </w:rPr>
        <w:t>nível de desemprego</w:t>
      </w:r>
      <w:r w:rsidRPr="003D53E6">
        <w:rPr>
          <w:rFonts w:cs="Times New Roman"/>
          <w:i/>
          <w:iCs/>
          <w:lang w:eastAsia="pt-PT"/>
        </w:rPr>
        <w:t xml:space="preserve"> maior o nível de transparência</w:t>
      </w:r>
      <w:r>
        <w:rPr>
          <w:rFonts w:cs="Times New Roman"/>
          <w:lang w:eastAsia="pt-PT"/>
        </w:rPr>
        <w:t xml:space="preserve">, através do </w:t>
      </w:r>
      <w:r w:rsidR="00497E1B">
        <w:rPr>
          <w:rFonts w:cs="Times New Roman"/>
          <w:lang w:eastAsia="pt-PT"/>
        </w:rPr>
        <w:t>m</w:t>
      </w:r>
      <w:r>
        <w:rPr>
          <w:rFonts w:cs="Times New Roman"/>
          <w:lang w:eastAsia="pt-PT"/>
        </w:rPr>
        <w:t xml:space="preserve">odelo de </w:t>
      </w:r>
      <w:r w:rsidR="00497E1B">
        <w:rPr>
          <w:rFonts w:cs="Times New Roman"/>
          <w:lang w:eastAsia="pt-PT"/>
        </w:rPr>
        <w:t>r</w:t>
      </w:r>
      <w:r>
        <w:rPr>
          <w:rFonts w:cs="Times New Roman"/>
          <w:lang w:eastAsia="pt-PT"/>
        </w:rPr>
        <w:t xml:space="preserve">egressão </w:t>
      </w:r>
      <w:r w:rsidR="00497E1B">
        <w:rPr>
          <w:rFonts w:cs="Times New Roman"/>
          <w:lang w:eastAsia="pt-PT"/>
        </w:rPr>
        <w:t>l</w:t>
      </w:r>
      <w:r>
        <w:rPr>
          <w:rFonts w:cs="Times New Roman"/>
          <w:lang w:eastAsia="pt-PT"/>
        </w:rPr>
        <w:t xml:space="preserve">inear </w:t>
      </w:r>
      <w:r w:rsidR="00497E1B">
        <w:rPr>
          <w:rFonts w:cs="Times New Roman"/>
          <w:lang w:eastAsia="pt-PT"/>
        </w:rPr>
        <w:t>m</w:t>
      </w:r>
      <w:r>
        <w:rPr>
          <w:rFonts w:cs="Times New Roman"/>
          <w:lang w:eastAsia="pt-PT"/>
        </w:rPr>
        <w:t xml:space="preserve">últipla com </w:t>
      </w:r>
      <w:r w:rsidR="00497E1B">
        <w:rPr>
          <w:rFonts w:cs="Times New Roman"/>
          <w:lang w:eastAsia="pt-PT"/>
        </w:rPr>
        <w:t>d</w:t>
      </w:r>
      <w:r>
        <w:rPr>
          <w:rFonts w:cs="Times New Roman"/>
          <w:lang w:eastAsia="pt-PT"/>
        </w:rPr>
        <w:t xml:space="preserve">ados em </w:t>
      </w:r>
      <w:r w:rsidR="00497E1B">
        <w:rPr>
          <w:rFonts w:cs="Times New Roman"/>
          <w:lang w:eastAsia="pt-PT"/>
        </w:rPr>
        <w:t>p</w:t>
      </w:r>
      <w:r>
        <w:rPr>
          <w:rFonts w:cs="Times New Roman"/>
          <w:lang w:eastAsia="pt-PT"/>
        </w:rPr>
        <w:t>ainel, verificou-se que a variável taxa de desemprego não é estatisticamente significativa (</w:t>
      </w:r>
      <w:r w:rsidR="00793028" w:rsidRPr="00793028">
        <w:rPr>
          <w:rFonts w:cs="Times New Roman"/>
          <w:i/>
          <w:iCs/>
          <w:lang w:eastAsia="pt-PT"/>
        </w:rPr>
        <w:t>p-</w:t>
      </w:r>
      <w:proofErr w:type="spellStart"/>
      <w:r w:rsidR="00793028" w:rsidRPr="00793028">
        <w:rPr>
          <w:rFonts w:cs="Times New Roman"/>
          <w:i/>
          <w:iCs/>
          <w:lang w:eastAsia="pt-PT"/>
        </w:rPr>
        <w:t>value</w:t>
      </w:r>
      <w:proofErr w:type="spellEnd"/>
      <w:r>
        <w:rPr>
          <w:rFonts w:cs="Times New Roman"/>
          <w:lang w:eastAsia="pt-PT"/>
        </w:rPr>
        <w:t xml:space="preserve"> = 0,35), logo, não é possível relacionar positivamente ou negativamente esta mesma variável com a variável dependente, </w:t>
      </w:r>
      <w:r w:rsidR="00497E1B">
        <w:rPr>
          <w:rFonts w:cs="Times New Roman"/>
          <w:lang w:eastAsia="pt-PT"/>
        </w:rPr>
        <w:t>í</w:t>
      </w:r>
      <w:r>
        <w:rPr>
          <w:rFonts w:cs="Times New Roman"/>
          <w:lang w:eastAsia="pt-PT"/>
        </w:rPr>
        <w:t xml:space="preserve">ndice de </w:t>
      </w:r>
      <w:r w:rsidR="00497E1B">
        <w:rPr>
          <w:rFonts w:cs="Times New Roman"/>
          <w:lang w:eastAsia="pt-PT"/>
        </w:rPr>
        <w:t>t</w:t>
      </w:r>
      <w:r>
        <w:rPr>
          <w:rFonts w:cs="Times New Roman"/>
          <w:lang w:eastAsia="pt-PT"/>
        </w:rPr>
        <w:t xml:space="preserve">ransparência </w:t>
      </w:r>
      <w:r w:rsidR="00497E1B">
        <w:rPr>
          <w:rFonts w:cs="Times New Roman"/>
          <w:lang w:eastAsia="pt-PT"/>
        </w:rPr>
        <w:t>m</w:t>
      </w:r>
      <w:r>
        <w:rPr>
          <w:rFonts w:cs="Times New Roman"/>
          <w:lang w:eastAsia="pt-PT"/>
        </w:rPr>
        <w:t xml:space="preserve">unicipal. </w:t>
      </w:r>
    </w:p>
    <w:p w14:paraId="640799AE" w14:textId="08D656CB" w:rsidR="0078162F" w:rsidRDefault="0078162F" w:rsidP="0078162F">
      <w:pPr>
        <w:spacing w:line="360" w:lineRule="auto"/>
        <w:jc w:val="both"/>
        <w:rPr>
          <w:rFonts w:cs="Times New Roman"/>
          <w:bCs/>
        </w:rPr>
      </w:pPr>
      <w:r w:rsidRPr="001F6B2A">
        <w:rPr>
          <w:rFonts w:cs="Times New Roman"/>
          <w:lang w:eastAsia="pt-PT"/>
        </w:rPr>
        <w:t xml:space="preserve">Por último, no que respeita à </w:t>
      </w:r>
      <w:r w:rsidR="00F338BB">
        <w:rPr>
          <w:rFonts w:cs="Times New Roman"/>
          <w:lang w:eastAsia="pt-PT"/>
        </w:rPr>
        <w:t>h</w:t>
      </w:r>
      <w:r w:rsidRPr="001F6B2A">
        <w:rPr>
          <w:rFonts w:cs="Times New Roman"/>
          <w:lang w:eastAsia="pt-PT"/>
        </w:rPr>
        <w:t xml:space="preserve">ipótese </w:t>
      </w:r>
      <w:r>
        <w:rPr>
          <w:rFonts w:cs="Times New Roman"/>
          <w:lang w:eastAsia="pt-PT"/>
        </w:rPr>
        <w:t>8</w:t>
      </w:r>
      <w:r w:rsidRPr="001F6B2A">
        <w:rPr>
          <w:rFonts w:cs="Times New Roman"/>
          <w:lang w:eastAsia="pt-PT"/>
        </w:rPr>
        <w:t xml:space="preserve">: </w:t>
      </w:r>
      <w:r w:rsidRPr="003E5E65">
        <w:rPr>
          <w:rFonts w:cs="Times New Roman"/>
          <w:bCs/>
          <w:i/>
          <w:iCs/>
        </w:rPr>
        <w:t>Quanto menor a percentagem de abstenção maior o nível de transparência</w:t>
      </w:r>
      <w:r>
        <w:rPr>
          <w:rFonts w:cs="Times New Roman"/>
          <w:bCs/>
        </w:rPr>
        <w:t xml:space="preserve">, segundo os resultados obtidos pelo </w:t>
      </w:r>
      <w:r w:rsidR="00497E1B">
        <w:rPr>
          <w:rFonts w:cs="Times New Roman"/>
          <w:bCs/>
        </w:rPr>
        <w:t>m</w:t>
      </w:r>
      <w:r>
        <w:rPr>
          <w:rFonts w:cs="Times New Roman"/>
          <w:bCs/>
        </w:rPr>
        <w:t xml:space="preserve">étodo de </w:t>
      </w:r>
      <w:r w:rsidR="00497E1B">
        <w:rPr>
          <w:rFonts w:cs="Times New Roman"/>
          <w:bCs/>
        </w:rPr>
        <w:t>r</w:t>
      </w:r>
      <w:r>
        <w:rPr>
          <w:rFonts w:cs="Times New Roman"/>
          <w:bCs/>
        </w:rPr>
        <w:t xml:space="preserve">egressão </w:t>
      </w:r>
      <w:r w:rsidR="00497E1B">
        <w:rPr>
          <w:rFonts w:cs="Times New Roman"/>
          <w:bCs/>
        </w:rPr>
        <w:t>l</w:t>
      </w:r>
      <w:r>
        <w:rPr>
          <w:rFonts w:cs="Times New Roman"/>
          <w:bCs/>
        </w:rPr>
        <w:t xml:space="preserve">inear </w:t>
      </w:r>
      <w:r w:rsidR="00497E1B">
        <w:rPr>
          <w:rFonts w:cs="Times New Roman"/>
          <w:bCs/>
        </w:rPr>
        <w:t>m</w:t>
      </w:r>
      <w:r>
        <w:rPr>
          <w:rFonts w:cs="Times New Roman"/>
          <w:bCs/>
        </w:rPr>
        <w:t xml:space="preserve">últipla com </w:t>
      </w:r>
      <w:r w:rsidR="00497E1B">
        <w:rPr>
          <w:rFonts w:cs="Times New Roman"/>
          <w:bCs/>
        </w:rPr>
        <w:t>d</w:t>
      </w:r>
      <w:r>
        <w:rPr>
          <w:rFonts w:cs="Times New Roman"/>
          <w:bCs/>
        </w:rPr>
        <w:t xml:space="preserve">ados em </w:t>
      </w:r>
      <w:r w:rsidR="00497E1B">
        <w:rPr>
          <w:rFonts w:cs="Times New Roman"/>
          <w:bCs/>
        </w:rPr>
        <w:t>p</w:t>
      </w:r>
      <w:r>
        <w:rPr>
          <w:rFonts w:cs="Times New Roman"/>
          <w:bCs/>
        </w:rPr>
        <w:t xml:space="preserve">ainel, observou-se uma relação positiva entre esta variável e a variável dependente, ITM, </w:t>
      </w:r>
      <w:r w:rsidR="00497E1B">
        <w:rPr>
          <w:rFonts w:cs="Times New Roman"/>
          <w:bCs/>
        </w:rPr>
        <w:t>í</w:t>
      </w:r>
      <w:r>
        <w:rPr>
          <w:rFonts w:cs="Times New Roman"/>
          <w:bCs/>
        </w:rPr>
        <w:t xml:space="preserve">ndice de </w:t>
      </w:r>
      <w:r w:rsidR="00497E1B">
        <w:rPr>
          <w:rFonts w:cs="Times New Roman"/>
          <w:bCs/>
        </w:rPr>
        <w:t>t</w:t>
      </w:r>
      <w:r>
        <w:rPr>
          <w:rFonts w:cs="Times New Roman"/>
          <w:bCs/>
        </w:rPr>
        <w:t xml:space="preserve">ransparência </w:t>
      </w:r>
      <w:r w:rsidR="00497E1B">
        <w:rPr>
          <w:rFonts w:cs="Times New Roman"/>
          <w:bCs/>
        </w:rPr>
        <w:t>m</w:t>
      </w:r>
      <w:r>
        <w:rPr>
          <w:rFonts w:cs="Times New Roman"/>
          <w:bCs/>
        </w:rPr>
        <w:t xml:space="preserve">unicipal. Para cada unidade da </w:t>
      </w:r>
      <w:r w:rsidR="00497E1B">
        <w:rPr>
          <w:rFonts w:cs="Times New Roman"/>
          <w:bCs/>
        </w:rPr>
        <w:t>p</w:t>
      </w:r>
      <w:r>
        <w:rPr>
          <w:rFonts w:cs="Times New Roman"/>
          <w:bCs/>
        </w:rPr>
        <w:t xml:space="preserve">ercentagem de </w:t>
      </w:r>
      <w:r w:rsidR="00497E1B">
        <w:rPr>
          <w:rFonts w:cs="Times New Roman"/>
          <w:bCs/>
        </w:rPr>
        <w:t>a</w:t>
      </w:r>
      <w:r>
        <w:rPr>
          <w:rFonts w:cs="Times New Roman"/>
          <w:bCs/>
        </w:rPr>
        <w:t xml:space="preserve">bstenção existe um aumento em 0,163 do nível de transparência municipal. </w:t>
      </w:r>
    </w:p>
    <w:p w14:paraId="3BDD7F76" w14:textId="0137A53D" w:rsidR="00C64804" w:rsidRDefault="00C64804">
      <w:pPr>
        <w:rPr>
          <w:rFonts w:cs="Times New Roman"/>
          <w:bCs/>
        </w:rPr>
      </w:pPr>
      <w:r>
        <w:rPr>
          <w:rFonts w:cs="Times New Roman"/>
          <w:bCs/>
        </w:rPr>
        <w:br w:type="page"/>
      </w:r>
    </w:p>
    <w:p w14:paraId="37DFFCA1" w14:textId="48222739" w:rsidR="00151643" w:rsidRDefault="00F43371" w:rsidP="00113672">
      <w:pPr>
        <w:pStyle w:val="Ttulo1"/>
        <w:numPr>
          <w:ilvl w:val="0"/>
          <w:numId w:val="2"/>
        </w:numPr>
        <w:spacing w:before="120" w:after="360"/>
        <w:jc w:val="center"/>
      </w:pPr>
      <w:bookmarkStart w:id="133" w:name="_Toc37792572"/>
      <w:bookmarkStart w:id="134" w:name="_Toc66624215"/>
      <w:r>
        <w:lastRenderedPageBreak/>
        <w:t>Considerações finais</w:t>
      </w:r>
      <w:bookmarkEnd w:id="133"/>
      <w:bookmarkEnd w:id="134"/>
    </w:p>
    <w:p w14:paraId="593A9DCC" w14:textId="5A253F68" w:rsidR="00302E68" w:rsidRPr="00302E68" w:rsidRDefault="00302E68" w:rsidP="00444219">
      <w:pPr>
        <w:spacing w:line="360" w:lineRule="auto"/>
        <w:jc w:val="both"/>
      </w:pPr>
      <w:r>
        <w:t xml:space="preserve">Tendo em conta os objetivos definidos neste trabalho e os resultados obtidos, neste capítulo são </w:t>
      </w:r>
      <w:r w:rsidR="006D0F80">
        <w:t>apresentadas</w:t>
      </w:r>
      <w:r>
        <w:t xml:space="preserve"> as conclusões retiradas deste trabalho de investigação. São apresentadas, ainda, as limitações do estudo e sugestões para investigações futuras.</w:t>
      </w:r>
    </w:p>
    <w:p w14:paraId="36723AC8" w14:textId="593F2EAB" w:rsidR="00F42C23" w:rsidRDefault="002510E2" w:rsidP="00113672">
      <w:pPr>
        <w:pStyle w:val="Ttulo2"/>
        <w:numPr>
          <w:ilvl w:val="1"/>
          <w:numId w:val="2"/>
        </w:numPr>
        <w:rPr>
          <w:rFonts w:eastAsiaTheme="minorHAnsi"/>
        </w:rPr>
      </w:pPr>
      <w:bookmarkStart w:id="135" w:name="_Toc66624216"/>
      <w:r w:rsidRPr="00F42C23">
        <w:rPr>
          <w:rFonts w:eastAsiaTheme="minorHAnsi"/>
        </w:rPr>
        <w:t>Conclusões</w:t>
      </w:r>
      <w:bookmarkEnd w:id="135"/>
    </w:p>
    <w:p w14:paraId="23C64D2F" w14:textId="77777777" w:rsidR="00F42C23" w:rsidRPr="00F42C23" w:rsidRDefault="00F42C23" w:rsidP="00F42C23"/>
    <w:p w14:paraId="4AAB6563" w14:textId="328A8474" w:rsidR="00A37075" w:rsidRPr="00F42C23" w:rsidRDefault="00A37075" w:rsidP="00F42C23">
      <w:pPr>
        <w:spacing w:line="360" w:lineRule="auto"/>
        <w:jc w:val="both"/>
        <w:rPr>
          <w:rFonts w:cs="Times New Roman"/>
          <w:szCs w:val="24"/>
        </w:rPr>
      </w:pPr>
      <w:r w:rsidRPr="00F42C23">
        <w:rPr>
          <w:rFonts w:cs="Times New Roman"/>
          <w:szCs w:val="24"/>
        </w:rPr>
        <w:t>A transparência é um conceito multidisciplinar que, ao longo do tempo, foi-se tornando cada vez um alvo de interesse em vários campos de pesquisa.</w:t>
      </w:r>
    </w:p>
    <w:p w14:paraId="68F7A29E" w14:textId="5676EF96" w:rsidR="00444219" w:rsidRDefault="00444219" w:rsidP="00444219">
      <w:pPr>
        <w:spacing w:line="360" w:lineRule="auto"/>
        <w:jc w:val="both"/>
        <w:rPr>
          <w:rFonts w:cs="Times New Roman"/>
          <w:szCs w:val="24"/>
        </w:rPr>
      </w:pPr>
      <w:r>
        <w:rPr>
          <w:rFonts w:cs="Times New Roman"/>
          <w:szCs w:val="24"/>
        </w:rPr>
        <w:t xml:space="preserve">Desta forma, a presente dissertação apresenta como objetivo principal o estudo das determinantes da transparência da informação divulgada pelos </w:t>
      </w:r>
      <w:r w:rsidR="006B0D4B">
        <w:rPr>
          <w:rFonts w:cs="Times New Roman"/>
          <w:szCs w:val="24"/>
        </w:rPr>
        <w:t xml:space="preserve">308 </w:t>
      </w:r>
      <w:r>
        <w:rPr>
          <w:rFonts w:cs="Times New Roman"/>
          <w:szCs w:val="24"/>
        </w:rPr>
        <w:t xml:space="preserve">municípios portugueses para um período de </w:t>
      </w:r>
      <w:r w:rsidR="006B0D4B">
        <w:rPr>
          <w:rFonts w:cs="Times New Roman"/>
          <w:szCs w:val="24"/>
        </w:rPr>
        <w:t>5 anos (2013 – 2017).</w:t>
      </w:r>
      <w:r>
        <w:rPr>
          <w:rFonts w:cs="Times New Roman"/>
          <w:szCs w:val="24"/>
        </w:rPr>
        <w:t xml:space="preserve"> </w:t>
      </w:r>
    </w:p>
    <w:p w14:paraId="3A4DEF33" w14:textId="4AD02701" w:rsidR="00910A8E" w:rsidRPr="00910A8E" w:rsidRDefault="00910A8E" w:rsidP="00910A8E">
      <w:pPr>
        <w:spacing w:line="360" w:lineRule="auto"/>
        <w:jc w:val="both"/>
        <w:rPr>
          <w:rFonts w:cs="Times New Roman"/>
          <w:szCs w:val="24"/>
        </w:rPr>
      </w:pPr>
      <w:r w:rsidRPr="00910A8E">
        <w:rPr>
          <w:rFonts w:cs="Times New Roman"/>
          <w:szCs w:val="24"/>
        </w:rPr>
        <w:t>Importa referir que</w:t>
      </w:r>
      <w:r w:rsidR="00F338BB">
        <w:rPr>
          <w:rFonts w:cs="Times New Roman"/>
          <w:szCs w:val="24"/>
        </w:rPr>
        <w:t xml:space="preserve"> </w:t>
      </w:r>
      <w:r w:rsidRPr="00910A8E">
        <w:rPr>
          <w:rFonts w:cs="Times New Roman"/>
          <w:szCs w:val="24"/>
        </w:rPr>
        <w:t>a média do nível de transparência municipal está situada nos 42,9</w:t>
      </w:r>
      <w:r w:rsidR="000F6B14">
        <w:rPr>
          <w:rFonts w:cs="Times New Roman"/>
          <w:szCs w:val="24"/>
        </w:rPr>
        <w:t>, numa escala de 0-100</w:t>
      </w:r>
      <w:r w:rsidRPr="00910A8E">
        <w:rPr>
          <w:rFonts w:cs="Times New Roman"/>
          <w:szCs w:val="24"/>
        </w:rPr>
        <w:t>. Para os anos em an</w:t>
      </w:r>
      <w:r>
        <w:rPr>
          <w:rFonts w:cs="Times New Roman"/>
          <w:szCs w:val="24"/>
        </w:rPr>
        <w:t>á</w:t>
      </w:r>
      <w:r w:rsidRPr="00910A8E">
        <w:rPr>
          <w:rFonts w:cs="Times New Roman"/>
          <w:szCs w:val="24"/>
        </w:rPr>
        <w:t>lise esta média</w:t>
      </w:r>
      <w:r w:rsidR="00445C9F">
        <w:rPr>
          <w:rFonts w:cs="Times New Roman"/>
          <w:szCs w:val="24"/>
        </w:rPr>
        <w:t xml:space="preserve"> </w:t>
      </w:r>
      <w:r w:rsidRPr="00910A8E">
        <w:rPr>
          <w:rFonts w:cs="Times New Roman"/>
          <w:szCs w:val="24"/>
        </w:rPr>
        <w:t>foi aumentando o que demonstra uma maior preocupação por parte dos municípios portugueses em divulgar toda a informação de forma útil e clara para</w:t>
      </w:r>
      <w:r>
        <w:rPr>
          <w:rFonts w:cs="Times New Roman"/>
          <w:szCs w:val="24"/>
        </w:rPr>
        <w:t xml:space="preserve"> os</w:t>
      </w:r>
      <w:r w:rsidRPr="00910A8E">
        <w:rPr>
          <w:rFonts w:cs="Times New Roman"/>
          <w:szCs w:val="24"/>
        </w:rPr>
        <w:t xml:space="preserve"> decisores e</w:t>
      </w:r>
      <w:r>
        <w:rPr>
          <w:rFonts w:cs="Times New Roman"/>
          <w:szCs w:val="24"/>
        </w:rPr>
        <w:t xml:space="preserve"> </w:t>
      </w:r>
      <w:r w:rsidR="00A45425">
        <w:rPr>
          <w:rFonts w:cs="Times New Roman"/>
          <w:szCs w:val="24"/>
        </w:rPr>
        <w:t xml:space="preserve">para </w:t>
      </w:r>
      <w:r>
        <w:rPr>
          <w:rFonts w:cs="Times New Roman"/>
          <w:szCs w:val="24"/>
        </w:rPr>
        <w:t>os</w:t>
      </w:r>
      <w:r w:rsidRPr="00910A8E">
        <w:rPr>
          <w:rFonts w:cs="Times New Roman"/>
          <w:szCs w:val="24"/>
        </w:rPr>
        <w:t xml:space="preserve"> cidadãos</w:t>
      </w:r>
      <w:r>
        <w:rPr>
          <w:rFonts w:cs="Times New Roman"/>
          <w:szCs w:val="24"/>
        </w:rPr>
        <w:t>.</w:t>
      </w:r>
    </w:p>
    <w:p w14:paraId="0F117A3E" w14:textId="22C5B95D" w:rsidR="00D6075E" w:rsidRDefault="00D6075E" w:rsidP="00D6075E">
      <w:pPr>
        <w:spacing w:line="360" w:lineRule="auto"/>
        <w:jc w:val="both"/>
        <w:rPr>
          <w:rFonts w:cs="Times New Roman"/>
          <w:szCs w:val="24"/>
        </w:rPr>
      </w:pPr>
      <w:r w:rsidRPr="00D6075E">
        <w:rPr>
          <w:rFonts w:cs="Times New Roman"/>
          <w:szCs w:val="24"/>
        </w:rPr>
        <w:t>As variáveis utilizadas</w:t>
      </w:r>
      <w:r w:rsidR="00445C9F">
        <w:rPr>
          <w:rFonts w:cs="Times New Roman"/>
          <w:szCs w:val="24"/>
        </w:rPr>
        <w:t xml:space="preserve"> para explicar o índice de transparência municipal</w:t>
      </w:r>
      <w:r w:rsidRPr="00D6075E">
        <w:rPr>
          <w:rFonts w:cs="Times New Roman"/>
          <w:szCs w:val="24"/>
        </w:rPr>
        <w:t xml:space="preserve"> </w:t>
      </w:r>
      <w:r w:rsidR="00445C9F">
        <w:rPr>
          <w:rFonts w:cs="Times New Roman"/>
          <w:szCs w:val="24"/>
        </w:rPr>
        <w:t>encontram-se</w:t>
      </w:r>
      <w:r w:rsidRPr="00D6075E">
        <w:rPr>
          <w:rFonts w:cs="Times New Roman"/>
          <w:szCs w:val="24"/>
        </w:rPr>
        <w:t xml:space="preserve"> organizadas, de acordo com a revisão de literatura, em cinco fatores: político (ideologia do partido pol</w:t>
      </w:r>
      <w:r w:rsidR="00445C9F">
        <w:rPr>
          <w:rFonts w:cs="Times New Roman"/>
          <w:szCs w:val="24"/>
        </w:rPr>
        <w:t>í</w:t>
      </w:r>
      <w:r w:rsidRPr="00D6075E">
        <w:rPr>
          <w:rFonts w:cs="Times New Roman"/>
          <w:szCs w:val="24"/>
        </w:rPr>
        <w:t>tico, competição pol</w:t>
      </w:r>
      <w:r w:rsidR="00445C9F">
        <w:rPr>
          <w:rFonts w:cs="Times New Roman"/>
          <w:szCs w:val="24"/>
        </w:rPr>
        <w:t>í</w:t>
      </w:r>
      <w:r w:rsidRPr="00D6075E">
        <w:rPr>
          <w:rFonts w:cs="Times New Roman"/>
          <w:szCs w:val="24"/>
        </w:rPr>
        <w:t xml:space="preserve">tica), desempenho e dimensão orçamental (valor do endividamento e </w:t>
      </w:r>
      <w:r w:rsidR="000A23D0">
        <w:rPr>
          <w:rFonts w:eastAsiaTheme="minorEastAsia" w:cs="Times New Roman"/>
        </w:rPr>
        <w:t xml:space="preserve">despesa efetiva </w:t>
      </w:r>
      <w:r w:rsidR="000A23D0" w:rsidRPr="00506E82">
        <w:rPr>
          <w:rFonts w:eastAsiaTheme="minorEastAsia" w:cs="Times New Roman"/>
          <w:i/>
          <w:iCs/>
        </w:rPr>
        <w:t>per capita</w:t>
      </w:r>
      <w:r w:rsidRPr="00D6075E">
        <w:rPr>
          <w:rFonts w:cs="Times New Roman"/>
          <w:szCs w:val="24"/>
        </w:rPr>
        <w:t>), sociodemográfico (população residente e taxa de população idosa), situação económica (taxa de desemprego) e envolvimento político (percentagem de abstenção), que serviram de base à formulação das hipóteses</w:t>
      </w:r>
      <w:r>
        <w:rPr>
          <w:rFonts w:cs="Times New Roman"/>
          <w:szCs w:val="24"/>
        </w:rPr>
        <w:t>.</w:t>
      </w:r>
    </w:p>
    <w:p w14:paraId="6BDBC35E" w14:textId="0B3BA19F" w:rsidR="005508EC" w:rsidRDefault="00445C9F" w:rsidP="00D6075E">
      <w:pPr>
        <w:spacing w:line="360" w:lineRule="auto"/>
        <w:jc w:val="both"/>
        <w:rPr>
          <w:rFonts w:cs="Times New Roman"/>
          <w:szCs w:val="24"/>
        </w:rPr>
      </w:pPr>
      <w:r>
        <w:rPr>
          <w:rFonts w:cs="Times New Roman"/>
          <w:szCs w:val="24"/>
        </w:rPr>
        <w:t>Da análise</w:t>
      </w:r>
      <w:r w:rsidR="005C151B">
        <w:rPr>
          <w:rFonts w:cs="Times New Roman"/>
          <w:szCs w:val="24"/>
        </w:rPr>
        <w:t xml:space="preserve"> efetuada, via estatística descritiva,</w:t>
      </w:r>
      <w:r>
        <w:rPr>
          <w:rFonts w:cs="Times New Roman"/>
          <w:szCs w:val="24"/>
        </w:rPr>
        <w:t xml:space="preserve"> pode concluir-se que </w:t>
      </w:r>
      <w:r w:rsidR="00887081">
        <w:rPr>
          <w:rFonts w:cs="Times New Roman"/>
          <w:szCs w:val="24"/>
        </w:rPr>
        <w:t xml:space="preserve">a variável ideologia do partido político foi ao encontro das conclusões de estudos anteriores, ou seja, municípios com orientação do partido </w:t>
      </w:r>
      <w:r w:rsidR="000044C1">
        <w:rPr>
          <w:rFonts w:cs="Times New Roman"/>
          <w:szCs w:val="24"/>
        </w:rPr>
        <w:t>político</w:t>
      </w:r>
      <w:r w:rsidR="00887081">
        <w:rPr>
          <w:rFonts w:cs="Times New Roman"/>
          <w:szCs w:val="24"/>
        </w:rPr>
        <w:t xml:space="preserve"> de esquerda apresentam maiores níveis de transparência do </w:t>
      </w:r>
      <w:r w:rsidR="00A45425">
        <w:rPr>
          <w:rFonts w:cs="Times New Roman"/>
          <w:szCs w:val="24"/>
        </w:rPr>
        <w:t xml:space="preserve">que </w:t>
      </w:r>
      <w:r w:rsidR="00887081">
        <w:rPr>
          <w:rFonts w:cs="Times New Roman"/>
          <w:szCs w:val="24"/>
        </w:rPr>
        <w:t>os de orientação de partido de direita.</w:t>
      </w:r>
      <w:r w:rsidR="005511BB">
        <w:rPr>
          <w:rFonts w:cs="Times New Roman"/>
          <w:szCs w:val="24"/>
        </w:rPr>
        <w:t xml:space="preserve"> Este facto pode ser explicado pela ambição de expansão do setor </w:t>
      </w:r>
      <w:r w:rsidR="000044C1">
        <w:rPr>
          <w:rFonts w:cs="Times New Roman"/>
          <w:szCs w:val="24"/>
        </w:rPr>
        <w:t>público</w:t>
      </w:r>
      <w:r w:rsidR="005511BB">
        <w:rPr>
          <w:rFonts w:cs="Times New Roman"/>
          <w:szCs w:val="24"/>
        </w:rPr>
        <w:t xml:space="preserve"> ser um dos objetivos de municípios com ideologia do partido de esquerda.</w:t>
      </w:r>
    </w:p>
    <w:p w14:paraId="2BC91E7C" w14:textId="04BBE309" w:rsidR="00AA23D8" w:rsidRDefault="00DE0F8A" w:rsidP="00D6075E">
      <w:pPr>
        <w:spacing w:line="360" w:lineRule="auto"/>
        <w:jc w:val="both"/>
        <w:rPr>
          <w:rFonts w:cs="Times New Roman"/>
          <w:szCs w:val="24"/>
        </w:rPr>
      </w:pPr>
      <w:r>
        <w:rPr>
          <w:rFonts w:cs="Times New Roman"/>
          <w:szCs w:val="24"/>
        </w:rPr>
        <w:t>Para a variável valor do endividamento</w:t>
      </w:r>
      <w:r w:rsidR="00AA23D8">
        <w:rPr>
          <w:rFonts w:cs="Times New Roman"/>
          <w:szCs w:val="24"/>
        </w:rPr>
        <w:t xml:space="preserve"> </w:t>
      </w:r>
      <w:r w:rsidR="00C03936">
        <w:rPr>
          <w:rFonts w:cs="Times New Roman"/>
          <w:szCs w:val="24"/>
        </w:rPr>
        <w:t>constatou-se</w:t>
      </w:r>
      <w:r w:rsidR="00AA23D8">
        <w:rPr>
          <w:rFonts w:cs="Times New Roman"/>
          <w:szCs w:val="24"/>
        </w:rPr>
        <w:t xml:space="preserve"> que para a</w:t>
      </w:r>
      <w:r w:rsidR="00884E4D">
        <w:rPr>
          <w:rFonts w:cs="Times New Roman"/>
          <w:szCs w:val="24"/>
        </w:rPr>
        <w:t xml:space="preserve"> maioria dos anos em estudo os municípios com maiores valores de endividamento apresenta</w:t>
      </w:r>
      <w:r w:rsidR="00AA23D8">
        <w:rPr>
          <w:rFonts w:cs="Times New Roman"/>
          <w:szCs w:val="24"/>
        </w:rPr>
        <w:t>m</w:t>
      </w:r>
      <w:r w:rsidR="00884E4D">
        <w:rPr>
          <w:rFonts w:cs="Times New Roman"/>
          <w:szCs w:val="24"/>
        </w:rPr>
        <w:t xml:space="preserve"> maior</w:t>
      </w:r>
      <w:r w:rsidR="00DC0047">
        <w:rPr>
          <w:rFonts w:cs="Times New Roman"/>
          <w:szCs w:val="24"/>
        </w:rPr>
        <w:t>es</w:t>
      </w:r>
      <w:r w:rsidR="00884E4D">
        <w:rPr>
          <w:rFonts w:cs="Times New Roman"/>
          <w:szCs w:val="24"/>
        </w:rPr>
        <w:t xml:space="preserve"> níveis de transparência, </w:t>
      </w:r>
      <w:r w:rsidR="00884E4D">
        <w:rPr>
          <w:rFonts w:cs="Times New Roman"/>
          <w:szCs w:val="24"/>
        </w:rPr>
        <w:lastRenderedPageBreak/>
        <w:t xml:space="preserve">pelo que </w:t>
      </w:r>
      <w:r w:rsidR="00B4646C">
        <w:rPr>
          <w:rFonts w:cs="Times New Roman"/>
          <w:szCs w:val="24"/>
        </w:rPr>
        <w:t>se pode</w:t>
      </w:r>
      <w:r w:rsidR="00884E4D">
        <w:rPr>
          <w:rFonts w:cs="Times New Roman"/>
          <w:szCs w:val="24"/>
        </w:rPr>
        <w:t xml:space="preserve"> concluir que esta variável influencia os níveis de transparência dos municípios portugueses. </w:t>
      </w:r>
    </w:p>
    <w:p w14:paraId="7870136B" w14:textId="59E22FE7" w:rsidR="00DE0F8A" w:rsidRDefault="00E64590" w:rsidP="00D6075E">
      <w:pPr>
        <w:spacing w:line="360" w:lineRule="auto"/>
        <w:jc w:val="both"/>
        <w:rPr>
          <w:rFonts w:cs="Times New Roman"/>
        </w:rPr>
      </w:pPr>
      <w:r>
        <w:rPr>
          <w:rFonts w:cs="Times New Roman"/>
          <w:szCs w:val="24"/>
        </w:rPr>
        <w:t>A</w:t>
      </w:r>
      <w:r w:rsidR="00DE0F8A">
        <w:rPr>
          <w:rFonts w:cs="Times New Roman"/>
          <w:szCs w:val="24"/>
        </w:rPr>
        <w:t xml:space="preserve"> variável </w:t>
      </w:r>
      <w:r w:rsidR="000A23D0">
        <w:rPr>
          <w:rFonts w:eastAsiaTheme="minorEastAsia" w:cs="Times New Roman"/>
        </w:rPr>
        <w:t xml:space="preserve">despesa efetiva </w:t>
      </w:r>
      <w:r w:rsidR="000A23D0" w:rsidRPr="00506E82">
        <w:rPr>
          <w:rFonts w:eastAsiaTheme="minorEastAsia" w:cs="Times New Roman"/>
          <w:i/>
          <w:iCs/>
        </w:rPr>
        <w:t>per capita</w:t>
      </w:r>
      <w:r w:rsidR="00FA4C62">
        <w:rPr>
          <w:rFonts w:eastAsiaTheme="minorEastAsia" w:cs="Times New Roman"/>
        </w:rPr>
        <w:t>, enquadrada no fator dimensão do orçamento,</w:t>
      </w:r>
      <w:r w:rsidR="000A23D0">
        <w:rPr>
          <w:rFonts w:eastAsiaTheme="minorEastAsia" w:cs="Times New Roman"/>
        </w:rPr>
        <w:t xml:space="preserve"> </w:t>
      </w:r>
      <w:r w:rsidR="00DE0F8A">
        <w:rPr>
          <w:rFonts w:cs="Times New Roman"/>
          <w:szCs w:val="24"/>
        </w:rPr>
        <w:t xml:space="preserve">é </w:t>
      </w:r>
      <w:r w:rsidR="00C03936">
        <w:rPr>
          <w:rFonts w:cs="Times New Roman"/>
          <w:szCs w:val="24"/>
        </w:rPr>
        <w:t>determinante</w:t>
      </w:r>
      <w:r>
        <w:rPr>
          <w:rFonts w:cs="Times New Roman"/>
          <w:szCs w:val="24"/>
        </w:rPr>
        <w:t xml:space="preserve"> do índice de transparência municipal</w:t>
      </w:r>
      <w:r w:rsidR="00DE0F8A">
        <w:rPr>
          <w:rFonts w:cs="Times New Roman"/>
          <w:szCs w:val="24"/>
        </w:rPr>
        <w:t xml:space="preserve"> podendo-se acrescentar que o índice de transparência municipal e a </w:t>
      </w:r>
      <w:r w:rsidR="00FA4C62">
        <w:rPr>
          <w:rFonts w:cs="Times New Roman"/>
          <w:szCs w:val="24"/>
        </w:rPr>
        <w:t xml:space="preserve">despesa efetiva </w:t>
      </w:r>
      <w:r w:rsidR="00FA4C62" w:rsidRPr="00506E82">
        <w:rPr>
          <w:rFonts w:cs="Times New Roman"/>
          <w:i/>
          <w:iCs/>
          <w:szCs w:val="24"/>
        </w:rPr>
        <w:t>per capita</w:t>
      </w:r>
      <w:r w:rsidR="00DE0F8A">
        <w:rPr>
          <w:rFonts w:cs="Times New Roman"/>
          <w:szCs w:val="24"/>
        </w:rPr>
        <w:t xml:space="preserve"> apresentam uma relação inversa, ou seja, quanto maior a </w:t>
      </w:r>
      <w:r w:rsidR="00FA4C62">
        <w:rPr>
          <w:rFonts w:cs="Times New Roman"/>
          <w:szCs w:val="24"/>
        </w:rPr>
        <w:t xml:space="preserve">despesa efetiva </w:t>
      </w:r>
      <w:r w:rsidR="00FA4C62" w:rsidRPr="00506E82">
        <w:rPr>
          <w:rFonts w:cs="Times New Roman"/>
          <w:i/>
          <w:iCs/>
          <w:szCs w:val="24"/>
        </w:rPr>
        <w:t>per capita</w:t>
      </w:r>
      <w:r w:rsidR="00DE0F8A">
        <w:rPr>
          <w:rFonts w:cs="Times New Roman"/>
          <w:szCs w:val="24"/>
        </w:rPr>
        <w:t xml:space="preserve"> menor o índice de transparência apresentado pelos </w:t>
      </w:r>
      <w:r w:rsidR="000044C1">
        <w:rPr>
          <w:rFonts w:cs="Times New Roman"/>
          <w:szCs w:val="24"/>
        </w:rPr>
        <w:t xml:space="preserve">municípios. </w:t>
      </w:r>
      <w:r w:rsidR="005511BB">
        <w:rPr>
          <w:rFonts w:cs="Times New Roman"/>
          <w:szCs w:val="24"/>
        </w:rPr>
        <w:t>Desta forma, a conclusão retirada permitiu sustentar a conclusão do estud</w:t>
      </w:r>
      <w:r w:rsidR="00A45425">
        <w:rPr>
          <w:rFonts w:cs="Times New Roman"/>
          <w:szCs w:val="24"/>
        </w:rPr>
        <w:t>o</w:t>
      </w:r>
      <w:r w:rsidR="005511BB">
        <w:rPr>
          <w:rFonts w:cs="Times New Roman"/>
          <w:szCs w:val="24"/>
        </w:rPr>
        <w:t xml:space="preserve"> de </w:t>
      </w:r>
      <w:proofErr w:type="spellStart"/>
      <w:r w:rsidR="005511BB">
        <w:rPr>
          <w:rFonts w:cs="Times New Roman"/>
        </w:rPr>
        <w:t>Caamaño</w:t>
      </w:r>
      <w:proofErr w:type="spellEnd"/>
      <w:r w:rsidR="005511BB">
        <w:rPr>
          <w:rFonts w:cs="Times New Roman"/>
        </w:rPr>
        <w:t xml:space="preserve">-Alegre </w:t>
      </w:r>
      <w:r w:rsidR="005511BB" w:rsidRPr="003638E9">
        <w:rPr>
          <w:rFonts w:cs="Times New Roman"/>
          <w:i/>
        </w:rPr>
        <w:t>et al</w:t>
      </w:r>
      <w:r w:rsidR="005511BB">
        <w:rPr>
          <w:rFonts w:cs="Times New Roman"/>
          <w:i/>
        </w:rPr>
        <w:t>.</w:t>
      </w:r>
      <w:r w:rsidR="005511BB" w:rsidRPr="003638E9">
        <w:rPr>
          <w:rFonts w:cs="Times New Roman"/>
          <w:i/>
        </w:rPr>
        <w:t xml:space="preserve"> </w:t>
      </w:r>
      <w:r w:rsidR="005511BB">
        <w:rPr>
          <w:rFonts w:cs="Times New Roman"/>
        </w:rPr>
        <w:t>(2013).</w:t>
      </w:r>
    </w:p>
    <w:p w14:paraId="227A5224" w14:textId="715BED09" w:rsidR="007F6D51" w:rsidRDefault="005511BB" w:rsidP="00D6075E">
      <w:pPr>
        <w:spacing w:line="360" w:lineRule="auto"/>
        <w:jc w:val="both"/>
        <w:rPr>
          <w:rFonts w:cs="Times New Roman"/>
          <w:szCs w:val="24"/>
        </w:rPr>
      </w:pPr>
      <w:r w:rsidRPr="0071672D">
        <w:rPr>
          <w:rFonts w:cs="Times New Roman"/>
          <w:szCs w:val="24"/>
        </w:rPr>
        <w:t xml:space="preserve">Relativamente </w:t>
      </w:r>
      <w:r w:rsidR="00E64590">
        <w:rPr>
          <w:rFonts w:cs="Times New Roman"/>
          <w:szCs w:val="24"/>
        </w:rPr>
        <w:t>à</w:t>
      </w:r>
      <w:r w:rsidRPr="0071672D">
        <w:rPr>
          <w:rFonts w:cs="Times New Roman"/>
          <w:szCs w:val="24"/>
        </w:rPr>
        <w:t xml:space="preserve"> variáve</w:t>
      </w:r>
      <w:r w:rsidR="003E5E65" w:rsidRPr="0071672D">
        <w:rPr>
          <w:rFonts w:cs="Times New Roman"/>
          <w:szCs w:val="24"/>
        </w:rPr>
        <w:t>l</w:t>
      </w:r>
      <w:r w:rsidRPr="0071672D">
        <w:rPr>
          <w:rFonts w:cs="Times New Roman"/>
          <w:szCs w:val="24"/>
        </w:rPr>
        <w:t xml:space="preserve"> população residente </w:t>
      </w:r>
      <w:r w:rsidR="0071672D">
        <w:rPr>
          <w:rFonts w:cs="Times New Roman"/>
          <w:szCs w:val="24"/>
        </w:rPr>
        <w:t xml:space="preserve">concluiu-se que esta variável influencia o valor do </w:t>
      </w:r>
      <w:r w:rsidR="00A874B9">
        <w:rPr>
          <w:rFonts w:cs="Times New Roman"/>
          <w:szCs w:val="24"/>
        </w:rPr>
        <w:t>índ</w:t>
      </w:r>
      <w:r w:rsidR="000E127E">
        <w:rPr>
          <w:rFonts w:cs="Times New Roman"/>
          <w:szCs w:val="24"/>
        </w:rPr>
        <w:t>ice</w:t>
      </w:r>
      <w:r w:rsidR="0071672D">
        <w:rPr>
          <w:rFonts w:cs="Times New Roman"/>
          <w:szCs w:val="24"/>
        </w:rPr>
        <w:t xml:space="preserve"> dos municípios, mais concretamente, que municípios com maior população residente apresentam níveis maiores de transparência</w:t>
      </w:r>
      <w:r w:rsidR="007F6D51">
        <w:rPr>
          <w:rFonts w:cs="Times New Roman"/>
          <w:szCs w:val="24"/>
        </w:rPr>
        <w:t>.</w:t>
      </w:r>
    </w:p>
    <w:p w14:paraId="19C8D9C4" w14:textId="28A7F39C" w:rsidR="005511BB" w:rsidRDefault="005511BB" w:rsidP="00D6075E">
      <w:pPr>
        <w:spacing w:line="360" w:lineRule="auto"/>
        <w:jc w:val="both"/>
        <w:rPr>
          <w:rFonts w:cs="Times New Roman"/>
          <w:szCs w:val="24"/>
        </w:rPr>
      </w:pPr>
      <w:r>
        <w:rPr>
          <w:rFonts w:cs="Times New Roman"/>
          <w:szCs w:val="24"/>
        </w:rPr>
        <w:t xml:space="preserve">Já para a variável taxa de população idosa foi possível concluir que </w:t>
      </w:r>
      <w:r w:rsidR="00A874B9">
        <w:rPr>
          <w:rFonts w:cs="Times New Roman"/>
          <w:szCs w:val="24"/>
        </w:rPr>
        <w:t xml:space="preserve">a mesma é determinante para o índice transparência municipal. No entanto a relação encontrada for contrária à esperada. Constatou-se que </w:t>
      </w:r>
      <w:r>
        <w:rPr>
          <w:rFonts w:cs="Times New Roman"/>
          <w:szCs w:val="24"/>
        </w:rPr>
        <w:t>quanto menor a taxa de população idosa maior o nível de transparência</w:t>
      </w:r>
      <w:r w:rsidR="00A874B9">
        <w:rPr>
          <w:rFonts w:cs="Times New Roman"/>
          <w:szCs w:val="24"/>
        </w:rPr>
        <w:t xml:space="preserve"> </w:t>
      </w:r>
      <w:r>
        <w:rPr>
          <w:rFonts w:cs="Times New Roman"/>
          <w:szCs w:val="24"/>
        </w:rPr>
        <w:t>o que não vai ao encontro das conclusões dos estudos existentes</w:t>
      </w:r>
      <w:r w:rsidR="003E5E65">
        <w:rPr>
          <w:rFonts w:cs="Times New Roman"/>
          <w:szCs w:val="24"/>
        </w:rPr>
        <w:t>.</w:t>
      </w:r>
    </w:p>
    <w:p w14:paraId="05537468" w14:textId="6EA16DE6" w:rsidR="005508EC" w:rsidRDefault="003E5E65" w:rsidP="00D6075E">
      <w:pPr>
        <w:spacing w:line="360" w:lineRule="auto"/>
        <w:jc w:val="both"/>
        <w:rPr>
          <w:rFonts w:cs="Times New Roman"/>
          <w:szCs w:val="24"/>
        </w:rPr>
      </w:pPr>
      <w:r>
        <w:rPr>
          <w:rFonts w:cs="Times New Roman"/>
          <w:szCs w:val="24"/>
        </w:rPr>
        <w:t>A variável taxa de desemprego</w:t>
      </w:r>
      <w:r w:rsidR="000E127E">
        <w:rPr>
          <w:rFonts w:cs="Times New Roman"/>
          <w:szCs w:val="24"/>
        </w:rPr>
        <w:t xml:space="preserve"> mostrou-se determinante </w:t>
      </w:r>
      <w:r w:rsidR="000044C1">
        <w:rPr>
          <w:rFonts w:cs="Times New Roman"/>
          <w:szCs w:val="24"/>
        </w:rPr>
        <w:t xml:space="preserve">pela análise </w:t>
      </w:r>
      <w:r w:rsidR="007F6D51">
        <w:rPr>
          <w:rFonts w:cs="Times New Roman"/>
          <w:szCs w:val="24"/>
        </w:rPr>
        <w:t>aos testes de hipóteses</w:t>
      </w:r>
      <w:r w:rsidR="000044C1">
        <w:rPr>
          <w:rFonts w:cs="Times New Roman"/>
          <w:szCs w:val="24"/>
        </w:rPr>
        <w:t xml:space="preserve"> pode-se confirmar a hipótese uma vez que os municípios portugueses que apresentam maiores taxas de desemprego também apresentam maiores níveis de transparência. </w:t>
      </w:r>
    </w:p>
    <w:p w14:paraId="60F7A1AF" w14:textId="0D85DB13" w:rsidR="0078162F" w:rsidRPr="00925ED7" w:rsidRDefault="003E5E65" w:rsidP="00777ED1">
      <w:pPr>
        <w:spacing w:line="360" w:lineRule="auto"/>
        <w:jc w:val="both"/>
        <w:rPr>
          <w:rFonts w:cs="Times New Roman"/>
          <w:szCs w:val="24"/>
        </w:rPr>
      </w:pPr>
      <w:r w:rsidRPr="00221957">
        <w:rPr>
          <w:rFonts w:cs="Times New Roman"/>
          <w:szCs w:val="24"/>
        </w:rPr>
        <w:t xml:space="preserve">Por </w:t>
      </w:r>
      <w:r w:rsidR="00777ED1" w:rsidRPr="00221957">
        <w:rPr>
          <w:rFonts w:cs="Times New Roman"/>
          <w:szCs w:val="24"/>
        </w:rPr>
        <w:t>último</w:t>
      </w:r>
      <w:r w:rsidR="00011343">
        <w:rPr>
          <w:rFonts w:cs="Times New Roman"/>
          <w:szCs w:val="24"/>
        </w:rPr>
        <w:t>,</w:t>
      </w:r>
      <w:r w:rsidR="000E127E">
        <w:rPr>
          <w:rFonts w:cs="Times New Roman"/>
          <w:szCs w:val="24"/>
        </w:rPr>
        <w:t xml:space="preserve"> para </w:t>
      </w:r>
      <w:r w:rsidRPr="00221957">
        <w:rPr>
          <w:rFonts w:cs="Times New Roman"/>
          <w:szCs w:val="24"/>
        </w:rPr>
        <w:t>a variável percentagem de abstenção foi possível concluir qu</w:t>
      </w:r>
      <w:r w:rsidR="00777ED1" w:rsidRPr="00221957">
        <w:rPr>
          <w:rFonts w:cs="Times New Roman"/>
          <w:szCs w:val="24"/>
        </w:rPr>
        <w:t>e existe uma relação entre esta variável e o nível de transparência apresentado pelos municípios.</w:t>
      </w:r>
      <w:r w:rsidR="0071672D" w:rsidRPr="00221957">
        <w:rPr>
          <w:rFonts w:cs="Times New Roman"/>
          <w:szCs w:val="24"/>
        </w:rPr>
        <w:t xml:space="preserve"> </w:t>
      </w:r>
      <w:r w:rsidR="00777ED1" w:rsidRPr="00221957">
        <w:rPr>
          <w:rFonts w:cs="Times New Roman"/>
          <w:szCs w:val="24"/>
        </w:rPr>
        <w:t>Contudo, segundo os estudos</w:t>
      </w:r>
      <w:r w:rsidR="00221957" w:rsidRPr="00221957">
        <w:rPr>
          <w:rFonts w:cs="Times New Roman"/>
          <w:szCs w:val="24"/>
        </w:rPr>
        <w:t xml:space="preserve"> de outros autores</w:t>
      </w:r>
      <w:r w:rsidR="00777ED1" w:rsidRPr="00221957">
        <w:rPr>
          <w:rFonts w:cs="Times New Roman"/>
          <w:szCs w:val="24"/>
        </w:rPr>
        <w:t xml:space="preserve"> apresentados, quanto maior a percentagem de abstenção num município</w:t>
      </w:r>
      <w:r w:rsidR="00A45425" w:rsidRPr="00221957">
        <w:rPr>
          <w:rFonts w:cs="Times New Roman"/>
          <w:szCs w:val="24"/>
        </w:rPr>
        <w:t>,</w:t>
      </w:r>
      <w:r w:rsidR="00777ED1" w:rsidRPr="00221957">
        <w:rPr>
          <w:rFonts w:cs="Times New Roman"/>
          <w:szCs w:val="24"/>
        </w:rPr>
        <w:t xml:space="preserve"> menor o índice de transparência do mesmo. Através </w:t>
      </w:r>
      <w:r w:rsidR="000E127E">
        <w:rPr>
          <w:rFonts w:cs="Times New Roman"/>
          <w:szCs w:val="24"/>
        </w:rPr>
        <w:t>dos resultados apresentados neste trabalho</w:t>
      </w:r>
      <w:r w:rsidR="00777ED1" w:rsidRPr="00221957">
        <w:rPr>
          <w:rFonts w:cs="Times New Roman"/>
          <w:szCs w:val="24"/>
        </w:rPr>
        <w:t>, concluiu-se o inverso, ou seja, quanto maior a percentagem de abstenção maior o nível de transparência</w:t>
      </w:r>
      <w:r w:rsidR="000E127E">
        <w:rPr>
          <w:rFonts w:cs="Times New Roman"/>
          <w:szCs w:val="24"/>
        </w:rPr>
        <w:t>. Sendo, por isso, determinantes do índice de transparência municipal.</w:t>
      </w:r>
    </w:p>
    <w:p w14:paraId="7D4AE956" w14:textId="7FAABD13" w:rsidR="001F6B2A" w:rsidRPr="00360156" w:rsidRDefault="001F6B2A" w:rsidP="00956AAF">
      <w:pPr>
        <w:spacing w:line="360" w:lineRule="auto"/>
        <w:jc w:val="both"/>
        <w:rPr>
          <w:rFonts w:cs="Times New Roman"/>
          <w:lang w:eastAsia="pt-PT"/>
        </w:rPr>
      </w:pPr>
      <w:r>
        <w:rPr>
          <w:rFonts w:cs="Times New Roman"/>
          <w:lang w:eastAsia="pt-PT"/>
        </w:rPr>
        <w:t xml:space="preserve">Respondendo à pergunta de investigação: </w:t>
      </w:r>
      <w:r w:rsidRPr="001F6B2A">
        <w:rPr>
          <w:rFonts w:cs="Times New Roman"/>
          <w:i/>
          <w:iCs/>
        </w:rPr>
        <w:t>Quais as determinantes da transparência das informações fornecidas pelos municípios portugueses no período de 201</w:t>
      </w:r>
      <w:r w:rsidR="00360156">
        <w:rPr>
          <w:rFonts w:cs="Times New Roman"/>
          <w:i/>
          <w:iCs/>
        </w:rPr>
        <w:t>3</w:t>
      </w:r>
      <w:r w:rsidRPr="001F6B2A">
        <w:rPr>
          <w:rFonts w:cs="Times New Roman"/>
          <w:i/>
          <w:iCs/>
        </w:rPr>
        <w:t xml:space="preserve"> a 201</w:t>
      </w:r>
      <w:r w:rsidR="00360156">
        <w:rPr>
          <w:rFonts w:cs="Times New Roman"/>
          <w:i/>
          <w:iCs/>
        </w:rPr>
        <w:t xml:space="preserve">7?, </w:t>
      </w:r>
      <w:r w:rsidR="00360156" w:rsidRPr="00360156">
        <w:rPr>
          <w:rFonts w:cs="Times New Roman"/>
        </w:rPr>
        <w:t>o presente trabalho</w:t>
      </w:r>
      <w:r w:rsidR="00360156">
        <w:rPr>
          <w:rFonts w:cs="Times New Roman"/>
        </w:rPr>
        <w:t xml:space="preserve"> de investigação permitiu concluir que as variáveis, Ideologia do Partido Pol</w:t>
      </w:r>
      <w:r w:rsidR="000E127E">
        <w:rPr>
          <w:rFonts w:cs="Times New Roman"/>
        </w:rPr>
        <w:t>í</w:t>
      </w:r>
      <w:r w:rsidR="00360156">
        <w:rPr>
          <w:rFonts w:cs="Times New Roman"/>
        </w:rPr>
        <w:t xml:space="preserve">tico, </w:t>
      </w:r>
      <w:bookmarkStart w:id="136" w:name="_Hlk54371641"/>
      <w:r w:rsidR="007F6D51">
        <w:rPr>
          <w:rFonts w:cs="Times New Roman"/>
        </w:rPr>
        <w:t xml:space="preserve">Valor do Endividamento, </w:t>
      </w:r>
      <w:r w:rsidR="000A23D0">
        <w:rPr>
          <w:rFonts w:cs="Times New Roman"/>
        </w:rPr>
        <w:t xml:space="preserve">Despesa Efetiva </w:t>
      </w:r>
      <w:r w:rsidR="000A23D0" w:rsidRPr="00506E82">
        <w:rPr>
          <w:rFonts w:cs="Times New Roman"/>
          <w:i/>
          <w:iCs/>
        </w:rPr>
        <w:t>Per Capita</w:t>
      </w:r>
      <w:r w:rsidR="00360156">
        <w:rPr>
          <w:rFonts w:cs="Times New Roman"/>
        </w:rPr>
        <w:t xml:space="preserve">, </w:t>
      </w:r>
      <w:r w:rsidR="00925ED7">
        <w:rPr>
          <w:rFonts w:cs="Times New Roman"/>
        </w:rPr>
        <w:t>População Residente,</w:t>
      </w:r>
      <w:r w:rsidR="000E127E">
        <w:rPr>
          <w:rFonts w:cs="Times New Roman"/>
        </w:rPr>
        <w:t xml:space="preserve"> Taxa de População Idosa,</w:t>
      </w:r>
      <w:r w:rsidR="00925ED7">
        <w:rPr>
          <w:rFonts w:cs="Times New Roman"/>
        </w:rPr>
        <w:t xml:space="preserve"> </w:t>
      </w:r>
      <w:r w:rsidR="00925ED7">
        <w:rPr>
          <w:rFonts w:cs="Times New Roman"/>
        </w:rPr>
        <w:lastRenderedPageBreak/>
        <w:t>Taxa de Desemprego</w:t>
      </w:r>
      <w:r w:rsidR="000E127E">
        <w:rPr>
          <w:rFonts w:cs="Times New Roman"/>
        </w:rPr>
        <w:t xml:space="preserve"> e Percentagem de Abstenção</w:t>
      </w:r>
      <w:r w:rsidR="00925ED7">
        <w:rPr>
          <w:rFonts w:cs="Times New Roman"/>
        </w:rPr>
        <w:t xml:space="preserve"> </w:t>
      </w:r>
      <w:bookmarkEnd w:id="136"/>
      <w:r w:rsidR="00CE45E8">
        <w:rPr>
          <w:rFonts w:cs="Times New Roman"/>
        </w:rPr>
        <w:t>são determinantes do nível de transparência apresentados pelos municípios portugueses</w:t>
      </w:r>
      <w:r w:rsidR="00360156">
        <w:rPr>
          <w:rFonts w:cs="Times New Roman"/>
        </w:rPr>
        <w:t xml:space="preserve">. </w:t>
      </w:r>
      <w:r w:rsidR="00360156" w:rsidRPr="00360156">
        <w:rPr>
          <w:rFonts w:cs="Times New Roman"/>
        </w:rPr>
        <w:t xml:space="preserve"> </w:t>
      </w:r>
    </w:p>
    <w:p w14:paraId="2E2656AE" w14:textId="049192C1" w:rsidR="002510E2" w:rsidRDefault="002510E2" w:rsidP="00113672">
      <w:pPr>
        <w:pStyle w:val="Ttulo2"/>
        <w:numPr>
          <w:ilvl w:val="1"/>
          <w:numId w:val="2"/>
        </w:numPr>
      </w:pPr>
      <w:bookmarkStart w:id="137" w:name="_Toc66624217"/>
      <w:r w:rsidRPr="002510E2">
        <w:t xml:space="preserve">Limitações e </w:t>
      </w:r>
      <w:r w:rsidR="00843EFD">
        <w:t>s</w:t>
      </w:r>
      <w:r w:rsidRPr="002510E2">
        <w:t>ugestões para futur</w:t>
      </w:r>
      <w:r w:rsidR="0034530A">
        <w:t>a</w:t>
      </w:r>
      <w:r w:rsidRPr="002510E2">
        <w:t xml:space="preserve">s </w:t>
      </w:r>
      <w:r w:rsidR="0034530A">
        <w:t>investiga</w:t>
      </w:r>
      <w:r w:rsidRPr="002510E2">
        <w:t>ções</w:t>
      </w:r>
      <w:bookmarkEnd w:id="137"/>
      <w:r w:rsidRPr="002510E2">
        <w:t xml:space="preserve"> </w:t>
      </w:r>
    </w:p>
    <w:p w14:paraId="151A2556" w14:textId="77777777" w:rsidR="00F42C23" w:rsidRPr="00F42C23" w:rsidRDefault="00F42C23" w:rsidP="00F42C23"/>
    <w:p w14:paraId="22748D98" w14:textId="351B4343" w:rsidR="002510E2" w:rsidRDefault="0075727F" w:rsidP="00444219">
      <w:pPr>
        <w:spacing w:line="360" w:lineRule="auto"/>
        <w:jc w:val="both"/>
        <w:rPr>
          <w:rFonts w:cs="Times New Roman"/>
        </w:rPr>
      </w:pPr>
      <w:r>
        <w:rPr>
          <w:rFonts w:cs="Times New Roman"/>
        </w:rPr>
        <w:t>O ITM, Índice de Transparência Municipal,</w:t>
      </w:r>
      <w:r w:rsidR="002510E2" w:rsidRPr="002510E2">
        <w:rPr>
          <w:rFonts w:cs="Times New Roman"/>
        </w:rPr>
        <w:t xml:space="preserve"> apresenta algumas limitações </w:t>
      </w:r>
      <w:r w:rsidR="003D53E6">
        <w:rPr>
          <w:rFonts w:cs="Times New Roman"/>
        </w:rPr>
        <w:t>a nível da</w:t>
      </w:r>
      <w:r w:rsidR="002510E2" w:rsidRPr="002510E2">
        <w:rPr>
          <w:rFonts w:cs="Times New Roman"/>
        </w:rPr>
        <w:t xml:space="preserve"> independência face à qualidade da informação disponibilizada pelo município. Porém, é o único indicador que se pode ter por base para analisar a transparência ao nível do poder local. </w:t>
      </w:r>
    </w:p>
    <w:p w14:paraId="71F03063" w14:textId="3DF2F298" w:rsidR="003D53E6" w:rsidRPr="00F42C23" w:rsidRDefault="00F42C23" w:rsidP="00E62933">
      <w:pPr>
        <w:spacing w:line="360" w:lineRule="auto"/>
        <w:jc w:val="both"/>
        <w:rPr>
          <w:rFonts w:cs="Times New Roman"/>
        </w:rPr>
      </w:pPr>
      <w:r w:rsidRPr="00F42C23">
        <w:rPr>
          <w:rFonts w:cs="Times New Roman"/>
        </w:rPr>
        <w:t>A an</w:t>
      </w:r>
      <w:r w:rsidR="00320DBF">
        <w:rPr>
          <w:rFonts w:cs="Times New Roman"/>
        </w:rPr>
        <w:t>á</w:t>
      </w:r>
      <w:r w:rsidRPr="00F42C23">
        <w:rPr>
          <w:rFonts w:cs="Times New Roman"/>
        </w:rPr>
        <w:t xml:space="preserve">lise deste estudo de investigação foi desenvolvida até ao ano 2017, sendo, por isso, considerada como uma limitação da presente dissertação o facto de não existirem dados </w:t>
      </w:r>
      <w:r>
        <w:rPr>
          <w:rFonts w:cs="Times New Roman"/>
        </w:rPr>
        <w:t>relativos ao Índice de Transparência Municipal par</w:t>
      </w:r>
      <w:r w:rsidR="00320DBF">
        <w:rPr>
          <w:rFonts w:cs="Times New Roman"/>
        </w:rPr>
        <w:t>a não só 2018 como também para anos anteriores a 2013</w:t>
      </w:r>
      <w:r>
        <w:rPr>
          <w:rFonts w:cs="Times New Roman"/>
        </w:rPr>
        <w:t>.</w:t>
      </w:r>
      <w:r w:rsidR="000808C3">
        <w:rPr>
          <w:rFonts w:cs="Times New Roman"/>
        </w:rPr>
        <w:t xml:space="preserve"> </w:t>
      </w:r>
    </w:p>
    <w:p w14:paraId="4F80F020" w14:textId="3A319380" w:rsidR="002510E2" w:rsidRDefault="00F42C23" w:rsidP="00E62933">
      <w:pPr>
        <w:spacing w:line="360" w:lineRule="auto"/>
      </w:pPr>
      <w:r>
        <w:t xml:space="preserve">Uma sugestão para investigações futuras recai sobre o estudo das determinantes do nível de transparência municipal para o ano 2018 e seguintes. </w:t>
      </w:r>
    </w:p>
    <w:p w14:paraId="5FB0BB9F" w14:textId="17908CF7" w:rsidR="000F4FDD" w:rsidRDefault="000F4FDD">
      <w:r>
        <w:br w:type="page"/>
      </w:r>
    </w:p>
    <w:p w14:paraId="3EE515D1" w14:textId="4B36808C" w:rsidR="00151643" w:rsidRDefault="00151643" w:rsidP="00F96D7E">
      <w:pPr>
        <w:pStyle w:val="Ttulo1"/>
        <w:ind w:left="360"/>
        <w:jc w:val="center"/>
      </w:pPr>
      <w:bookmarkStart w:id="138" w:name="_Toc37792573"/>
      <w:bookmarkStart w:id="139" w:name="_Toc66624218"/>
      <w:r>
        <w:lastRenderedPageBreak/>
        <w:t xml:space="preserve">Referências </w:t>
      </w:r>
      <w:r w:rsidR="0034530A">
        <w:t>b</w:t>
      </w:r>
      <w:r>
        <w:t>ibliográficas</w:t>
      </w:r>
      <w:bookmarkEnd w:id="138"/>
      <w:bookmarkEnd w:id="139"/>
    </w:p>
    <w:p w14:paraId="083331D6" w14:textId="77777777" w:rsidR="00B725A5" w:rsidRPr="00B725A5" w:rsidRDefault="00B725A5" w:rsidP="00B725A5"/>
    <w:p w14:paraId="7582D2C2" w14:textId="1FB0FC29" w:rsidR="00151643" w:rsidRPr="00360329" w:rsidRDefault="00B725A5" w:rsidP="00214D97">
      <w:pPr>
        <w:pStyle w:val="Style1"/>
        <w:spacing w:before="120" w:after="120" w:line="240" w:lineRule="auto"/>
        <w:ind w:left="567" w:hanging="567"/>
      </w:pPr>
      <w:proofErr w:type="spellStart"/>
      <w:r w:rsidRPr="002079A9">
        <w:rPr>
          <w:lang w:val="pt-PT"/>
        </w:rPr>
        <w:t>Albalate</w:t>
      </w:r>
      <w:proofErr w:type="spellEnd"/>
      <w:r w:rsidRPr="002079A9">
        <w:rPr>
          <w:lang w:val="pt-PT"/>
        </w:rPr>
        <w:t xml:space="preserve"> </w:t>
      </w:r>
      <w:proofErr w:type="spellStart"/>
      <w:r w:rsidRPr="002079A9">
        <w:rPr>
          <w:lang w:val="pt-PT"/>
        </w:rPr>
        <w:t>del</w:t>
      </w:r>
      <w:proofErr w:type="spellEnd"/>
      <w:r w:rsidRPr="002079A9">
        <w:rPr>
          <w:lang w:val="pt-PT"/>
        </w:rPr>
        <w:t xml:space="preserve"> Sol, D. (2013). </w:t>
      </w:r>
      <w:r w:rsidRPr="00360329">
        <w:t xml:space="preserve">The institutional, </w:t>
      </w:r>
      <w:proofErr w:type="gramStart"/>
      <w:r w:rsidRPr="00360329">
        <w:t>economic</w:t>
      </w:r>
      <w:proofErr w:type="gramEnd"/>
      <w:r w:rsidRPr="00360329">
        <w:t xml:space="preserve"> and social determinants of local government transparency. Journal of Economic Policy Reform, 16(1), 90-107</w:t>
      </w:r>
    </w:p>
    <w:p w14:paraId="36DC4288" w14:textId="487DED5C" w:rsidR="00151643" w:rsidRPr="00B2392F" w:rsidRDefault="00496626" w:rsidP="00214D97">
      <w:pPr>
        <w:pStyle w:val="Style1"/>
        <w:spacing w:before="120" w:after="120" w:line="240" w:lineRule="auto"/>
        <w:ind w:left="567" w:hanging="567"/>
      </w:pPr>
      <w:r w:rsidRPr="00B2392F">
        <w:t>Alcaraz-Quiles, F., Navarro-Galera, A. &amp; Ortiz-Rodríguez, D. (2014). Factors influencing the transparency of sustainability information in regional governments: an empirical study. Journal of Cleaner Production, 82, 179-191</w:t>
      </w:r>
    </w:p>
    <w:p w14:paraId="7B80980A" w14:textId="3C451BE8" w:rsidR="00F338BB" w:rsidRPr="00B2392F" w:rsidRDefault="00F338BB" w:rsidP="00214D97">
      <w:pPr>
        <w:pStyle w:val="Style1"/>
        <w:spacing w:before="120" w:after="120" w:line="240" w:lineRule="auto"/>
        <w:ind w:left="567" w:hanging="567"/>
      </w:pPr>
      <w:r w:rsidRPr="00B2392F">
        <w:t>Alesina, A. &amp; Angeletos, G. (2005). Corruption, inequality, and fairness. Journal of Monetary Economics, 52(7), 1227- 1244</w:t>
      </w:r>
    </w:p>
    <w:p w14:paraId="0AC2A252" w14:textId="3BE3AB6F" w:rsidR="00BE4B8A" w:rsidRPr="00B2392F" w:rsidRDefault="00BE4B8A" w:rsidP="00214D97">
      <w:pPr>
        <w:pStyle w:val="Style1"/>
        <w:spacing w:before="120" w:after="120" w:line="240" w:lineRule="auto"/>
        <w:ind w:left="567" w:hanging="567"/>
      </w:pPr>
      <w:proofErr w:type="spellStart"/>
      <w:r w:rsidRPr="00B2392F">
        <w:t>Baltagi</w:t>
      </w:r>
      <w:proofErr w:type="spellEnd"/>
      <w:r w:rsidRPr="00B2392F">
        <w:t>, B. (2005)</w:t>
      </w:r>
      <w:r w:rsidR="00256983" w:rsidRPr="00B2392F">
        <w:t>.</w:t>
      </w:r>
      <w:r w:rsidRPr="00B2392F">
        <w:t xml:space="preserve"> Econometric Analysis of Panel Data. 3ª Edition.</w:t>
      </w:r>
      <w:r w:rsidR="00214D97" w:rsidRPr="00B2392F">
        <w:t xml:space="preserve"> USA: John Wiley &amp; Sons</w:t>
      </w:r>
      <w:r w:rsidRPr="00B2392F">
        <w:t xml:space="preserve"> </w:t>
      </w:r>
    </w:p>
    <w:p w14:paraId="3360C2E4" w14:textId="062610EA" w:rsidR="00A32262" w:rsidRPr="00B2392F" w:rsidRDefault="00A32262" w:rsidP="00214D97">
      <w:pPr>
        <w:pStyle w:val="Style1"/>
        <w:spacing w:before="120" w:after="120" w:line="240" w:lineRule="auto"/>
        <w:ind w:left="567" w:hanging="567"/>
      </w:pPr>
      <w:proofErr w:type="spellStart"/>
      <w:r w:rsidRPr="00B2392F">
        <w:t>Bellver</w:t>
      </w:r>
      <w:proofErr w:type="spellEnd"/>
      <w:r w:rsidRPr="00B2392F">
        <w:t xml:space="preserve">, A. </w:t>
      </w:r>
      <w:r w:rsidR="00875216" w:rsidRPr="00B2392F">
        <w:t>&amp;</w:t>
      </w:r>
      <w:r w:rsidRPr="00B2392F">
        <w:t xml:space="preserve"> Kaufmann, D. (2005). </w:t>
      </w:r>
      <w:proofErr w:type="spellStart"/>
      <w:r w:rsidRPr="00B2392F">
        <w:t>Transparenting</w:t>
      </w:r>
      <w:proofErr w:type="spellEnd"/>
      <w:r w:rsidRPr="00B2392F">
        <w:t xml:space="preserve"> transparency: Initial Empirics and Policy Applications. The World Bank.</w:t>
      </w:r>
    </w:p>
    <w:p w14:paraId="7D63A317" w14:textId="77ABC2A6" w:rsidR="00F338BB" w:rsidRPr="00B2392F" w:rsidRDefault="00F338BB" w:rsidP="00214D97">
      <w:pPr>
        <w:pStyle w:val="Style1"/>
        <w:spacing w:before="120" w:after="120" w:line="240" w:lineRule="auto"/>
        <w:ind w:left="567" w:hanging="567"/>
      </w:pPr>
      <w:r w:rsidRPr="00B2392F">
        <w:t>Birchall, C. (2011). Introduction to secrecy and transparency: the politics of opacity and openness. Theory Culture Society, 28(7), 8–25</w:t>
      </w:r>
    </w:p>
    <w:p w14:paraId="3AF11E2B" w14:textId="40A8F4E3" w:rsidR="00151643" w:rsidRPr="00B2392F" w:rsidRDefault="00496626" w:rsidP="00214D97">
      <w:pPr>
        <w:pStyle w:val="Style1"/>
        <w:spacing w:before="120" w:after="120" w:line="240" w:lineRule="auto"/>
        <w:ind w:left="567" w:hanging="567"/>
      </w:pPr>
      <w:r w:rsidRPr="00B2392F">
        <w:t>Bolívar, M., Muñoz, L. &amp; Hernández, A. (2013). Determinants of Financial Transparency in Government. International Public Management Journal, 16(4), 557-602</w:t>
      </w:r>
    </w:p>
    <w:p w14:paraId="4F1F2B64" w14:textId="2CC76E86" w:rsidR="00151643" w:rsidRDefault="00496626" w:rsidP="00214D97">
      <w:pPr>
        <w:pStyle w:val="Style1"/>
        <w:spacing w:before="120" w:after="120" w:line="240" w:lineRule="auto"/>
        <w:ind w:left="567" w:hanging="567"/>
        <w:rPr>
          <w:lang w:val="pt-PT"/>
        </w:rPr>
      </w:pPr>
      <w:proofErr w:type="spellStart"/>
      <w:r w:rsidRPr="00B2392F">
        <w:t>Caamaño</w:t>
      </w:r>
      <w:proofErr w:type="spellEnd"/>
      <w:r w:rsidRPr="00B2392F">
        <w:t>-Alegre, J., Lago-</w:t>
      </w:r>
      <w:proofErr w:type="spellStart"/>
      <w:r w:rsidRPr="00B2392F">
        <w:t>Peñas</w:t>
      </w:r>
      <w:proofErr w:type="spellEnd"/>
      <w:r w:rsidRPr="00B2392F">
        <w:t>, S., Reyes-</w:t>
      </w:r>
      <w:proofErr w:type="spellStart"/>
      <w:r w:rsidRPr="00B2392F">
        <w:t>Santias</w:t>
      </w:r>
      <w:proofErr w:type="spellEnd"/>
      <w:r w:rsidRPr="00B2392F">
        <w:t>, F. &amp; Santiago-</w:t>
      </w:r>
      <w:proofErr w:type="spellStart"/>
      <w:r w:rsidRPr="00B2392F">
        <w:t>Boubeta</w:t>
      </w:r>
      <w:proofErr w:type="spellEnd"/>
      <w:r w:rsidRPr="00B2392F">
        <w:t>, A. (2013). Budget Transparency in Local Governments: An Empirical Analysis. </w:t>
      </w:r>
      <w:r w:rsidRPr="007051A5">
        <w:rPr>
          <w:lang w:val="pt-PT"/>
        </w:rPr>
        <w:t xml:space="preserve">Local </w:t>
      </w:r>
      <w:proofErr w:type="spellStart"/>
      <w:r w:rsidRPr="007051A5">
        <w:rPr>
          <w:lang w:val="pt-PT"/>
        </w:rPr>
        <w:t>Government</w:t>
      </w:r>
      <w:proofErr w:type="spellEnd"/>
      <w:r w:rsidRPr="007051A5">
        <w:rPr>
          <w:lang w:val="pt-PT"/>
        </w:rPr>
        <w:t xml:space="preserve"> </w:t>
      </w:r>
      <w:proofErr w:type="spellStart"/>
      <w:r w:rsidRPr="007051A5">
        <w:rPr>
          <w:lang w:val="pt-PT"/>
        </w:rPr>
        <w:t>Studies</w:t>
      </w:r>
      <w:proofErr w:type="spellEnd"/>
      <w:r w:rsidRPr="007051A5">
        <w:rPr>
          <w:lang w:val="pt-PT"/>
        </w:rPr>
        <w:t>, 39(2), 182-207</w:t>
      </w:r>
    </w:p>
    <w:p w14:paraId="325C2E09" w14:textId="138215B9" w:rsidR="00F338BB" w:rsidRPr="00214D97" w:rsidRDefault="00F338BB" w:rsidP="00214D97">
      <w:pPr>
        <w:pStyle w:val="Style1"/>
        <w:spacing w:before="120" w:after="120" w:line="240" w:lineRule="auto"/>
        <w:ind w:left="567" w:hanging="567"/>
        <w:rPr>
          <w:lang w:val="pt-PT"/>
        </w:rPr>
      </w:pPr>
      <w:r w:rsidRPr="00214D97">
        <w:rPr>
          <w:lang w:val="pt-PT"/>
        </w:rPr>
        <w:t xml:space="preserve">Constituição da República Portuguesa. Diário da República </w:t>
      </w:r>
      <w:proofErr w:type="spellStart"/>
      <w:r w:rsidRPr="00214D97">
        <w:rPr>
          <w:lang w:val="pt-PT"/>
        </w:rPr>
        <w:t>Série-I</w:t>
      </w:r>
      <w:proofErr w:type="spellEnd"/>
      <w:r w:rsidRPr="00214D97">
        <w:rPr>
          <w:lang w:val="pt-PT"/>
        </w:rPr>
        <w:t>. 86 (10-04-1976)</w:t>
      </w:r>
    </w:p>
    <w:p w14:paraId="71FA52B2" w14:textId="77777777" w:rsidR="00F338BB" w:rsidRPr="00214D97" w:rsidRDefault="00F338BB" w:rsidP="00214D97">
      <w:pPr>
        <w:pStyle w:val="Style1"/>
        <w:spacing w:before="120" w:after="120" w:line="240" w:lineRule="auto"/>
        <w:ind w:left="567" w:hanging="567"/>
        <w:rPr>
          <w:lang w:val="pt-PT"/>
        </w:rPr>
      </w:pPr>
      <w:r w:rsidRPr="00214D97">
        <w:rPr>
          <w:lang w:val="pt-PT"/>
        </w:rPr>
        <w:t>Correa, S. (2003). Probabilidade e Estatística (2º ed.). Belo Horizonte: PUC Minas Virtual.</w:t>
      </w:r>
    </w:p>
    <w:p w14:paraId="63FA4F02" w14:textId="3B7701AB" w:rsidR="005829E2" w:rsidRPr="00214D97" w:rsidRDefault="007E72DE" w:rsidP="00214D97">
      <w:pPr>
        <w:pStyle w:val="Style1"/>
        <w:spacing w:before="120" w:after="120" w:line="240" w:lineRule="auto"/>
        <w:ind w:left="567" w:hanging="567"/>
        <w:rPr>
          <w:lang w:val="pt-PT"/>
        </w:rPr>
      </w:pPr>
      <w:r w:rsidRPr="006078EA">
        <w:rPr>
          <w:lang w:val="pt-PT"/>
        </w:rPr>
        <w:t xml:space="preserve">Cruz, C., Ferreira, A., Silva, L. </w:t>
      </w:r>
      <w:r w:rsidR="00875216">
        <w:rPr>
          <w:lang w:val="pt-PT"/>
        </w:rPr>
        <w:t>&amp;</w:t>
      </w:r>
      <w:r w:rsidR="00875216" w:rsidRPr="006078EA">
        <w:rPr>
          <w:lang w:val="pt-PT"/>
        </w:rPr>
        <w:t xml:space="preserve"> </w:t>
      </w:r>
      <w:r w:rsidRPr="006078EA">
        <w:rPr>
          <w:lang w:val="pt-PT"/>
        </w:rPr>
        <w:t xml:space="preserve">Macedo, M. (2012). Transparência da gestão pública municipal: um estudo a partir dos portais eletrônicos dos maiores municípios brasileiros. Revista de </w:t>
      </w:r>
      <w:r w:rsidR="00A35C92">
        <w:rPr>
          <w:lang w:val="pt-PT"/>
        </w:rPr>
        <w:t>Administração Pública</w:t>
      </w:r>
    </w:p>
    <w:p w14:paraId="2FC034F4" w14:textId="6B6EE0B3" w:rsidR="00F338BB" w:rsidRPr="00B2392F" w:rsidRDefault="00F338BB" w:rsidP="00214D97">
      <w:pPr>
        <w:pStyle w:val="Style1"/>
        <w:spacing w:before="120" w:after="120" w:line="240" w:lineRule="auto"/>
        <w:ind w:left="567" w:hanging="567"/>
      </w:pPr>
      <w:r w:rsidRPr="006078EA">
        <w:rPr>
          <w:lang w:val="pt-PT"/>
        </w:rPr>
        <w:t xml:space="preserve">Cruz, C., Silva, L. </w:t>
      </w:r>
      <w:r>
        <w:rPr>
          <w:lang w:val="pt-PT"/>
        </w:rPr>
        <w:t xml:space="preserve">&amp; </w:t>
      </w:r>
      <w:r w:rsidRPr="006078EA">
        <w:rPr>
          <w:lang w:val="pt-PT"/>
        </w:rPr>
        <w:t xml:space="preserve">Santos, R. (2009). Transparência da gestão fiscal: um estudo a partir dos portais eletrônicos dos maiores municípios do estado do Rio de Janeiro. </w:t>
      </w:r>
      <w:r w:rsidRPr="00B2392F">
        <w:t xml:space="preserve">Journal of Accounting, Management and Governance, 12(3). </w:t>
      </w:r>
      <w:proofErr w:type="spellStart"/>
      <w:r w:rsidRPr="00B2392F">
        <w:t>Disponivel</w:t>
      </w:r>
      <w:proofErr w:type="spellEnd"/>
      <w:r w:rsidRPr="00B2392F">
        <w:t xml:space="preserve"> </w:t>
      </w:r>
      <w:proofErr w:type="spellStart"/>
      <w:r w:rsidRPr="00B2392F">
        <w:t>em</w:t>
      </w:r>
      <w:proofErr w:type="spellEnd"/>
      <w:r w:rsidRPr="00B2392F">
        <w:t xml:space="preserve">: </w:t>
      </w:r>
      <w:hyperlink r:id="rId21" w:tgtFrame="_new" w:history="1">
        <w:r w:rsidRPr="00B2392F">
          <w:t>https://www.revistacgg.org/contabil/article/view/86</w:t>
        </w:r>
      </w:hyperlink>
    </w:p>
    <w:p w14:paraId="0C3C5607" w14:textId="07BAC761" w:rsidR="00803EBB" w:rsidRPr="0043154B" w:rsidRDefault="00803EBB" w:rsidP="00214D97">
      <w:pPr>
        <w:pStyle w:val="Style1"/>
        <w:spacing w:before="120" w:after="120" w:line="240" w:lineRule="auto"/>
        <w:ind w:left="567" w:hanging="567"/>
      </w:pPr>
      <w:r w:rsidRPr="001E180C">
        <w:rPr>
          <w:lang w:val="pt-PT"/>
        </w:rPr>
        <w:t xml:space="preserve">Decreto-lei nº 192/2015. Diário da República </w:t>
      </w:r>
      <w:proofErr w:type="spellStart"/>
      <w:r w:rsidRPr="001E180C">
        <w:rPr>
          <w:lang w:val="pt-PT"/>
        </w:rPr>
        <w:t>Série-I</w:t>
      </w:r>
      <w:proofErr w:type="spellEnd"/>
      <w:r w:rsidRPr="001E180C">
        <w:rPr>
          <w:lang w:val="pt-PT"/>
        </w:rPr>
        <w:t xml:space="preserve">. </w:t>
      </w:r>
      <w:r w:rsidRPr="0043154B">
        <w:t>192 (11-09-205) 7584-7828</w:t>
      </w:r>
    </w:p>
    <w:p w14:paraId="1E1DFF63" w14:textId="6FD70FC8" w:rsidR="00695110" w:rsidRPr="002079A9" w:rsidRDefault="00695110" w:rsidP="00214D97">
      <w:pPr>
        <w:pStyle w:val="Style1"/>
        <w:spacing w:before="120" w:after="120" w:line="240" w:lineRule="auto"/>
        <w:ind w:left="567" w:hanging="567"/>
      </w:pPr>
      <w:r w:rsidRPr="00330E80">
        <w:t xml:space="preserve">Esteller-Moré, A. </w:t>
      </w:r>
      <w:r w:rsidR="00875216" w:rsidRPr="00330E80">
        <w:t xml:space="preserve">&amp; </w:t>
      </w:r>
      <w:r w:rsidRPr="00330E80">
        <w:t>Otero, J. (2012). Fiscal Transparency, Public Management Review 14(8), 1153-1173</w:t>
      </w:r>
      <w:r w:rsidR="00256983" w:rsidRPr="00330E80">
        <w:t>.</w:t>
      </w:r>
    </w:p>
    <w:p w14:paraId="40D82598" w14:textId="732C7E88" w:rsidR="004E1A27" w:rsidRPr="00201690" w:rsidRDefault="004E1A27" w:rsidP="00214D97">
      <w:pPr>
        <w:pStyle w:val="Style1"/>
        <w:spacing w:before="120" w:after="120" w:line="240" w:lineRule="auto"/>
        <w:ind w:left="567" w:hanging="567"/>
        <w:rPr>
          <w:lang w:val="pt-PT"/>
        </w:rPr>
      </w:pPr>
      <w:proofErr w:type="spellStart"/>
      <w:r w:rsidRPr="00D07CF7">
        <w:rPr>
          <w:lang w:val="pt-PT"/>
        </w:rPr>
        <w:t>Fávero</w:t>
      </w:r>
      <w:proofErr w:type="spellEnd"/>
      <w:r w:rsidRPr="00D07CF7">
        <w:rPr>
          <w:lang w:val="pt-PT"/>
        </w:rPr>
        <w:t xml:space="preserve">, L </w:t>
      </w:r>
      <w:r w:rsidR="00875216" w:rsidRPr="00D07CF7">
        <w:rPr>
          <w:lang w:val="pt-PT"/>
        </w:rPr>
        <w:t xml:space="preserve">&amp; </w:t>
      </w:r>
      <w:proofErr w:type="spellStart"/>
      <w:r w:rsidRPr="00D07CF7">
        <w:rPr>
          <w:lang w:val="pt-PT"/>
        </w:rPr>
        <w:t>Belfiore</w:t>
      </w:r>
      <w:proofErr w:type="spellEnd"/>
      <w:r w:rsidRPr="00D07CF7">
        <w:rPr>
          <w:lang w:val="pt-PT"/>
        </w:rPr>
        <w:t xml:space="preserve">, P. (2017). </w:t>
      </w:r>
      <w:r w:rsidRPr="00214D97">
        <w:rPr>
          <w:lang w:val="pt-PT"/>
        </w:rPr>
        <w:t xml:space="preserve">Manual de Análise de Dados: Estatística e Modelagem Multivariada com Excel, SPSS e </w:t>
      </w:r>
      <w:proofErr w:type="spellStart"/>
      <w:r w:rsidRPr="00214D97">
        <w:rPr>
          <w:lang w:val="pt-PT"/>
        </w:rPr>
        <w:t>Stata</w:t>
      </w:r>
      <w:proofErr w:type="spellEnd"/>
      <w:r w:rsidRPr="00FE0A97">
        <w:rPr>
          <w:lang w:val="pt-PT"/>
        </w:rPr>
        <w:t xml:space="preserve">. </w:t>
      </w:r>
      <w:r w:rsidR="003214D6">
        <w:rPr>
          <w:lang w:val="pt-PT"/>
        </w:rPr>
        <w:t>Brasil: Elsevier</w:t>
      </w:r>
    </w:p>
    <w:p w14:paraId="40874735" w14:textId="0E9815B4" w:rsidR="000F166A" w:rsidRPr="000F166A" w:rsidRDefault="000F166A" w:rsidP="00214D97">
      <w:pPr>
        <w:pStyle w:val="Style1"/>
        <w:spacing w:before="120" w:after="120" w:line="240" w:lineRule="auto"/>
        <w:ind w:left="567" w:hanging="567"/>
        <w:rPr>
          <w:lang w:val="pt-PT"/>
        </w:rPr>
      </w:pPr>
      <w:r w:rsidRPr="000F166A">
        <w:rPr>
          <w:lang w:val="pt-PT"/>
        </w:rPr>
        <w:lastRenderedPageBreak/>
        <w:t xml:space="preserve">Ferreira, A. (2012). Análise de </w:t>
      </w:r>
      <w:proofErr w:type="spellStart"/>
      <w:r w:rsidRPr="000F166A">
        <w:rPr>
          <w:lang w:val="pt-PT"/>
        </w:rPr>
        <w:t>Colinearidade</w:t>
      </w:r>
      <w:proofErr w:type="spellEnd"/>
      <w:r w:rsidRPr="000F166A">
        <w:rPr>
          <w:lang w:val="pt-PT"/>
        </w:rPr>
        <w:t xml:space="preserve"> e</w:t>
      </w:r>
      <w:r>
        <w:rPr>
          <w:lang w:val="pt-PT"/>
        </w:rPr>
        <w:t xml:space="preserve"> </w:t>
      </w:r>
      <w:proofErr w:type="spellStart"/>
      <w:r>
        <w:rPr>
          <w:lang w:val="pt-PT"/>
        </w:rPr>
        <w:t>Multicolinearidade</w:t>
      </w:r>
      <w:proofErr w:type="spellEnd"/>
      <w:r>
        <w:rPr>
          <w:lang w:val="pt-PT"/>
        </w:rPr>
        <w:t xml:space="preserve">. Disponível em: </w:t>
      </w:r>
      <w:hyperlink r:id="rId22" w:history="1">
        <w:r w:rsidRPr="00214D97">
          <w:rPr>
            <w:lang w:val="pt-PT"/>
          </w:rPr>
          <w:t>http://wiki.nosdigitais.teia.org.br/images/2/21/Apostila_mulitcolinearidade.pdf</w:t>
        </w:r>
      </w:hyperlink>
      <w:r w:rsidRPr="000F166A">
        <w:rPr>
          <w:lang w:val="pt-PT"/>
        </w:rPr>
        <w:t xml:space="preserve"> </w:t>
      </w:r>
    </w:p>
    <w:p w14:paraId="0A05BC87" w14:textId="36A0FE89" w:rsidR="00AB1814" w:rsidRPr="00B2392F" w:rsidRDefault="00AB1814" w:rsidP="00214D97">
      <w:pPr>
        <w:pStyle w:val="Style1"/>
        <w:spacing w:before="120" w:after="120" w:line="240" w:lineRule="auto"/>
        <w:ind w:left="567" w:hanging="567"/>
      </w:pPr>
      <w:r w:rsidRPr="00B2392F">
        <w:t xml:space="preserve">Ferejohn, J. (1999). Accountability and authority: towards a model of political accountability, In: A. </w:t>
      </w:r>
      <w:proofErr w:type="spellStart"/>
      <w:r w:rsidRPr="00B2392F">
        <w:t>Przeworski</w:t>
      </w:r>
      <w:proofErr w:type="spellEnd"/>
      <w:r w:rsidRPr="00B2392F">
        <w:t xml:space="preserve">, S. C. Stokes and B. </w:t>
      </w:r>
      <w:proofErr w:type="spellStart"/>
      <w:r w:rsidRPr="00B2392F">
        <w:t>Manin</w:t>
      </w:r>
      <w:proofErr w:type="spellEnd"/>
      <w:r w:rsidRPr="00B2392F">
        <w:t xml:space="preserve"> (Eds) Democracy, Accountability and Representation. New York: Cambridge University Press, pp. 131–153.</w:t>
      </w:r>
    </w:p>
    <w:p w14:paraId="59C768F2" w14:textId="536945FE" w:rsidR="00841FB3" w:rsidRPr="00841FB3" w:rsidRDefault="00841FB3" w:rsidP="00214D97">
      <w:pPr>
        <w:pStyle w:val="Style1"/>
        <w:spacing w:before="120" w:after="120" w:line="240" w:lineRule="auto"/>
        <w:ind w:left="567" w:hanging="567"/>
        <w:rPr>
          <w:lang w:val="pt-PT"/>
        </w:rPr>
      </w:pPr>
      <w:r w:rsidRPr="00B2392F">
        <w:t xml:space="preserve">Fernandes, M., Camões, P. &amp; Jorge, S. (2019). </w:t>
      </w:r>
      <w:r w:rsidRPr="00214D97">
        <w:rPr>
          <w:lang w:val="pt-PT"/>
        </w:rPr>
        <w:t>Anuário Financeiros dos Municípios Portugueses - 2018</w:t>
      </w:r>
      <w:r w:rsidRPr="00841FB3">
        <w:rPr>
          <w:lang w:val="pt-PT"/>
        </w:rPr>
        <w:t>. Disponível em https://www.occ.pt/pt/a-ordem/publicacoes/anuario-financeiro-dos-municipios-portugueses/</w:t>
      </w:r>
    </w:p>
    <w:p w14:paraId="74811DFB" w14:textId="3ECB8214" w:rsidR="00645F51" w:rsidRPr="00645F51" w:rsidRDefault="00645F51" w:rsidP="00214D97">
      <w:pPr>
        <w:pStyle w:val="Style1"/>
        <w:spacing w:before="120" w:after="120" w:line="240" w:lineRule="auto"/>
        <w:ind w:left="567" w:hanging="567"/>
        <w:rPr>
          <w:lang w:val="pt-PT"/>
        </w:rPr>
      </w:pPr>
      <w:r w:rsidRPr="00077002">
        <w:rPr>
          <w:lang w:val="pt-PT"/>
        </w:rPr>
        <w:t xml:space="preserve">Filho, D. </w:t>
      </w:r>
      <w:r w:rsidR="00875216" w:rsidRPr="00077002">
        <w:rPr>
          <w:lang w:val="pt-PT"/>
        </w:rPr>
        <w:t xml:space="preserve">&amp; </w:t>
      </w:r>
      <w:proofErr w:type="spellStart"/>
      <w:r w:rsidRPr="00077002">
        <w:rPr>
          <w:lang w:val="pt-PT"/>
        </w:rPr>
        <w:t>Junior</w:t>
      </w:r>
      <w:proofErr w:type="spellEnd"/>
      <w:r w:rsidRPr="00077002">
        <w:rPr>
          <w:lang w:val="pt-PT"/>
        </w:rPr>
        <w:t xml:space="preserve">, J. (2009). </w:t>
      </w:r>
      <w:r w:rsidRPr="00645F51">
        <w:rPr>
          <w:lang w:val="pt-PT"/>
        </w:rPr>
        <w:t xml:space="preserve">Desvendando os Mistérios do Coeficiente de Correlação de </w:t>
      </w:r>
      <w:proofErr w:type="spellStart"/>
      <w:r w:rsidRPr="00645F51">
        <w:rPr>
          <w:lang w:val="pt-PT"/>
        </w:rPr>
        <w:t>Pearson</w:t>
      </w:r>
      <w:proofErr w:type="spellEnd"/>
      <w:r w:rsidRPr="00645F51">
        <w:rPr>
          <w:lang w:val="pt-PT"/>
        </w:rPr>
        <w:t xml:space="preserve"> (r)</w:t>
      </w:r>
      <w:r w:rsidRPr="00214D97">
        <w:rPr>
          <w:lang w:val="pt-PT"/>
        </w:rPr>
        <w:t>.</w:t>
      </w:r>
      <w:r>
        <w:rPr>
          <w:lang w:val="pt-PT"/>
        </w:rPr>
        <w:t xml:space="preserve"> </w:t>
      </w:r>
      <w:r w:rsidRPr="00214D97">
        <w:rPr>
          <w:lang w:val="pt-PT"/>
        </w:rPr>
        <w:t>Revista Política Hoje</w:t>
      </w:r>
      <w:r w:rsidR="00256983" w:rsidRPr="00214D97">
        <w:rPr>
          <w:lang w:val="pt-PT"/>
        </w:rPr>
        <w:t>,</w:t>
      </w:r>
      <w:r>
        <w:rPr>
          <w:lang w:val="pt-PT"/>
        </w:rPr>
        <w:t xml:space="preserve"> 18</w:t>
      </w:r>
      <w:r w:rsidRPr="00214D97">
        <w:rPr>
          <w:lang w:val="pt-PT"/>
        </w:rPr>
        <w:t>(1),</w:t>
      </w:r>
      <w:r>
        <w:rPr>
          <w:lang w:val="pt-PT"/>
        </w:rPr>
        <w:t xml:space="preserve"> 115-146</w:t>
      </w:r>
      <w:r w:rsidR="00256983">
        <w:rPr>
          <w:lang w:val="pt-PT"/>
        </w:rPr>
        <w:t>.</w:t>
      </w:r>
    </w:p>
    <w:p w14:paraId="5E536143" w14:textId="0AD94963" w:rsidR="00C96C8E" w:rsidRPr="00F16279" w:rsidRDefault="00C96C8E" w:rsidP="00214D97">
      <w:pPr>
        <w:pStyle w:val="Style1"/>
        <w:spacing w:before="120" w:after="120" w:line="240" w:lineRule="auto"/>
        <w:ind w:left="567" w:hanging="567"/>
        <w:rPr>
          <w:lang w:val="pt-PT"/>
        </w:rPr>
      </w:pPr>
      <w:r w:rsidRPr="00C96C8E">
        <w:rPr>
          <w:lang w:val="pt-PT"/>
        </w:rPr>
        <w:t>Fundo Monetário Internacional (2007). Manual de Transpar</w:t>
      </w:r>
      <w:r>
        <w:rPr>
          <w:lang w:val="pt-PT"/>
        </w:rPr>
        <w:t xml:space="preserve">ência Fiscal. Disponível em: </w:t>
      </w:r>
      <w:hyperlink r:id="rId23" w:history="1">
        <w:r w:rsidRPr="00214D97">
          <w:rPr>
            <w:lang w:val="pt-PT"/>
          </w:rPr>
          <w:t>https://www.imf.org/external/np/fad/trans/por/manualp.pdf</w:t>
        </w:r>
      </w:hyperlink>
    </w:p>
    <w:p w14:paraId="4D98FF61" w14:textId="159A494B" w:rsidR="00151643" w:rsidRDefault="00496626" w:rsidP="00214D97">
      <w:pPr>
        <w:pStyle w:val="Style1"/>
        <w:spacing w:before="120" w:after="120" w:line="240" w:lineRule="auto"/>
        <w:ind w:left="567" w:hanging="567"/>
        <w:rPr>
          <w:lang w:val="pt-PT"/>
        </w:rPr>
      </w:pPr>
      <w:r w:rsidRPr="0043154B">
        <w:rPr>
          <w:lang w:val="pt-PT"/>
        </w:rPr>
        <w:t xml:space="preserve">Guillamón, M., Bastida, F. &amp; Benito, B. (2011). </w:t>
      </w:r>
      <w:r w:rsidRPr="00B2392F">
        <w:t>The Determinants of Local Government's Financial Transparency. </w:t>
      </w:r>
      <w:r w:rsidRPr="00214D97">
        <w:rPr>
          <w:lang w:val="pt-PT"/>
        </w:rPr>
        <w:t xml:space="preserve">Local </w:t>
      </w:r>
      <w:proofErr w:type="spellStart"/>
      <w:r w:rsidRPr="00214D97">
        <w:rPr>
          <w:lang w:val="pt-PT"/>
        </w:rPr>
        <w:t>Government</w:t>
      </w:r>
      <w:proofErr w:type="spellEnd"/>
      <w:r w:rsidRPr="00214D97">
        <w:rPr>
          <w:lang w:val="pt-PT"/>
        </w:rPr>
        <w:t xml:space="preserve"> </w:t>
      </w:r>
      <w:proofErr w:type="spellStart"/>
      <w:r w:rsidRPr="00214D97">
        <w:rPr>
          <w:lang w:val="pt-PT"/>
        </w:rPr>
        <w:t>Studies</w:t>
      </w:r>
      <w:proofErr w:type="spellEnd"/>
      <w:r w:rsidRPr="00386413">
        <w:rPr>
          <w:lang w:val="pt-PT"/>
        </w:rPr>
        <w:t>, 37(4), 391-406</w:t>
      </w:r>
    </w:p>
    <w:p w14:paraId="1CE79EF0" w14:textId="2ACCBC0A" w:rsidR="00D552F8" w:rsidRPr="00FE52D0" w:rsidRDefault="00D552F8" w:rsidP="00214D97">
      <w:pPr>
        <w:pStyle w:val="Style1"/>
        <w:spacing w:before="120" w:after="120" w:line="240" w:lineRule="auto"/>
        <w:ind w:left="567" w:hanging="567"/>
        <w:rPr>
          <w:lang w:val="pt-PT"/>
        </w:rPr>
      </w:pPr>
      <w:r>
        <w:rPr>
          <w:lang w:val="pt-PT"/>
        </w:rPr>
        <w:t xml:space="preserve">Guimarães, P. (2008). </w:t>
      </w:r>
      <w:r w:rsidRPr="00214D97">
        <w:rPr>
          <w:lang w:val="pt-PT"/>
        </w:rPr>
        <w:t xml:space="preserve">Métodos quantitativos estatísticos. </w:t>
      </w:r>
      <w:r w:rsidR="00FE52D0" w:rsidRPr="00FE0A97">
        <w:rPr>
          <w:lang w:val="pt-PT"/>
        </w:rPr>
        <w:t>Curitiba: IESDE</w:t>
      </w:r>
    </w:p>
    <w:p w14:paraId="21E233D7" w14:textId="7A489487" w:rsidR="002E28D8" w:rsidRPr="00330E80" w:rsidRDefault="002E28D8" w:rsidP="00214D97">
      <w:pPr>
        <w:pStyle w:val="Style1"/>
        <w:spacing w:before="120" w:after="120" w:line="240" w:lineRule="auto"/>
        <w:ind w:left="567" w:hanging="567"/>
        <w:rPr>
          <w:lang w:val="pt-PT"/>
        </w:rPr>
      </w:pPr>
      <w:r w:rsidRPr="002E28D8">
        <w:rPr>
          <w:lang w:val="pt-PT"/>
        </w:rPr>
        <w:t xml:space="preserve">Gujarati, D. &amp; </w:t>
      </w:r>
      <w:proofErr w:type="spellStart"/>
      <w:r w:rsidRPr="002E28D8">
        <w:rPr>
          <w:lang w:val="pt-PT"/>
        </w:rPr>
        <w:t>Porter</w:t>
      </w:r>
      <w:proofErr w:type="spellEnd"/>
      <w:r w:rsidRPr="002E28D8">
        <w:rPr>
          <w:lang w:val="pt-PT"/>
        </w:rPr>
        <w:t xml:space="preserve">, D. (2011). </w:t>
      </w:r>
      <w:r w:rsidRPr="0043154B">
        <w:rPr>
          <w:lang w:val="pt-PT"/>
        </w:rPr>
        <w:t xml:space="preserve">Econometria básica (5a). AMGH Editora </w:t>
      </w:r>
      <w:proofErr w:type="spellStart"/>
      <w:r w:rsidRPr="0043154B">
        <w:rPr>
          <w:lang w:val="pt-PT"/>
        </w:rPr>
        <w:t>Ltda</w:t>
      </w:r>
      <w:proofErr w:type="spellEnd"/>
    </w:p>
    <w:p w14:paraId="1DEAF8A4" w14:textId="721D61B6" w:rsidR="00803EBB" w:rsidRPr="00201690" w:rsidRDefault="00803EBB" w:rsidP="00214D97">
      <w:pPr>
        <w:pStyle w:val="Style1"/>
        <w:spacing w:before="120" w:after="120" w:line="240" w:lineRule="auto"/>
        <w:ind w:left="567" w:hanging="567"/>
        <w:rPr>
          <w:lang w:val="pt-PT"/>
        </w:rPr>
      </w:pPr>
      <w:r w:rsidRPr="00B2392F">
        <w:t xml:space="preserve">Hood, C. (2011). From FOI world to Wikileaks world: a new chapter in the transparency </w:t>
      </w:r>
      <w:proofErr w:type="gramStart"/>
      <w:r w:rsidRPr="00B2392F">
        <w:t>story?.</w:t>
      </w:r>
      <w:proofErr w:type="gramEnd"/>
      <w:r w:rsidRPr="00B2392F">
        <w:t> </w:t>
      </w:r>
      <w:proofErr w:type="spellStart"/>
      <w:r w:rsidRPr="008208F3">
        <w:rPr>
          <w:lang w:val="pt-PT"/>
        </w:rPr>
        <w:t>Governance</w:t>
      </w:r>
      <w:proofErr w:type="spellEnd"/>
      <w:r w:rsidRPr="008208F3">
        <w:rPr>
          <w:lang w:val="pt-PT"/>
        </w:rPr>
        <w:t>, 24(4), 635–638</w:t>
      </w:r>
    </w:p>
    <w:p w14:paraId="4B8C519E" w14:textId="18F85321" w:rsidR="000407C1" w:rsidRPr="002079A9" w:rsidRDefault="000407C1" w:rsidP="00214D97">
      <w:pPr>
        <w:pStyle w:val="Style1"/>
        <w:spacing w:before="120" w:after="120" w:line="240" w:lineRule="auto"/>
        <w:ind w:left="567" w:hanging="567"/>
      </w:pPr>
      <w:proofErr w:type="spellStart"/>
      <w:r w:rsidRPr="000407C1">
        <w:rPr>
          <w:lang w:val="pt-PT"/>
        </w:rPr>
        <w:t>Huot</w:t>
      </w:r>
      <w:proofErr w:type="spellEnd"/>
      <w:r w:rsidRPr="000407C1">
        <w:rPr>
          <w:lang w:val="pt-PT"/>
        </w:rPr>
        <w:t>, R</w:t>
      </w:r>
      <w:r w:rsidR="00F338BB">
        <w:rPr>
          <w:lang w:val="pt-PT"/>
        </w:rPr>
        <w:t>.</w:t>
      </w:r>
      <w:r w:rsidRPr="000407C1">
        <w:rPr>
          <w:lang w:val="pt-PT"/>
        </w:rPr>
        <w:t xml:space="preserve"> (2002). Métodos quantitativos para as ciências humanas (tradução de Maria Luísa Figueiredo). </w:t>
      </w:r>
      <w:proofErr w:type="spellStart"/>
      <w:r w:rsidRPr="002079A9">
        <w:t>Lisboa</w:t>
      </w:r>
      <w:proofErr w:type="spellEnd"/>
      <w:r w:rsidRPr="002079A9">
        <w:t>: Instituto Piaget.</w:t>
      </w:r>
    </w:p>
    <w:p w14:paraId="0999D5C2" w14:textId="00734E7B" w:rsidR="00803EBB" w:rsidRPr="00B2392F" w:rsidRDefault="00803EBB" w:rsidP="00214D97">
      <w:pPr>
        <w:pStyle w:val="Style1"/>
        <w:spacing w:before="120" w:after="120" w:line="240" w:lineRule="auto"/>
        <w:ind w:left="567" w:hanging="567"/>
      </w:pPr>
      <w:r w:rsidRPr="00B2392F">
        <w:t xml:space="preserve">Islam, R. (2006). Do more transparent governments govern </w:t>
      </w:r>
      <w:proofErr w:type="gramStart"/>
      <w:r w:rsidRPr="00B2392F">
        <w:t>better?.</w:t>
      </w:r>
      <w:proofErr w:type="gramEnd"/>
      <w:r w:rsidRPr="00B2392F">
        <w:t> Economics and Politics, 18(2), 121–167</w:t>
      </w:r>
    </w:p>
    <w:p w14:paraId="3A4F487E" w14:textId="39101BFD" w:rsidR="0092165A" w:rsidRPr="00B2392F" w:rsidRDefault="0092165A" w:rsidP="00214D97">
      <w:pPr>
        <w:pStyle w:val="Style1"/>
        <w:spacing w:before="120" w:after="120" w:line="240" w:lineRule="auto"/>
        <w:ind w:left="567" w:hanging="567"/>
      </w:pPr>
      <w:r w:rsidRPr="00B2392F">
        <w:t xml:space="preserve">Jensen, M. </w:t>
      </w:r>
      <w:r w:rsidR="00875216" w:rsidRPr="00B2392F">
        <w:t xml:space="preserve">&amp; </w:t>
      </w:r>
      <w:proofErr w:type="spellStart"/>
      <w:r w:rsidRPr="00B2392F">
        <w:t>Meckling</w:t>
      </w:r>
      <w:proofErr w:type="spellEnd"/>
      <w:r w:rsidRPr="00B2392F">
        <w:t>, W. (1976). The Theory of the Firm: Managerial Behavior, Agency Cost, and Ownership Structure. Journal of Financial Economics 3(4), 305-360</w:t>
      </w:r>
    </w:p>
    <w:p w14:paraId="4A5875B7" w14:textId="42930F5D" w:rsidR="008955D5" w:rsidRPr="00B2392F" w:rsidRDefault="008955D5" w:rsidP="00214D97">
      <w:pPr>
        <w:pStyle w:val="Style1"/>
        <w:spacing w:before="120" w:after="120" w:line="240" w:lineRule="auto"/>
        <w:ind w:left="567" w:hanging="567"/>
      </w:pPr>
      <w:r w:rsidRPr="00B2392F">
        <w:t>La Porte, T.</w:t>
      </w:r>
      <w:r w:rsidR="008C03D9" w:rsidRPr="00B2392F">
        <w:t>,</w:t>
      </w:r>
      <w:r w:rsidRPr="00B2392F">
        <w:t xml:space="preserve"> </w:t>
      </w:r>
      <w:proofErr w:type="spellStart"/>
      <w:r w:rsidRPr="00B2392F">
        <w:t>Demchak</w:t>
      </w:r>
      <w:proofErr w:type="spellEnd"/>
      <w:r w:rsidRPr="00B2392F">
        <w:t xml:space="preserve">, C. </w:t>
      </w:r>
      <w:r w:rsidR="00875216" w:rsidRPr="00B2392F">
        <w:t xml:space="preserve">&amp; </w:t>
      </w:r>
      <w:r w:rsidRPr="00B2392F">
        <w:t>Jong, M. (2002), ―Democracy and Bureaucracy in the Age of the Web: Empirical Findings and Theoretical Speculations‖, Administr</w:t>
      </w:r>
      <w:r w:rsidR="00386E39" w:rsidRPr="00B2392F">
        <w:t>ation &amp; Society, 34(4)</w:t>
      </w:r>
      <w:r w:rsidR="008C03D9" w:rsidRPr="00B2392F">
        <w:t>,</w:t>
      </w:r>
      <w:r w:rsidR="00386E39" w:rsidRPr="00B2392F">
        <w:t xml:space="preserve"> 411-446</w:t>
      </w:r>
    </w:p>
    <w:p w14:paraId="465F5177" w14:textId="4EA8C625" w:rsidR="00803EBB" w:rsidRPr="002079A9" w:rsidRDefault="00803EBB" w:rsidP="00214D97">
      <w:pPr>
        <w:pStyle w:val="Style1"/>
        <w:spacing w:before="120" w:after="120" w:line="240" w:lineRule="auto"/>
        <w:ind w:left="567" w:hanging="567"/>
        <w:rPr>
          <w:lang w:val="it-IT"/>
        </w:rPr>
      </w:pPr>
      <w:r w:rsidRPr="001E180C">
        <w:rPr>
          <w:lang w:val="pt-PT"/>
        </w:rPr>
        <w:t xml:space="preserve">Lei nº 151/2015. Diário da República </w:t>
      </w:r>
      <w:proofErr w:type="spellStart"/>
      <w:r w:rsidRPr="001E180C">
        <w:rPr>
          <w:lang w:val="pt-PT"/>
        </w:rPr>
        <w:t>Série-I</w:t>
      </w:r>
      <w:proofErr w:type="spellEnd"/>
      <w:r w:rsidRPr="001E180C">
        <w:rPr>
          <w:lang w:val="pt-PT"/>
        </w:rPr>
        <w:t xml:space="preserve">. </w:t>
      </w:r>
      <w:r w:rsidRPr="002079A9">
        <w:rPr>
          <w:lang w:val="it-IT"/>
        </w:rPr>
        <w:t>151 (11-09-2015) 7566-7584</w:t>
      </w:r>
    </w:p>
    <w:p w14:paraId="458B0E39" w14:textId="0FB7FB31" w:rsidR="00386E39" w:rsidRPr="00B2392F" w:rsidRDefault="00386E39" w:rsidP="00214D97">
      <w:pPr>
        <w:pStyle w:val="Style1"/>
        <w:spacing w:before="120" w:after="120" w:line="240" w:lineRule="auto"/>
        <w:ind w:left="567" w:hanging="567"/>
      </w:pPr>
      <w:r w:rsidRPr="002079A9">
        <w:rPr>
          <w:lang w:val="it-IT"/>
        </w:rPr>
        <w:t>Lima, L.,</w:t>
      </w:r>
      <w:r w:rsidR="008C03D9" w:rsidRPr="002079A9">
        <w:rPr>
          <w:lang w:val="it-IT"/>
        </w:rPr>
        <w:t xml:space="preserve"> </w:t>
      </w:r>
      <w:r w:rsidRPr="002079A9">
        <w:rPr>
          <w:lang w:val="it-IT"/>
        </w:rPr>
        <w:t>Maroldi, A.</w:t>
      </w:r>
      <w:r w:rsidR="00875216" w:rsidRPr="002079A9">
        <w:rPr>
          <w:lang w:val="it-IT"/>
        </w:rPr>
        <w:t xml:space="preserve"> &amp;</w:t>
      </w:r>
      <w:r w:rsidRPr="002079A9">
        <w:rPr>
          <w:lang w:val="it-IT"/>
        </w:rPr>
        <w:t xml:space="preserve"> Silva, D. (2013). </w:t>
      </w:r>
      <w:proofErr w:type="spellStart"/>
      <w:r w:rsidRPr="00386E39">
        <w:rPr>
          <w:lang w:val="pt-PT"/>
        </w:rPr>
        <w:t>Outlier</w:t>
      </w:r>
      <w:proofErr w:type="spellEnd"/>
      <w:r w:rsidRPr="00386E39">
        <w:rPr>
          <w:lang w:val="pt-PT"/>
        </w:rPr>
        <w:t xml:space="preserve">(s) nos cálculos </w:t>
      </w:r>
      <w:proofErr w:type="spellStart"/>
      <w:r w:rsidRPr="00386E39">
        <w:rPr>
          <w:lang w:val="pt-PT"/>
        </w:rPr>
        <w:t>bibliométricos</w:t>
      </w:r>
      <w:proofErr w:type="spellEnd"/>
      <w:r w:rsidRPr="00386E39">
        <w:rPr>
          <w:lang w:val="pt-PT"/>
        </w:rPr>
        <w:t>: primeiras aproximações</w:t>
      </w:r>
      <w:r>
        <w:rPr>
          <w:lang w:val="pt-PT"/>
        </w:rPr>
        <w:t xml:space="preserve">. </w:t>
      </w:r>
      <w:proofErr w:type="spellStart"/>
      <w:r w:rsidRPr="00B2392F">
        <w:t>Liinc</w:t>
      </w:r>
      <w:proofErr w:type="spellEnd"/>
      <w:r w:rsidRPr="00B2392F">
        <w:t xml:space="preserve"> </w:t>
      </w:r>
      <w:proofErr w:type="spellStart"/>
      <w:r w:rsidRPr="00B2392F">
        <w:t>em</w:t>
      </w:r>
      <w:proofErr w:type="spellEnd"/>
      <w:r w:rsidRPr="00B2392F">
        <w:t xml:space="preserve"> </w:t>
      </w:r>
      <w:proofErr w:type="spellStart"/>
      <w:r w:rsidRPr="00B2392F">
        <w:t>Revista</w:t>
      </w:r>
      <w:proofErr w:type="spellEnd"/>
      <w:r w:rsidRPr="00B2392F">
        <w:t xml:space="preserve"> 9(1), 257-268</w:t>
      </w:r>
    </w:p>
    <w:p w14:paraId="372106C6" w14:textId="202C4A8A" w:rsidR="00803EBB" w:rsidRPr="00214D97" w:rsidRDefault="00803EBB" w:rsidP="00214D97">
      <w:pPr>
        <w:pStyle w:val="Style1"/>
        <w:spacing w:before="120" w:after="120" w:line="240" w:lineRule="auto"/>
        <w:ind w:left="567" w:hanging="567"/>
        <w:rPr>
          <w:lang w:val="pt-PT"/>
        </w:rPr>
      </w:pPr>
      <w:proofErr w:type="spellStart"/>
      <w:r w:rsidRPr="00B2392F">
        <w:t>Lindstedt</w:t>
      </w:r>
      <w:proofErr w:type="spellEnd"/>
      <w:r w:rsidRPr="00B2392F">
        <w:t>, C. &amp; </w:t>
      </w:r>
      <w:proofErr w:type="spellStart"/>
      <w:r w:rsidRPr="00B2392F">
        <w:t>Naurin</w:t>
      </w:r>
      <w:proofErr w:type="spellEnd"/>
      <w:r w:rsidRPr="00B2392F">
        <w:t>, D. (2010). Transparency is not enough: making transparency effective in reducing corruption. </w:t>
      </w:r>
      <w:proofErr w:type="spellStart"/>
      <w:r w:rsidRPr="00214D97">
        <w:rPr>
          <w:lang w:val="pt-PT"/>
        </w:rPr>
        <w:t>International</w:t>
      </w:r>
      <w:proofErr w:type="spellEnd"/>
      <w:r w:rsidRPr="00214D97">
        <w:rPr>
          <w:lang w:val="pt-PT"/>
        </w:rPr>
        <w:t xml:space="preserve"> </w:t>
      </w:r>
      <w:proofErr w:type="spellStart"/>
      <w:r w:rsidRPr="00214D97">
        <w:rPr>
          <w:lang w:val="pt-PT"/>
        </w:rPr>
        <w:t>Political</w:t>
      </w:r>
      <w:proofErr w:type="spellEnd"/>
      <w:r w:rsidRPr="00214D97">
        <w:rPr>
          <w:lang w:val="pt-PT"/>
        </w:rPr>
        <w:t xml:space="preserve"> </w:t>
      </w:r>
      <w:proofErr w:type="spellStart"/>
      <w:r w:rsidRPr="00214D97">
        <w:rPr>
          <w:lang w:val="pt-PT"/>
        </w:rPr>
        <w:t>Science</w:t>
      </w:r>
      <w:proofErr w:type="spellEnd"/>
      <w:r w:rsidRPr="00214D97">
        <w:rPr>
          <w:lang w:val="pt-PT"/>
        </w:rPr>
        <w:t xml:space="preserve"> </w:t>
      </w:r>
      <w:proofErr w:type="spellStart"/>
      <w:r w:rsidRPr="00214D97">
        <w:rPr>
          <w:lang w:val="pt-PT"/>
        </w:rPr>
        <w:t>Review</w:t>
      </w:r>
      <w:proofErr w:type="spellEnd"/>
      <w:r w:rsidRPr="00214D97">
        <w:rPr>
          <w:lang w:val="pt-PT"/>
        </w:rPr>
        <w:t>, 31(3), 301–321</w:t>
      </w:r>
    </w:p>
    <w:p w14:paraId="5BAD0637" w14:textId="4E1AF44B" w:rsidR="00BD26AC" w:rsidRPr="00F16279" w:rsidRDefault="00BD26AC" w:rsidP="00214D97">
      <w:pPr>
        <w:pStyle w:val="Style1"/>
        <w:spacing w:before="120" w:after="120" w:line="240" w:lineRule="auto"/>
        <w:ind w:left="567" w:hanging="567"/>
        <w:rPr>
          <w:lang w:val="pt-PT"/>
        </w:rPr>
      </w:pPr>
      <w:r w:rsidRPr="00BD26AC">
        <w:rPr>
          <w:lang w:val="pt-PT"/>
        </w:rPr>
        <w:t xml:space="preserve">Lira, S. (2004). </w:t>
      </w:r>
      <w:r w:rsidRPr="00214D97">
        <w:rPr>
          <w:lang w:val="pt-PT"/>
        </w:rPr>
        <w:t>Análise de Correlação: Abordagem Teórica e de Construção dos Coeficientes com Aplicações</w:t>
      </w:r>
      <w:r w:rsidRPr="00BD26AC">
        <w:rPr>
          <w:lang w:val="pt-PT"/>
        </w:rPr>
        <w:t xml:space="preserve"> (Dissertação Pós-Graduação, Universidade Federal </w:t>
      </w:r>
      <w:r w:rsidRPr="00BD26AC">
        <w:rPr>
          <w:lang w:val="pt-PT"/>
        </w:rPr>
        <w:lastRenderedPageBreak/>
        <w:t xml:space="preserve">do Paraná). Disponível em </w:t>
      </w:r>
      <w:r w:rsidRPr="00F16279">
        <w:rPr>
          <w:lang w:val="pt-PT"/>
        </w:rPr>
        <w:t xml:space="preserve">http://www.ipardes.gov.br/biblioteca/docs/dissertacao_sachiko.pdf+abordagem+te?ri </w:t>
      </w:r>
      <w:proofErr w:type="spellStart"/>
      <w:r w:rsidRPr="00F16279">
        <w:rPr>
          <w:lang w:val="pt-PT"/>
        </w:rPr>
        <w:t>ca+e+de+constru</w:t>
      </w:r>
      <w:proofErr w:type="spellEnd"/>
      <w:r w:rsidRPr="00F16279">
        <w:rPr>
          <w:lang w:val="pt-PT"/>
        </w:rPr>
        <w:t>??</w:t>
      </w:r>
      <w:proofErr w:type="spellStart"/>
      <w:r w:rsidRPr="00F16279">
        <w:rPr>
          <w:lang w:val="pt-PT"/>
        </w:rPr>
        <w:t>o+dos+coeficientes+com+aplica</w:t>
      </w:r>
      <w:proofErr w:type="spellEnd"/>
      <w:r w:rsidRPr="00F16279">
        <w:rPr>
          <w:lang w:val="pt-PT"/>
        </w:rPr>
        <w:t>??es#0</w:t>
      </w:r>
    </w:p>
    <w:p w14:paraId="4F3628AB" w14:textId="4D76F98D" w:rsidR="00DF29B2" w:rsidRDefault="00DF29B2" w:rsidP="00214D97">
      <w:pPr>
        <w:pStyle w:val="Style1"/>
        <w:spacing w:before="120" w:after="120" w:line="240" w:lineRule="auto"/>
        <w:ind w:left="567" w:hanging="567"/>
        <w:rPr>
          <w:lang w:val="pt-PT"/>
        </w:rPr>
      </w:pPr>
      <w:proofErr w:type="spellStart"/>
      <w:r w:rsidRPr="002079A9">
        <w:rPr>
          <w:lang w:val="es-ES"/>
        </w:rPr>
        <w:t>Lunet</w:t>
      </w:r>
      <w:proofErr w:type="spellEnd"/>
      <w:r w:rsidRPr="002079A9">
        <w:rPr>
          <w:lang w:val="es-ES"/>
        </w:rPr>
        <w:t xml:space="preserve">, N., Severo, M. </w:t>
      </w:r>
      <w:r w:rsidR="00875216" w:rsidRPr="002079A9">
        <w:rPr>
          <w:lang w:val="es-ES"/>
        </w:rPr>
        <w:t xml:space="preserve">&amp; </w:t>
      </w:r>
      <w:r w:rsidRPr="002079A9">
        <w:rPr>
          <w:lang w:val="es-ES"/>
        </w:rPr>
        <w:t xml:space="preserve">Barros, H. (2006). </w:t>
      </w:r>
      <w:r>
        <w:rPr>
          <w:lang w:val="pt-PT"/>
        </w:rPr>
        <w:t xml:space="preserve">Desvio-Padrão ou Erro-Padrão. </w:t>
      </w:r>
      <w:r w:rsidRPr="00214D97">
        <w:rPr>
          <w:lang w:val="pt-PT"/>
        </w:rPr>
        <w:t>Serviço de Higiene e Epidemiologia da Faculdade de Medicina da Universidade do Porto 20</w:t>
      </w:r>
      <w:r w:rsidRPr="00CC4930">
        <w:rPr>
          <w:lang w:val="pt-PT"/>
        </w:rPr>
        <w:t>(1-2),</w:t>
      </w:r>
      <w:r>
        <w:rPr>
          <w:lang w:val="pt-PT"/>
        </w:rPr>
        <w:t xml:space="preserve"> 55-59</w:t>
      </w:r>
      <w:r w:rsidRPr="00CC4930">
        <w:rPr>
          <w:lang w:val="pt-PT"/>
        </w:rPr>
        <w:t xml:space="preserve"> </w:t>
      </w:r>
    </w:p>
    <w:p w14:paraId="36C1D122" w14:textId="7CB4B4C5" w:rsidR="003D61C7" w:rsidRDefault="003D61C7" w:rsidP="00214D97">
      <w:pPr>
        <w:pStyle w:val="Style1"/>
        <w:spacing w:before="120" w:after="120" w:line="240" w:lineRule="auto"/>
        <w:ind w:left="567" w:hanging="567"/>
        <w:rPr>
          <w:lang w:val="pt-PT"/>
        </w:rPr>
      </w:pPr>
      <w:r>
        <w:rPr>
          <w:lang w:val="pt-PT"/>
        </w:rPr>
        <w:t xml:space="preserve">Madeira, L. (2012). </w:t>
      </w:r>
      <w:r w:rsidRPr="00214D97">
        <w:rPr>
          <w:lang w:val="pt-PT"/>
        </w:rPr>
        <w:t>Finanças públicas e política colonial: a estrutura oculta (1950-1974).</w:t>
      </w:r>
      <w:r>
        <w:rPr>
          <w:lang w:val="pt-PT"/>
        </w:rPr>
        <w:t xml:space="preserve"> Disponível em </w:t>
      </w:r>
      <w:r w:rsidRPr="003D61C7">
        <w:rPr>
          <w:lang w:val="pt-PT"/>
        </w:rPr>
        <w:t>https://repositorio.iscte-iul.pt/bitstream/10071/3915/1/Madeira_STP_271_232.pdf</w:t>
      </w:r>
    </w:p>
    <w:p w14:paraId="4B430CB2" w14:textId="6E6A25FA" w:rsidR="00E95D99" w:rsidRDefault="00E95D99" w:rsidP="00214D97">
      <w:pPr>
        <w:pStyle w:val="Style1"/>
        <w:spacing w:before="120" w:after="120" w:line="240" w:lineRule="auto"/>
        <w:ind w:left="567" w:hanging="567"/>
        <w:rPr>
          <w:lang w:val="pt-PT"/>
        </w:rPr>
      </w:pPr>
      <w:proofErr w:type="spellStart"/>
      <w:r w:rsidRPr="00E95D99">
        <w:rPr>
          <w:lang w:val="pt-PT"/>
        </w:rPr>
        <w:t>Marôco</w:t>
      </w:r>
      <w:proofErr w:type="spellEnd"/>
      <w:r w:rsidRPr="00E95D99">
        <w:rPr>
          <w:lang w:val="pt-PT"/>
        </w:rPr>
        <w:t xml:space="preserve">, J. (2018). </w:t>
      </w:r>
      <w:r w:rsidRPr="00214D97">
        <w:rPr>
          <w:lang w:val="pt-PT"/>
        </w:rPr>
        <w:t>Análise Estatística com Utilização do SPSS</w:t>
      </w:r>
      <w:r w:rsidR="00F16279">
        <w:rPr>
          <w:lang w:val="pt-PT"/>
        </w:rPr>
        <w:t xml:space="preserve"> (7ºEd.)</w:t>
      </w:r>
      <w:r w:rsidR="006870D1">
        <w:rPr>
          <w:lang w:val="pt-PT"/>
        </w:rPr>
        <w:t>.</w:t>
      </w:r>
      <w:r w:rsidR="00F16279">
        <w:rPr>
          <w:lang w:val="pt-PT"/>
        </w:rPr>
        <w:t xml:space="preserve"> Pêro Pinheiro: </w:t>
      </w:r>
      <w:proofErr w:type="spellStart"/>
      <w:r w:rsidR="00F16279">
        <w:rPr>
          <w:lang w:val="pt-PT"/>
        </w:rPr>
        <w:t>Report</w:t>
      </w:r>
      <w:proofErr w:type="spellEnd"/>
      <w:r w:rsidR="00F16279">
        <w:rPr>
          <w:lang w:val="pt-PT"/>
        </w:rPr>
        <w:t xml:space="preserve"> </w:t>
      </w:r>
      <w:proofErr w:type="spellStart"/>
      <w:r w:rsidR="00F16279">
        <w:rPr>
          <w:lang w:val="pt-PT"/>
        </w:rPr>
        <w:t>Number</w:t>
      </w:r>
      <w:proofErr w:type="spellEnd"/>
    </w:p>
    <w:p w14:paraId="23181E61" w14:textId="27C2A4C1" w:rsidR="00892154" w:rsidRPr="00D8317E" w:rsidRDefault="00892154" w:rsidP="00214D97">
      <w:pPr>
        <w:pStyle w:val="Style1"/>
        <w:spacing w:before="120" w:after="120" w:line="240" w:lineRule="auto"/>
        <w:ind w:left="567" w:hanging="567"/>
        <w:rPr>
          <w:lang w:val="pt-PT"/>
        </w:rPr>
      </w:pPr>
      <w:r w:rsidRPr="00892154">
        <w:rPr>
          <w:lang w:val="pt-PT"/>
        </w:rPr>
        <w:t xml:space="preserve">Martinho, C. (2009). Uma Abordagem Quantitativa Longitudinal do Desempenho dos alunos do 12º ano. </w:t>
      </w:r>
      <w:r w:rsidRPr="00D8317E">
        <w:rPr>
          <w:lang w:val="pt-PT"/>
        </w:rPr>
        <w:t>Tese de Doutoramento. FCT – Universidade Nova de Lisboa.</w:t>
      </w:r>
    </w:p>
    <w:p w14:paraId="3C871478" w14:textId="167BF2D6" w:rsidR="0097493B" w:rsidRPr="00B2392F" w:rsidRDefault="00BE20D8" w:rsidP="00214D97">
      <w:pPr>
        <w:pStyle w:val="Style1"/>
        <w:spacing w:before="120" w:after="120" w:line="240" w:lineRule="auto"/>
        <w:ind w:left="567" w:hanging="567"/>
      </w:pPr>
      <w:r w:rsidRPr="002079A9">
        <w:rPr>
          <w:lang w:val="pt-PT"/>
        </w:rPr>
        <w:t xml:space="preserve">Meijer, A. (2003). </w:t>
      </w:r>
      <w:r w:rsidRPr="00B2392F">
        <w:t xml:space="preserve">Transparent Government: parliamentary and legal accountability in </w:t>
      </w:r>
      <w:proofErr w:type="spellStart"/>
      <w:proofErr w:type="gramStart"/>
      <w:r w:rsidRPr="00B2392F">
        <w:t>a</w:t>
      </w:r>
      <w:proofErr w:type="spellEnd"/>
      <w:proofErr w:type="gramEnd"/>
      <w:r w:rsidRPr="00B2392F">
        <w:t xml:space="preserve"> information age. Information Polity, 8 (1-2), 67-78</w:t>
      </w:r>
    </w:p>
    <w:p w14:paraId="2C1FA674" w14:textId="2CC6D2FD" w:rsidR="00803EBB" w:rsidRPr="001600BE" w:rsidRDefault="00803EBB" w:rsidP="00214D97">
      <w:pPr>
        <w:pStyle w:val="Style1"/>
        <w:spacing w:before="120" w:after="120" w:line="240" w:lineRule="auto"/>
        <w:ind w:left="567" w:hanging="567"/>
        <w:rPr>
          <w:lang w:val="pt-PT"/>
        </w:rPr>
      </w:pPr>
      <w:r w:rsidRPr="00B2392F">
        <w:t xml:space="preserve">Meijer, A. Hart, P. &amp; Worthy, B. (2015) Assessing Government Transparency: An Interpretive Framework. </w:t>
      </w:r>
      <w:r w:rsidRPr="002E746F">
        <w:rPr>
          <w:lang w:val="pt-PT"/>
        </w:rPr>
        <w:t xml:space="preserve">SAGE </w:t>
      </w:r>
      <w:proofErr w:type="spellStart"/>
      <w:r w:rsidRPr="002E746F">
        <w:rPr>
          <w:lang w:val="pt-PT"/>
        </w:rPr>
        <w:t>Journals</w:t>
      </w:r>
      <w:proofErr w:type="spellEnd"/>
      <w:r w:rsidRPr="002E746F">
        <w:rPr>
          <w:lang w:val="pt-PT"/>
        </w:rPr>
        <w:t>, 50(4), 501-526</w:t>
      </w:r>
    </w:p>
    <w:p w14:paraId="7FAF48BB" w14:textId="249EE904" w:rsidR="0038232C" w:rsidRPr="0038232C" w:rsidRDefault="0038232C" w:rsidP="00214D97">
      <w:pPr>
        <w:pStyle w:val="Style1"/>
        <w:spacing w:before="120" w:after="120" w:line="240" w:lineRule="auto"/>
        <w:ind w:left="567" w:hanging="567"/>
        <w:rPr>
          <w:lang w:val="pt-PT"/>
        </w:rPr>
      </w:pPr>
      <w:r w:rsidRPr="0038232C">
        <w:rPr>
          <w:lang w:val="pt-PT"/>
        </w:rPr>
        <w:t xml:space="preserve">Menezes, G. (2017). Dados de Painel no EViews1. Disponível em </w:t>
      </w:r>
      <w:hyperlink r:id="rId24" w:history="1">
        <w:r w:rsidRPr="00214D97">
          <w:rPr>
            <w:lang w:val="pt-PT"/>
          </w:rPr>
          <w:t>https://www.researchgate.net/profile/Gabrielito_Menezes/publication/312490823_Da 54 dos_de_Painel_no_EViews/links/587e721d08ae9275d4eb9153/Dados-de-Painel-noEViews.pdf</w:t>
        </w:r>
      </w:hyperlink>
      <w:r w:rsidRPr="00F16279">
        <w:rPr>
          <w:lang w:val="pt-PT"/>
        </w:rPr>
        <w:t xml:space="preserve"> </w:t>
      </w:r>
    </w:p>
    <w:p w14:paraId="37A49C82" w14:textId="0238D33F" w:rsidR="00DD0EE6" w:rsidRPr="00CC4930" w:rsidRDefault="00DD0EE6" w:rsidP="00214D97">
      <w:pPr>
        <w:pStyle w:val="Style1"/>
        <w:spacing w:before="120" w:after="120" w:line="240" w:lineRule="auto"/>
        <w:ind w:left="567" w:hanging="567"/>
        <w:rPr>
          <w:lang w:val="pt-PT"/>
        </w:rPr>
      </w:pPr>
      <w:r w:rsidRPr="00B2392F">
        <w:t xml:space="preserve">Moore, </w:t>
      </w:r>
      <w:r w:rsidR="003214D6" w:rsidRPr="00B2392F">
        <w:t>D</w:t>
      </w:r>
      <w:r w:rsidRPr="00B2392F">
        <w:t xml:space="preserve">. &amp; McCabe, G. (2004). Introduction to the practice of statistics. </w:t>
      </w:r>
      <w:r w:rsidRPr="00DD0EE6">
        <w:rPr>
          <w:lang w:val="pt-PT"/>
        </w:rPr>
        <w:t xml:space="preserve">New York, </w:t>
      </w:r>
      <w:proofErr w:type="spellStart"/>
      <w:r w:rsidRPr="00DD0EE6">
        <w:rPr>
          <w:lang w:val="pt-PT"/>
        </w:rPr>
        <w:t>Freeman</w:t>
      </w:r>
      <w:proofErr w:type="spellEnd"/>
    </w:p>
    <w:p w14:paraId="7EC2B515" w14:textId="76C0C028" w:rsidR="009B6037" w:rsidRPr="00214D97" w:rsidRDefault="009B6037" w:rsidP="00214D97">
      <w:pPr>
        <w:pStyle w:val="Style1"/>
        <w:spacing w:before="120" w:after="120" w:line="240" w:lineRule="auto"/>
        <w:ind w:left="567" w:hanging="567"/>
        <w:rPr>
          <w:lang w:val="pt-PT"/>
        </w:rPr>
      </w:pPr>
      <w:r w:rsidRPr="00F42C23">
        <w:rPr>
          <w:lang w:val="pt-PT"/>
        </w:rPr>
        <w:t xml:space="preserve">Morais, C. (2005). Escalas de Medida, Estatística Descritiva e Inferência Estatística. Disponível em: </w:t>
      </w:r>
      <w:hyperlink r:id="rId25" w:history="1">
        <w:r w:rsidRPr="00214D97">
          <w:rPr>
            <w:lang w:val="pt-PT"/>
          </w:rPr>
          <w:t>https://bibliotecadigital.ipb.pt/bitstream/10198/7325/1/estdescr.pdf</w:t>
        </w:r>
      </w:hyperlink>
    </w:p>
    <w:p w14:paraId="5B98B3DE" w14:textId="68506F76" w:rsidR="0038232C" w:rsidRPr="002079A9" w:rsidRDefault="0038232C" w:rsidP="00214D97">
      <w:pPr>
        <w:pStyle w:val="Style1"/>
        <w:spacing w:before="120" w:after="120" w:line="240" w:lineRule="auto"/>
        <w:ind w:left="567" w:hanging="567"/>
        <w:rPr>
          <w:lang w:val="it-IT"/>
        </w:rPr>
      </w:pPr>
      <w:r w:rsidRPr="0038232C">
        <w:rPr>
          <w:lang w:val="pt-PT"/>
        </w:rPr>
        <w:t xml:space="preserve">Murteira, J. &amp; Castro, V. (2018). Introdução à Econometria - 2 a ed. </w:t>
      </w:r>
      <w:r w:rsidRPr="002079A9">
        <w:rPr>
          <w:lang w:val="it-IT"/>
        </w:rPr>
        <w:t xml:space="preserve">Edições Almedina, SA. </w:t>
      </w:r>
    </w:p>
    <w:p w14:paraId="376FBA86" w14:textId="6EF84AB2" w:rsidR="00A4066A" w:rsidRDefault="00A4066A" w:rsidP="00214D97">
      <w:pPr>
        <w:pStyle w:val="Style1"/>
        <w:spacing w:before="120" w:after="120" w:line="240" w:lineRule="auto"/>
        <w:ind w:left="567" w:hanging="567"/>
        <w:rPr>
          <w:lang w:val="pt-PT"/>
        </w:rPr>
      </w:pPr>
      <w:r w:rsidRPr="002079A9">
        <w:rPr>
          <w:lang w:val="it-IT"/>
        </w:rPr>
        <w:t>Nannicini, T., Stella, A., Tabellini, G. </w:t>
      </w:r>
      <w:r w:rsidR="00875216" w:rsidRPr="002079A9">
        <w:rPr>
          <w:lang w:val="it-IT"/>
        </w:rPr>
        <w:t>&amp; </w:t>
      </w:r>
      <w:r w:rsidRPr="002079A9">
        <w:rPr>
          <w:lang w:val="it-IT"/>
        </w:rPr>
        <w:t>Troiano (2010). </w:t>
      </w:r>
      <w:r w:rsidRPr="00B2392F">
        <w:t>Social Capital and Political Accountability. </w:t>
      </w:r>
      <w:proofErr w:type="spellStart"/>
      <w:r w:rsidRPr="00EC15DD">
        <w:rPr>
          <w:lang w:val="pt-PT"/>
        </w:rPr>
        <w:t>Fondazione</w:t>
      </w:r>
      <w:proofErr w:type="spellEnd"/>
      <w:r w:rsidRPr="00EC15DD">
        <w:rPr>
          <w:lang w:val="pt-PT"/>
        </w:rPr>
        <w:t xml:space="preserve"> </w:t>
      </w:r>
      <w:proofErr w:type="spellStart"/>
      <w:r w:rsidRPr="00EC15DD">
        <w:rPr>
          <w:lang w:val="pt-PT"/>
        </w:rPr>
        <w:t>Eni</w:t>
      </w:r>
      <w:proofErr w:type="spellEnd"/>
      <w:r w:rsidRPr="00EC15DD">
        <w:rPr>
          <w:lang w:val="pt-PT"/>
        </w:rPr>
        <w:t xml:space="preserve"> Enr</w:t>
      </w:r>
      <w:r w:rsidRPr="006078EA">
        <w:rPr>
          <w:lang w:val="pt-PT"/>
        </w:rPr>
        <w:t xml:space="preserve">ico </w:t>
      </w:r>
      <w:proofErr w:type="spellStart"/>
      <w:r w:rsidRPr="006078EA">
        <w:rPr>
          <w:lang w:val="pt-PT"/>
        </w:rPr>
        <w:t>Mattei</w:t>
      </w:r>
      <w:proofErr w:type="spellEnd"/>
      <w:r w:rsidR="00483A9A" w:rsidRPr="006078EA">
        <w:rPr>
          <w:lang w:val="pt-PT"/>
        </w:rPr>
        <w:t>, 58</w:t>
      </w:r>
    </w:p>
    <w:p w14:paraId="61FEA0C7" w14:textId="68F2F022" w:rsidR="00803EBB" w:rsidRPr="00214D97" w:rsidRDefault="00803EBB" w:rsidP="00214D97">
      <w:pPr>
        <w:pStyle w:val="Style1"/>
        <w:spacing w:before="120" w:after="120" w:line="240" w:lineRule="auto"/>
        <w:ind w:left="567" w:hanging="567"/>
        <w:rPr>
          <w:lang w:val="pt-PT"/>
        </w:rPr>
      </w:pPr>
      <w:r w:rsidRPr="00214D97">
        <w:rPr>
          <w:lang w:val="pt-PT"/>
        </w:rPr>
        <w:t xml:space="preserve">OCDE (2017). Guia de Recomendação do Conselho da OCDE sobre a Integridade Pública. Disponível em </w:t>
      </w:r>
      <w:hyperlink r:id="rId26" w:history="1">
        <w:r w:rsidRPr="00214D97">
          <w:rPr>
            <w:lang w:val="pt-PT"/>
          </w:rPr>
          <w:t>https://www.oecd.org/gov/ethics/integrity-recommendation-brazilian-portuguese.pdf</w:t>
        </w:r>
      </w:hyperlink>
    </w:p>
    <w:p w14:paraId="018A027C" w14:textId="7AE15D5D" w:rsidR="00151643" w:rsidRPr="006078EA" w:rsidRDefault="00052147" w:rsidP="00214D97">
      <w:pPr>
        <w:pStyle w:val="Style1"/>
        <w:spacing w:before="120" w:after="120" w:line="240" w:lineRule="auto"/>
        <w:ind w:left="567" w:hanging="567"/>
        <w:rPr>
          <w:lang w:val="pt-PT"/>
        </w:rPr>
      </w:pPr>
      <w:r w:rsidRPr="006078EA">
        <w:rPr>
          <w:lang w:val="pt-PT"/>
        </w:rPr>
        <w:t xml:space="preserve">OECI-CPLP (2011). Guião de Boas Práticas para a Prevenção e o Combate à Corrupção na </w:t>
      </w:r>
      <w:r w:rsidR="00A35C92">
        <w:rPr>
          <w:lang w:val="pt-PT"/>
        </w:rPr>
        <w:t>Administração Pública</w:t>
      </w:r>
      <w:r w:rsidRPr="006078EA">
        <w:rPr>
          <w:lang w:val="pt-PT"/>
        </w:rPr>
        <w:t xml:space="preserve">. Disponível em </w:t>
      </w:r>
      <w:hyperlink r:id="rId27" w:history="1">
        <w:r w:rsidRPr="006078EA">
          <w:rPr>
            <w:lang w:val="pt-PT"/>
          </w:rPr>
          <w:t>http://www.cpc.tcontas.pt/documentos/outros/guia_cplp.pdf</w:t>
        </w:r>
      </w:hyperlink>
    </w:p>
    <w:p w14:paraId="3EFB3842" w14:textId="70D0E884" w:rsidR="00052147" w:rsidRPr="0043154B" w:rsidRDefault="0097493B" w:rsidP="00214D97">
      <w:pPr>
        <w:pStyle w:val="Style1"/>
        <w:spacing w:before="120" w:after="120" w:line="240" w:lineRule="auto"/>
        <w:ind w:left="567" w:hanging="567"/>
      </w:pPr>
      <w:r w:rsidRPr="006078EA">
        <w:rPr>
          <w:lang w:val="pt-PT"/>
        </w:rPr>
        <w:lastRenderedPageBreak/>
        <w:t>Pinto, A., Melo, T. &amp; Santos, P. (201</w:t>
      </w:r>
      <w:r w:rsidR="00DD0EE6">
        <w:rPr>
          <w:lang w:val="pt-PT"/>
        </w:rPr>
        <w:t>4)</w:t>
      </w:r>
      <w:r w:rsidRPr="006078EA">
        <w:rPr>
          <w:lang w:val="pt-PT"/>
        </w:rPr>
        <w:t xml:space="preserve">. Gestão Orçamental &amp; Contabilidade Pública (2a). </w:t>
      </w:r>
      <w:r w:rsidRPr="0043154B">
        <w:t xml:space="preserve">ATF - </w:t>
      </w:r>
      <w:proofErr w:type="spellStart"/>
      <w:r w:rsidRPr="0043154B">
        <w:t>Edições</w:t>
      </w:r>
      <w:proofErr w:type="spellEnd"/>
      <w:r w:rsidRPr="0043154B">
        <w:t xml:space="preserve"> </w:t>
      </w:r>
      <w:proofErr w:type="spellStart"/>
      <w:r w:rsidRPr="0043154B">
        <w:t>Técnicas</w:t>
      </w:r>
      <w:proofErr w:type="spellEnd"/>
      <w:r w:rsidRPr="0043154B">
        <w:t>.</w:t>
      </w:r>
    </w:p>
    <w:p w14:paraId="56C87D91" w14:textId="4656728B" w:rsidR="00803EBB" w:rsidRPr="002079A9" w:rsidRDefault="00803EBB" w:rsidP="00214D97">
      <w:pPr>
        <w:pStyle w:val="Style1"/>
        <w:spacing w:before="120" w:after="120" w:line="240" w:lineRule="auto"/>
        <w:ind w:left="567" w:hanging="567"/>
        <w:rPr>
          <w:lang w:val="it-IT"/>
        </w:rPr>
      </w:pPr>
      <w:r w:rsidRPr="00330E80">
        <w:t xml:space="preserve">Piotrowski, S. &amp; Van Ryzin, G. (2007). Citizen Attitudes Toward Transparency in Local Government. </w:t>
      </w:r>
      <w:r w:rsidRPr="002079A9">
        <w:rPr>
          <w:lang w:val="it-IT"/>
        </w:rPr>
        <w:t>The American Review of Public Administration, 37(3), 306-323</w:t>
      </w:r>
    </w:p>
    <w:p w14:paraId="47B07014" w14:textId="65548BEA" w:rsidR="00803EBB" w:rsidRPr="002079A9" w:rsidRDefault="00803EBB" w:rsidP="00214D97">
      <w:pPr>
        <w:pStyle w:val="Style1"/>
        <w:spacing w:before="120" w:after="120" w:line="240" w:lineRule="auto"/>
        <w:ind w:left="567" w:hanging="567"/>
        <w:rPr>
          <w:lang w:val="it-IT"/>
        </w:rPr>
      </w:pPr>
      <w:r w:rsidRPr="002079A9">
        <w:rPr>
          <w:lang w:val="it-IT"/>
        </w:rPr>
        <w:t>Puviani, A. (1897). Teoria della Illusione nelle Entrate Pubbliche, Vol. VII. Perugia: Annali dell'Università di Perugia</w:t>
      </w:r>
    </w:p>
    <w:p w14:paraId="31F4C631" w14:textId="19750A50" w:rsidR="00C872F3" w:rsidRPr="00C872F3" w:rsidRDefault="00C872F3" w:rsidP="00214D97">
      <w:pPr>
        <w:pStyle w:val="Style1"/>
        <w:spacing w:before="120" w:after="120" w:line="240" w:lineRule="auto"/>
        <w:ind w:left="567" w:hanging="567"/>
        <w:rPr>
          <w:lang w:val="pt-PT"/>
        </w:rPr>
      </w:pPr>
      <w:r w:rsidRPr="002079A9">
        <w:rPr>
          <w:lang w:val="it-IT"/>
        </w:rPr>
        <w:t xml:space="preserve">Reis, E., Melo, P., Andrade, R. &amp; Calapez, T. (1999). </w:t>
      </w:r>
      <w:r w:rsidRPr="00214D97">
        <w:rPr>
          <w:lang w:val="pt-PT"/>
        </w:rPr>
        <w:t>Estatística aplicada</w:t>
      </w:r>
      <w:r w:rsidRPr="00C872F3">
        <w:rPr>
          <w:lang w:val="pt-PT"/>
        </w:rPr>
        <w:t xml:space="preserve"> (Vol. 1). Lisboa: Edições Sílabo</w:t>
      </w:r>
    </w:p>
    <w:p w14:paraId="72F4D5F7" w14:textId="3A196A5E" w:rsidR="0097493B" w:rsidRDefault="0097493B" w:rsidP="00214D97">
      <w:pPr>
        <w:pStyle w:val="Style1"/>
        <w:spacing w:before="120" w:after="120" w:line="240" w:lineRule="auto"/>
        <w:ind w:left="567" w:hanging="567"/>
        <w:rPr>
          <w:lang w:val="pt-PT"/>
        </w:rPr>
      </w:pPr>
      <w:r w:rsidRPr="006078EA">
        <w:rPr>
          <w:lang w:val="pt-PT"/>
        </w:rPr>
        <w:t xml:space="preserve">Rocha, J. &amp; Silva, P. (2017). Capítulo 12: Municípios em Portugal. Municipalismo: </w:t>
      </w:r>
      <w:proofErr w:type="spellStart"/>
      <w:r w:rsidRPr="006078EA">
        <w:rPr>
          <w:lang w:val="pt-PT"/>
        </w:rPr>
        <w:t>Perspectivas</w:t>
      </w:r>
      <w:proofErr w:type="spellEnd"/>
      <w:r w:rsidRPr="006078EA">
        <w:rPr>
          <w:lang w:val="pt-PT"/>
        </w:rPr>
        <w:t xml:space="preserve"> Da Descentralização Na América Latina, Na Europa e No Mundo, 171–211. Disponível em </w:t>
      </w:r>
      <w:hyperlink r:id="rId28" w:history="1">
        <w:r w:rsidR="00CC4930" w:rsidRPr="00214D97">
          <w:rPr>
            <w:lang w:val="pt-PT"/>
          </w:rPr>
          <w:t xml:space="preserve">https://repositorium.sdum.uminho.pt/bitstream/1822/54333/1/Municípios </w:t>
        </w:r>
        <w:proofErr w:type="spellStart"/>
        <w:r w:rsidR="00CC4930" w:rsidRPr="00214D97">
          <w:rPr>
            <w:lang w:val="pt-PT"/>
          </w:rPr>
          <w:t>em</w:t>
        </w:r>
        <w:proofErr w:type="spellEnd"/>
        <w:r w:rsidR="00CC4930" w:rsidRPr="00214D97">
          <w:rPr>
            <w:lang w:val="pt-PT"/>
          </w:rPr>
          <w:t xml:space="preserve"> Portugal.pdf</w:t>
        </w:r>
      </w:hyperlink>
    </w:p>
    <w:p w14:paraId="1772FEC5" w14:textId="4CCC3C64" w:rsidR="00CC4930" w:rsidRPr="00B2392F" w:rsidRDefault="00CC4930" w:rsidP="00214D97">
      <w:pPr>
        <w:pStyle w:val="Style1"/>
        <w:spacing w:before="120" w:after="120" w:line="240" w:lineRule="auto"/>
        <w:ind w:left="567" w:hanging="567"/>
        <w:rPr>
          <w:lang w:val="pt-PT"/>
        </w:rPr>
      </w:pPr>
      <w:r>
        <w:rPr>
          <w:lang w:val="pt-PT"/>
        </w:rPr>
        <w:t xml:space="preserve">Rodrigues, S. (2012). </w:t>
      </w:r>
      <w:r w:rsidRPr="00214D97">
        <w:rPr>
          <w:lang w:val="pt-PT"/>
        </w:rPr>
        <w:t>Modelo de Regressão Linear e suas Aplicações</w:t>
      </w:r>
      <w:r>
        <w:rPr>
          <w:lang w:val="pt-PT"/>
        </w:rPr>
        <w:t xml:space="preserve">. Disponível </w:t>
      </w:r>
      <w:proofErr w:type="gramStart"/>
      <w:r>
        <w:rPr>
          <w:lang w:val="pt-PT"/>
        </w:rPr>
        <w:t>em :</w:t>
      </w:r>
      <w:proofErr w:type="gramEnd"/>
      <w:r>
        <w:rPr>
          <w:lang w:val="pt-PT"/>
        </w:rPr>
        <w:t xml:space="preserve"> </w:t>
      </w:r>
      <w:hyperlink r:id="rId29" w:history="1">
        <w:r w:rsidRPr="00214D97">
          <w:rPr>
            <w:lang w:val="pt-PT"/>
          </w:rPr>
          <w:t>https://ubibliorum.ubi.pt/bitstream/10400.6/1869/1/Tese%20Sandra%20Rodrigues.pdf</w:t>
        </w:r>
      </w:hyperlink>
    </w:p>
    <w:p w14:paraId="5235B80C" w14:textId="0E0D732F" w:rsidR="00803EBB" w:rsidRPr="00214D97" w:rsidRDefault="00803EBB" w:rsidP="00214D97">
      <w:pPr>
        <w:pStyle w:val="Style1"/>
        <w:spacing w:before="120" w:after="120" w:line="240" w:lineRule="auto"/>
        <w:ind w:left="567" w:hanging="567"/>
        <w:rPr>
          <w:lang w:val="pt-PT"/>
        </w:rPr>
      </w:pPr>
      <w:r w:rsidRPr="00B2392F">
        <w:t xml:space="preserve">Roubini, N. &amp; Sachs, J. (1989). Political and economic determinants of budget deficits in the industrial democracies. </w:t>
      </w:r>
      <w:proofErr w:type="spellStart"/>
      <w:r w:rsidRPr="008208F3">
        <w:rPr>
          <w:lang w:val="pt-PT"/>
        </w:rPr>
        <w:t>European</w:t>
      </w:r>
      <w:proofErr w:type="spellEnd"/>
      <w:r w:rsidRPr="008208F3">
        <w:rPr>
          <w:lang w:val="pt-PT"/>
        </w:rPr>
        <w:t xml:space="preserve"> </w:t>
      </w:r>
      <w:proofErr w:type="spellStart"/>
      <w:r w:rsidRPr="008208F3">
        <w:rPr>
          <w:lang w:val="pt-PT"/>
        </w:rPr>
        <w:t>Economic</w:t>
      </w:r>
      <w:proofErr w:type="spellEnd"/>
      <w:r w:rsidRPr="008208F3">
        <w:rPr>
          <w:lang w:val="pt-PT"/>
        </w:rPr>
        <w:t xml:space="preserve"> </w:t>
      </w:r>
      <w:proofErr w:type="spellStart"/>
      <w:r w:rsidRPr="008208F3">
        <w:rPr>
          <w:lang w:val="pt-PT"/>
        </w:rPr>
        <w:t>Review</w:t>
      </w:r>
      <w:proofErr w:type="spellEnd"/>
      <w:r w:rsidRPr="008208F3">
        <w:rPr>
          <w:lang w:val="pt-PT"/>
        </w:rPr>
        <w:t>, 33(5), 903-933</w:t>
      </w:r>
    </w:p>
    <w:p w14:paraId="0CDA6478" w14:textId="021E7A19" w:rsidR="00FA49BF" w:rsidRPr="00214D97" w:rsidRDefault="00FA49BF" w:rsidP="00214D97">
      <w:pPr>
        <w:pStyle w:val="Style1"/>
        <w:spacing w:before="120" w:after="120" w:line="240" w:lineRule="auto"/>
        <w:ind w:left="567" w:hanging="567"/>
        <w:rPr>
          <w:lang w:val="pt-PT"/>
        </w:rPr>
      </w:pPr>
      <w:r w:rsidRPr="00214D97">
        <w:rPr>
          <w:lang w:val="pt-PT"/>
        </w:rPr>
        <w:t xml:space="preserve">Silva, J. (2004). Estatística Básica (Departamento de Matemática e Estatística, Universidade Federal de Pelotas). Disponível em </w:t>
      </w:r>
      <w:hyperlink r:id="rId30" w:history="1">
        <w:r w:rsidR="00653477" w:rsidRPr="00214D97">
          <w:rPr>
            <w:lang w:val="pt-PT"/>
          </w:rPr>
          <w:t>https://www.academia.edu/1873682/Basic_Statistics_-_2004</w:t>
        </w:r>
      </w:hyperlink>
    </w:p>
    <w:p w14:paraId="5EBF2FC1" w14:textId="060F4C42" w:rsidR="00653477" w:rsidRPr="00A971CA" w:rsidRDefault="00653477" w:rsidP="00A971CA">
      <w:pPr>
        <w:pStyle w:val="Style1"/>
        <w:spacing w:before="120" w:after="120" w:line="240" w:lineRule="auto"/>
        <w:ind w:left="567" w:hanging="567"/>
        <w:rPr>
          <w:lang w:val="pt-PT"/>
        </w:rPr>
      </w:pPr>
      <w:r w:rsidRPr="00653477">
        <w:rPr>
          <w:lang w:val="pt-PT"/>
        </w:rPr>
        <w:t xml:space="preserve">Silvestre, A. (2007). </w:t>
      </w:r>
      <w:r w:rsidRPr="00214D97">
        <w:rPr>
          <w:lang w:val="pt-PT"/>
        </w:rPr>
        <w:t>Análise de Dados e Estatística Descritiva</w:t>
      </w:r>
      <w:r w:rsidRPr="00653477">
        <w:rPr>
          <w:lang w:val="pt-PT"/>
        </w:rPr>
        <w:t>. Escolar Editora</w:t>
      </w:r>
    </w:p>
    <w:p w14:paraId="6FC7CA11" w14:textId="7C1260AD" w:rsidR="00E74B40" w:rsidRPr="00E74B40" w:rsidRDefault="00E74B40" w:rsidP="00A971CA">
      <w:pPr>
        <w:pStyle w:val="Style1"/>
        <w:spacing w:before="120" w:after="120" w:line="240" w:lineRule="auto"/>
        <w:ind w:left="567" w:hanging="567"/>
        <w:rPr>
          <w:lang w:val="pt-PT"/>
        </w:rPr>
      </w:pPr>
      <w:r w:rsidRPr="00A971CA">
        <w:rPr>
          <w:lang w:val="pt-PT"/>
        </w:rPr>
        <w:t>Sousa, P., Lima, A., Nascimento, C., Peter, M., Machado, M.</w:t>
      </w:r>
      <w:r w:rsidR="00875216" w:rsidRPr="00A971CA">
        <w:rPr>
          <w:lang w:val="pt-PT"/>
        </w:rPr>
        <w:t xml:space="preserve"> &amp;</w:t>
      </w:r>
      <w:r w:rsidRPr="00A971CA">
        <w:rPr>
          <w:lang w:val="pt-PT"/>
        </w:rPr>
        <w:t xml:space="preserve"> Gomes, A. (2013). Desenvolvimento Municipal e Cumprimento da Lei da Responsabilidade Fiscal: Uma Análise dos </w:t>
      </w:r>
      <w:r w:rsidR="00201690" w:rsidRPr="00A971CA">
        <w:rPr>
          <w:lang w:val="pt-PT"/>
        </w:rPr>
        <w:t>Municípios</w:t>
      </w:r>
      <w:r w:rsidRPr="00A971CA">
        <w:rPr>
          <w:lang w:val="pt-PT"/>
        </w:rPr>
        <w:t xml:space="preserve"> Brasileiros utilizando Dados em Painel. Revista Evidenciação Contábil e Finanças 1(1), 58-70</w:t>
      </w:r>
    </w:p>
    <w:p w14:paraId="4263D4DA" w14:textId="77777777" w:rsidR="00803EBB" w:rsidRPr="00A971CA" w:rsidRDefault="00803EBB" w:rsidP="00A971CA">
      <w:pPr>
        <w:pStyle w:val="Style1"/>
        <w:spacing w:before="120" w:after="120" w:line="240" w:lineRule="auto"/>
        <w:ind w:left="567" w:hanging="567"/>
        <w:rPr>
          <w:lang w:val="pt-PT"/>
        </w:rPr>
      </w:pPr>
      <w:bookmarkStart w:id="140" w:name="_Hlk63679748"/>
      <w:r w:rsidRPr="00A971CA">
        <w:rPr>
          <w:lang w:val="pt-PT"/>
        </w:rPr>
        <w:t>Transparência e Integridade – Associação Cívica (2017) Índice de Transparência Municipal – Apresentação e Indicadores. Disponível em: https://transparencia.pt/wp-content/uploads/2017/11/ITM_Apresentacao_e_Indicadores_2017.pdf</w:t>
      </w:r>
    </w:p>
    <w:bookmarkEnd w:id="140"/>
    <w:p w14:paraId="0AE98059" w14:textId="77777777" w:rsidR="00803EBB" w:rsidRPr="00A971CA" w:rsidRDefault="00803EBB" w:rsidP="00A971CA">
      <w:pPr>
        <w:pStyle w:val="Style1"/>
        <w:spacing w:before="120" w:after="120" w:line="240" w:lineRule="auto"/>
        <w:ind w:left="567" w:hanging="567"/>
        <w:rPr>
          <w:lang w:val="pt-PT"/>
        </w:rPr>
      </w:pPr>
      <w:r w:rsidRPr="00B2392F">
        <w:t xml:space="preserve">Warren, P. &amp; Cordis, A. (2011). Sunshine as disinfectant: freedom for information act laws on public corruption. </w:t>
      </w:r>
      <w:r w:rsidRPr="00A971CA">
        <w:rPr>
          <w:lang w:val="pt-PT"/>
        </w:rPr>
        <w:t>Disponível em https://spaa.newark.rutgers.edu/images/stories</w:t>
      </w:r>
      <w:r w:rsidRPr="00B2392F">
        <w:rPr>
          <w:lang w:val="pt-PT"/>
        </w:rPr>
        <w:t>/</w:t>
      </w:r>
      <w:r w:rsidRPr="00A971CA">
        <w:rPr>
          <w:lang w:val="pt-PT"/>
        </w:rPr>
        <w:t>documents/Transparency_Research_Conference/Papers/Warren_Patrick.pdf</w:t>
      </w:r>
    </w:p>
    <w:p w14:paraId="268E0526" w14:textId="77777777" w:rsidR="00151643" w:rsidRPr="00A971CA" w:rsidRDefault="00151643" w:rsidP="00A971CA">
      <w:pPr>
        <w:pStyle w:val="Style1"/>
        <w:spacing w:before="120" w:after="120" w:line="240" w:lineRule="auto"/>
        <w:ind w:left="567" w:hanging="567"/>
        <w:rPr>
          <w:lang w:val="pt-PT"/>
        </w:rPr>
      </w:pPr>
    </w:p>
    <w:p w14:paraId="31683BD4" w14:textId="77777777" w:rsidR="00151643" w:rsidRPr="00052147" w:rsidRDefault="00151643" w:rsidP="00151643">
      <w:pPr>
        <w:spacing w:line="360" w:lineRule="auto"/>
        <w:jc w:val="both"/>
        <w:rPr>
          <w:rFonts w:cs="Times New Roman"/>
        </w:rPr>
      </w:pPr>
    </w:p>
    <w:p w14:paraId="18A69750" w14:textId="4A078565" w:rsidR="001600BE" w:rsidRDefault="001600BE" w:rsidP="00151643">
      <w:pPr>
        <w:spacing w:line="360" w:lineRule="auto"/>
        <w:jc w:val="both"/>
      </w:pPr>
    </w:p>
    <w:p w14:paraId="5C2CA4BB" w14:textId="37B88EF9" w:rsidR="00E62933" w:rsidRDefault="00E62933" w:rsidP="00CF1D64"/>
    <w:p w14:paraId="3E51B5A8" w14:textId="5ED34744" w:rsidR="00E62933" w:rsidRDefault="00E62933" w:rsidP="00CF1D64"/>
    <w:p w14:paraId="6A61D624" w14:textId="46610622" w:rsidR="007E74F0" w:rsidRDefault="007E74F0" w:rsidP="00CF1D64"/>
    <w:p w14:paraId="13352524" w14:textId="77777777" w:rsidR="007E74F0" w:rsidRDefault="007E74F0" w:rsidP="00CF1D64"/>
    <w:p w14:paraId="41E21B19" w14:textId="44B3153E" w:rsidR="00CF1D64" w:rsidRPr="00CF1D64" w:rsidRDefault="00DA5B5B" w:rsidP="00CF1D64">
      <w:r>
        <w:br w:type="page"/>
      </w:r>
    </w:p>
    <w:p w14:paraId="789983ED" w14:textId="70757012" w:rsidR="001600BE" w:rsidRPr="00052147" w:rsidRDefault="001600BE" w:rsidP="00CF1D64">
      <w:pPr>
        <w:pStyle w:val="Ttulo1"/>
        <w:jc w:val="center"/>
      </w:pPr>
      <w:bookmarkStart w:id="141" w:name="_Toc66624219"/>
      <w:r>
        <w:lastRenderedPageBreak/>
        <w:t>A</w:t>
      </w:r>
      <w:r w:rsidR="003214D6">
        <w:t>PÊNDICES</w:t>
      </w:r>
      <w:bookmarkEnd w:id="141"/>
    </w:p>
    <w:p w14:paraId="28963CB9" w14:textId="7D61081A" w:rsidR="00D700C5" w:rsidRPr="00733C12" w:rsidRDefault="001600BE" w:rsidP="00151643">
      <w:pPr>
        <w:spacing w:line="360" w:lineRule="auto"/>
        <w:jc w:val="both"/>
        <w:rPr>
          <w:rFonts w:asciiTheme="minorHAnsi" w:hAnsiTheme="minorHAnsi"/>
          <w:sz w:val="22"/>
        </w:rPr>
      </w:pPr>
      <w:r>
        <w:fldChar w:fldCharType="begin"/>
      </w:r>
      <w:r>
        <w:instrText xml:space="preserve"> LINK </w:instrText>
      </w:r>
      <w:r w:rsidR="00DC67F3">
        <w:instrText xml:space="preserve">Excel.Sheet.12 "D:\\Excel Modelos.xlsx" Sheet1!R4C4:R35C11 </w:instrText>
      </w:r>
      <w:r>
        <w:instrText xml:space="preserve">\a \f 4 \h </w:instrText>
      </w:r>
      <w:r>
        <w:fldChar w:fldCharType="separate"/>
      </w:r>
    </w:p>
    <w:p w14:paraId="4EE36FDE" w14:textId="7011D6EB" w:rsidR="00912A40" w:rsidRDefault="001600BE" w:rsidP="00B7645E">
      <w:pPr>
        <w:spacing w:line="360" w:lineRule="auto"/>
        <w:jc w:val="both"/>
      </w:pPr>
      <w:r>
        <w:fldChar w:fldCharType="end"/>
      </w:r>
    </w:p>
    <w:p w14:paraId="468EC8B4" w14:textId="722638E5" w:rsidR="00E56950" w:rsidRDefault="00E56950">
      <w:r>
        <w:br w:type="page"/>
      </w:r>
    </w:p>
    <w:p w14:paraId="0D16C5C2" w14:textId="06428E7E" w:rsidR="000E2F08" w:rsidRDefault="000E2F08" w:rsidP="000E2F08">
      <w:pPr>
        <w:pStyle w:val="Ttulo2"/>
        <w:spacing w:before="0"/>
        <w:rPr>
          <w:rFonts w:asciiTheme="majorBidi" w:hAnsiTheme="majorBidi"/>
          <w:b w:val="0"/>
          <w:bCs w:val="0"/>
          <w:color w:val="000000"/>
          <w:sz w:val="24"/>
          <w:szCs w:val="24"/>
        </w:rPr>
      </w:pPr>
      <w:bookmarkStart w:id="142" w:name="_Toc66624220"/>
      <w:r w:rsidRPr="0087119D">
        <w:lastRenderedPageBreak/>
        <w:t xml:space="preserve">Apêndice </w:t>
      </w:r>
      <w:r>
        <w:t>1</w:t>
      </w:r>
      <w:r w:rsidRPr="0087119D">
        <w:t xml:space="preserve"> – </w:t>
      </w:r>
      <w:r>
        <w:rPr>
          <w:rFonts w:asciiTheme="majorBidi" w:hAnsiTheme="majorBidi"/>
          <w:b w:val="0"/>
          <w:bCs w:val="0"/>
          <w:color w:val="000000"/>
          <w:sz w:val="24"/>
          <w:szCs w:val="24"/>
        </w:rPr>
        <w:t>Estatísticas descritivas das variáveis em estudo</w:t>
      </w:r>
      <w:bookmarkEnd w:id="142"/>
    </w:p>
    <w:p w14:paraId="42613823" w14:textId="1C4F5E55" w:rsidR="00962848" w:rsidRDefault="00962848" w:rsidP="00962848"/>
    <w:tbl>
      <w:tblPr>
        <w:tblW w:w="864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686"/>
        <w:gridCol w:w="709"/>
        <w:gridCol w:w="1030"/>
        <w:gridCol w:w="1046"/>
        <w:gridCol w:w="1042"/>
        <w:gridCol w:w="1134"/>
      </w:tblGrid>
      <w:tr w:rsidR="00962848" w:rsidRPr="002D5C41" w14:paraId="5EDF5F60" w14:textId="77777777" w:rsidTr="000C2ECD">
        <w:trPr>
          <w:cantSplit/>
          <w:jc w:val="center"/>
        </w:trPr>
        <w:tc>
          <w:tcPr>
            <w:tcW w:w="8647" w:type="dxa"/>
            <w:gridSpan w:val="6"/>
            <w:tcBorders>
              <w:top w:val="nil"/>
              <w:left w:val="nil"/>
              <w:bottom w:val="nil"/>
              <w:right w:val="nil"/>
            </w:tcBorders>
            <w:shd w:val="clear" w:color="auto" w:fill="FFFFFF"/>
            <w:vAlign w:val="center"/>
          </w:tcPr>
          <w:p w14:paraId="31247669" w14:textId="6FD9AF24" w:rsidR="00962848" w:rsidRPr="002D5C41" w:rsidRDefault="00962848" w:rsidP="00962182">
            <w:pPr>
              <w:autoSpaceDE w:val="0"/>
              <w:autoSpaceDN w:val="0"/>
              <w:adjustRightInd w:val="0"/>
              <w:spacing w:after="0" w:line="320" w:lineRule="atLeast"/>
              <w:ind w:left="60" w:right="60"/>
              <w:jc w:val="center"/>
              <w:rPr>
                <w:rFonts w:asciiTheme="majorBidi" w:hAnsiTheme="majorBidi" w:cstheme="majorBidi"/>
                <w:color w:val="000000"/>
                <w:sz w:val="22"/>
              </w:rPr>
            </w:pPr>
            <w:r w:rsidRPr="002D5C41">
              <w:rPr>
                <w:rFonts w:asciiTheme="majorBidi" w:hAnsiTheme="majorBidi" w:cstheme="majorBidi"/>
                <w:b/>
                <w:bCs/>
                <w:color w:val="000000"/>
                <w:sz w:val="22"/>
              </w:rPr>
              <w:t>Estatística</w:t>
            </w:r>
            <w:r w:rsidR="000C2ECD">
              <w:rPr>
                <w:rFonts w:asciiTheme="majorBidi" w:hAnsiTheme="majorBidi" w:cstheme="majorBidi"/>
                <w:b/>
                <w:bCs/>
                <w:color w:val="000000"/>
                <w:sz w:val="22"/>
              </w:rPr>
              <w:t>s</w:t>
            </w:r>
            <w:r w:rsidRPr="002D5C41">
              <w:rPr>
                <w:rFonts w:asciiTheme="majorBidi" w:hAnsiTheme="majorBidi" w:cstheme="majorBidi"/>
                <w:b/>
                <w:bCs/>
                <w:color w:val="000000"/>
                <w:sz w:val="22"/>
              </w:rPr>
              <w:t xml:space="preserve"> Descritiva</w:t>
            </w:r>
            <w:r w:rsidR="000C2ECD">
              <w:rPr>
                <w:rFonts w:asciiTheme="majorBidi" w:hAnsiTheme="majorBidi" w:cstheme="majorBidi"/>
                <w:b/>
                <w:bCs/>
                <w:color w:val="000000"/>
                <w:sz w:val="22"/>
              </w:rPr>
              <w:t>s</w:t>
            </w:r>
          </w:p>
        </w:tc>
      </w:tr>
      <w:tr w:rsidR="00962848" w:rsidRPr="002D5C41" w14:paraId="4F3B9318" w14:textId="77777777" w:rsidTr="000C2ECD">
        <w:trPr>
          <w:cantSplit/>
          <w:jc w:val="center"/>
        </w:trPr>
        <w:tc>
          <w:tcPr>
            <w:tcW w:w="3686" w:type="dxa"/>
            <w:tcBorders>
              <w:top w:val="double" w:sz="8" w:space="0" w:color="000000"/>
              <w:left w:val="nil"/>
              <w:bottom w:val="single" w:sz="16" w:space="0" w:color="000000"/>
              <w:right w:val="nil"/>
            </w:tcBorders>
            <w:shd w:val="clear" w:color="auto" w:fill="FFFFFF"/>
            <w:vAlign w:val="bottom"/>
          </w:tcPr>
          <w:p w14:paraId="3A5ADFC9" w14:textId="77777777" w:rsidR="00962848" w:rsidRPr="002D5C41" w:rsidRDefault="00962848" w:rsidP="00962182">
            <w:pPr>
              <w:autoSpaceDE w:val="0"/>
              <w:autoSpaceDN w:val="0"/>
              <w:adjustRightInd w:val="0"/>
              <w:spacing w:after="0" w:line="240" w:lineRule="auto"/>
              <w:rPr>
                <w:rFonts w:asciiTheme="majorBidi" w:hAnsiTheme="majorBidi" w:cstheme="majorBidi"/>
                <w:sz w:val="22"/>
              </w:rPr>
            </w:pPr>
          </w:p>
        </w:tc>
        <w:tc>
          <w:tcPr>
            <w:tcW w:w="709" w:type="dxa"/>
            <w:tcBorders>
              <w:top w:val="double" w:sz="8" w:space="0" w:color="000000"/>
              <w:left w:val="nil"/>
              <w:bottom w:val="single" w:sz="16" w:space="0" w:color="000000"/>
              <w:right w:val="nil"/>
            </w:tcBorders>
            <w:shd w:val="clear" w:color="auto" w:fill="FFFFFF"/>
            <w:vAlign w:val="bottom"/>
          </w:tcPr>
          <w:p w14:paraId="4B47E9CD" w14:textId="77777777" w:rsidR="00962848" w:rsidRPr="002D5C41" w:rsidRDefault="00962848" w:rsidP="00962182">
            <w:pPr>
              <w:autoSpaceDE w:val="0"/>
              <w:autoSpaceDN w:val="0"/>
              <w:adjustRightInd w:val="0"/>
              <w:spacing w:after="0" w:line="320" w:lineRule="atLeast"/>
              <w:ind w:left="60" w:right="60"/>
              <w:jc w:val="center"/>
              <w:rPr>
                <w:rFonts w:asciiTheme="majorBidi" w:hAnsiTheme="majorBidi" w:cstheme="majorBidi"/>
                <w:color w:val="000000"/>
                <w:sz w:val="22"/>
              </w:rPr>
            </w:pPr>
            <w:r w:rsidRPr="002D5C41">
              <w:rPr>
                <w:rFonts w:asciiTheme="majorBidi" w:hAnsiTheme="majorBidi" w:cstheme="majorBidi"/>
                <w:color w:val="000000"/>
                <w:sz w:val="22"/>
              </w:rPr>
              <w:t>N</w:t>
            </w:r>
          </w:p>
        </w:tc>
        <w:tc>
          <w:tcPr>
            <w:tcW w:w="1030" w:type="dxa"/>
            <w:tcBorders>
              <w:top w:val="double" w:sz="8" w:space="0" w:color="000000"/>
              <w:left w:val="nil"/>
              <w:bottom w:val="single" w:sz="16" w:space="0" w:color="000000"/>
              <w:right w:val="nil"/>
            </w:tcBorders>
            <w:shd w:val="clear" w:color="auto" w:fill="FFFFFF"/>
            <w:vAlign w:val="bottom"/>
          </w:tcPr>
          <w:p w14:paraId="20E137C3" w14:textId="77777777" w:rsidR="00962848" w:rsidRPr="002D5C41" w:rsidRDefault="00962848" w:rsidP="00962182">
            <w:pPr>
              <w:autoSpaceDE w:val="0"/>
              <w:autoSpaceDN w:val="0"/>
              <w:adjustRightInd w:val="0"/>
              <w:spacing w:after="0" w:line="320" w:lineRule="atLeast"/>
              <w:ind w:left="60" w:right="60"/>
              <w:jc w:val="center"/>
              <w:rPr>
                <w:rFonts w:asciiTheme="majorBidi" w:hAnsiTheme="majorBidi" w:cstheme="majorBidi"/>
                <w:color w:val="000000"/>
                <w:sz w:val="22"/>
              </w:rPr>
            </w:pPr>
            <w:r w:rsidRPr="002D5C41">
              <w:rPr>
                <w:rFonts w:asciiTheme="majorBidi" w:hAnsiTheme="majorBidi" w:cstheme="majorBidi"/>
                <w:color w:val="000000"/>
                <w:sz w:val="22"/>
              </w:rPr>
              <w:t>Mínimo</w:t>
            </w:r>
          </w:p>
        </w:tc>
        <w:tc>
          <w:tcPr>
            <w:tcW w:w="1046" w:type="dxa"/>
            <w:tcBorders>
              <w:top w:val="double" w:sz="8" w:space="0" w:color="000000"/>
              <w:left w:val="nil"/>
              <w:bottom w:val="single" w:sz="16" w:space="0" w:color="000000"/>
              <w:right w:val="nil"/>
            </w:tcBorders>
            <w:shd w:val="clear" w:color="auto" w:fill="FFFFFF"/>
            <w:vAlign w:val="bottom"/>
          </w:tcPr>
          <w:p w14:paraId="7B2508F5" w14:textId="77777777" w:rsidR="00962848" w:rsidRPr="002D5C41" w:rsidRDefault="00962848" w:rsidP="00962182">
            <w:pPr>
              <w:autoSpaceDE w:val="0"/>
              <w:autoSpaceDN w:val="0"/>
              <w:adjustRightInd w:val="0"/>
              <w:spacing w:after="0" w:line="320" w:lineRule="atLeast"/>
              <w:ind w:left="60" w:right="60"/>
              <w:jc w:val="center"/>
              <w:rPr>
                <w:rFonts w:asciiTheme="majorBidi" w:hAnsiTheme="majorBidi" w:cstheme="majorBidi"/>
                <w:color w:val="000000"/>
                <w:sz w:val="22"/>
              </w:rPr>
            </w:pPr>
            <w:r w:rsidRPr="002D5C41">
              <w:rPr>
                <w:rFonts w:asciiTheme="majorBidi" w:hAnsiTheme="majorBidi" w:cstheme="majorBidi"/>
                <w:color w:val="000000"/>
                <w:sz w:val="22"/>
              </w:rPr>
              <w:t>Máximo</w:t>
            </w:r>
          </w:p>
        </w:tc>
        <w:tc>
          <w:tcPr>
            <w:tcW w:w="1042" w:type="dxa"/>
            <w:tcBorders>
              <w:top w:val="double" w:sz="8" w:space="0" w:color="000000"/>
              <w:left w:val="nil"/>
              <w:bottom w:val="single" w:sz="16" w:space="0" w:color="000000"/>
              <w:right w:val="nil"/>
            </w:tcBorders>
            <w:shd w:val="clear" w:color="auto" w:fill="FFFFFF"/>
            <w:vAlign w:val="bottom"/>
          </w:tcPr>
          <w:p w14:paraId="56D58607" w14:textId="77777777" w:rsidR="00962848" w:rsidRPr="002D5C41" w:rsidRDefault="00962848" w:rsidP="00962182">
            <w:pPr>
              <w:autoSpaceDE w:val="0"/>
              <w:autoSpaceDN w:val="0"/>
              <w:adjustRightInd w:val="0"/>
              <w:spacing w:after="0" w:line="320" w:lineRule="atLeast"/>
              <w:ind w:left="60" w:right="60"/>
              <w:jc w:val="center"/>
              <w:rPr>
                <w:rFonts w:asciiTheme="majorBidi" w:hAnsiTheme="majorBidi" w:cstheme="majorBidi"/>
                <w:color w:val="000000"/>
                <w:sz w:val="22"/>
              </w:rPr>
            </w:pPr>
            <w:r w:rsidRPr="002D5C41">
              <w:rPr>
                <w:rFonts w:asciiTheme="majorBidi" w:hAnsiTheme="majorBidi" w:cstheme="majorBidi"/>
                <w:color w:val="000000"/>
                <w:sz w:val="22"/>
              </w:rPr>
              <w:t>Média</w:t>
            </w:r>
          </w:p>
        </w:tc>
        <w:tc>
          <w:tcPr>
            <w:tcW w:w="1134" w:type="dxa"/>
            <w:tcBorders>
              <w:top w:val="double" w:sz="8" w:space="0" w:color="000000"/>
              <w:left w:val="nil"/>
              <w:bottom w:val="single" w:sz="16" w:space="0" w:color="000000"/>
              <w:right w:val="nil"/>
            </w:tcBorders>
            <w:shd w:val="clear" w:color="auto" w:fill="FFFFFF"/>
            <w:vAlign w:val="bottom"/>
          </w:tcPr>
          <w:p w14:paraId="5883B174" w14:textId="77777777" w:rsidR="00962848" w:rsidRPr="002D5C41" w:rsidRDefault="00962848" w:rsidP="00962182">
            <w:pPr>
              <w:autoSpaceDE w:val="0"/>
              <w:autoSpaceDN w:val="0"/>
              <w:adjustRightInd w:val="0"/>
              <w:spacing w:after="0" w:line="320" w:lineRule="atLeast"/>
              <w:ind w:left="60" w:right="60"/>
              <w:jc w:val="center"/>
              <w:rPr>
                <w:rFonts w:asciiTheme="majorBidi" w:hAnsiTheme="majorBidi" w:cstheme="majorBidi"/>
                <w:color w:val="000000"/>
                <w:sz w:val="22"/>
              </w:rPr>
            </w:pPr>
            <w:r w:rsidRPr="002D5C41">
              <w:rPr>
                <w:rFonts w:asciiTheme="majorBidi" w:hAnsiTheme="majorBidi" w:cstheme="majorBidi"/>
                <w:color w:val="000000"/>
                <w:sz w:val="22"/>
              </w:rPr>
              <w:t>Erro Desvio</w:t>
            </w:r>
          </w:p>
        </w:tc>
      </w:tr>
      <w:tr w:rsidR="00962848" w:rsidRPr="002D5C41" w14:paraId="7EDC0F9C" w14:textId="77777777" w:rsidTr="000C2ECD">
        <w:trPr>
          <w:cantSplit/>
          <w:jc w:val="center"/>
        </w:trPr>
        <w:tc>
          <w:tcPr>
            <w:tcW w:w="3686" w:type="dxa"/>
            <w:tcBorders>
              <w:top w:val="single" w:sz="16" w:space="0" w:color="000000"/>
              <w:left w:val="nil"/>
              <w:bottom w:val="nil"/>
              <w:right w:val="nil"/>
            </w:tcBorders>
            <w:shd w:val="clear" w:color="auto" w:fill="FFFFFF"/>
          </w:tcPr>
          <w:p w14:paraId="3B86E566" w14:textId="77777777" w:rsidR="00962848" w:rsidRPr="002D5C41" w:rsidRDefault="00962848" w:rsidP="00962182">
            <w:pPr>
              <w:autoSpaceDE w:val="0"/>
              <w:autoSpaceDN w:val="0"/>
              <w:adjustRightInd w:val="0"/>
              <w:spacing w:after="0" w:line="320" w:lineRule="atLeast"/>
              <w:ind w:left="60" w:right="60"/>
              <w:rPr>
                <w:rFonts w:asciiTheme="majorBidi" w:hAnsiTheme="majorBidi" w:cstheme="majorBidi"/>
                <w:color w:val="000000"/>
                <w:sz w:val="22"/>
              </w:rPr>
            </w:pPr>
            <w:r w:rsidRPr="002D5C41">
              <w:rPr>
                <w:rFonts w:asciiTheme="majorBidi" w:hAnsiTheme="majorBidi" w:cstheme="majorBidi"/>
                <w:color w:val="000000"/>
                <w:sz w:val="22"/>
              </w:rPr>
              <w:t>Ano</w:t>
            </w:r>
          </w:p>
        </w:tc>
        <w:tc>
          <w:tcPr>
            <w:tcW w:w="709" w:type="dxa"/>
            <w:tcBorders>
              <w:top w:val="single" w:sz="16" w:space="0" w:color="000000"/>
              <w:left w:val="nil"/>
              <w:bottom w:val="nil"/>
              <w:right w:val="nil"/>
            </w:tcBorders>
            <w:shd w:val="clear" w:color="auto" w:fill="FFFFFF"/>
          </w:tcPr>
          <w:p w14:paraId="411B4030"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1540</w:t>
            </w:r>
          </w:p>
        </w:tc>
        <w:tc>
          <w:tcPr>
            <w:tcW w:w="1030" w:type="dxa"/>
            <w:tcBorders>
              <w:top w:val="single" w:sz="16" w:space="0" w:color="000000"/>
              <w:left w:val="nil"/>
              <w:bottom w:val="nil"/>
              <w:right w:val="nil"/>
            </w:tcBorders>
            <w:shd w:val="clear" w:color="auto" w:fill="FFFFFF"/>
          </w:tcPr>
          <w:p w14:paraId="4D7A4BE0"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2013</w:t>
            </w:r>
          </w:p>
        </w:tc>
        <w:tc>
          <w:tcPr>
            <w:tcW w:w="1046" w:type="dxa"/>
            <w:tcBorders>
              <w:top w:val="single" w:sz="16" w:space="0" w:color="000000"/>
              <w:left w:val="nil"/>
              <w:bottom w:val="nil"/>
              <w:right w:val="nil"/>
            </w:tcBorders>
            <w:shd w:val="clear" w:color="auto" w:fill="FFFFFF"/>
          </w:tcPr>
          <w:p w14:paraId="67BDB36E"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2017</w:t>
            </w:r>
          </w:p>
        </w:tc>
        <w:tc>
          <w:tcPr>
            <w:tcW w:w="1042" w:type="dxa"/>
            <w:tcBorders>
              <w:top w:val="single" w:sz="16" w:space="0" w:color="000000"/>
              <w:left w:val="nil"/>
              <w:bottom w:val="nil"/>
              <w:right w:val="nil"/>
            </w:tcBorders>
            <w:shd w:val="clear" w:color="auto" w:fill="FFFFFF"/>
          </w:tcPr>
          <w:p w14:paraId="739961BE"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p>
        </w:tc>
        <w:tc>
          <w:tcPr>
            <w:tcW w:w="1134" w:type="dxa"/>
            <w:tcBorders>
              <w:top w:val="single" w:sz="16" w:space="0" w:color="000000"/>
              <w:left w:val="nil"/>
              <w:bottom w:val="nil"/>
              <w:right w:val="nil"/>
            </w:tcBorders>
            <w:shd w:val="clear" w:color="auto" w:fill="FFFFFF"/>
          </w:tcPr>
          <w:p w14:paraId="5E47AD9C"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p>
        </w:tc>
      </w:tr>
      <w:tr w:rsidR="00962848" w:rsidRPr="002D5C41" w14:paraId="3A2099F7" w14:textId="77777777" w:rsidTr="00876F70">
        <w:trPr>
          <w:cantSplit/>
          <w:jc w:val="center"/>
        </w:trPr>
        <w:tc>
          <w:tcPr>
            <w:tcW w:w="3686" w:type="dxa"/>
            <w:tcBorders>
              <w:top w:val="nil"/>
              <w:left w:val="nil"/>
              <w:bottom w:val="nil"/>
              <w:right w:val="nil"/>
            </w:tcBorders>
            <w:shd w:val="clear" w:color="auto" w:fill="E7E6E6" w:themeFill="background2"/>
          </w:tcPr>
          <w:p w14:paraId="5B4FE0FC" w14:textId="42506FC2" w:rsidR="00962848" w:rsidRPr="002D5C41" w:rsidRDefault="00962848" w:rsidP="00962182">
            <w:pPr>
              <w:autoSpaceDE w:val="0"/>
              <w:autoSpaceDN w:val="0"/>
              <w:adjustRightInd w:val="0"/>
              <w:spacing w:after="0" w:line="320" w:lineRule="atLeast"/>
              <w:ind w:left="60" w:right="60"/>
              <w:rPr>
                <w:rFonts w:asciiTheme="majorBidi" w:hAnsiTheme="majorBidi" w:cstheme="majorBidi"/>
                <w:color w:val="000000"/>
                <w:sz w:val="22"/>
              </w:rPr>
            </w:pPr>
            <w:r w:rsidRPr="002D5C41">
              <w:rPr>
                <w:rFonts w:asciiTheme="majorBidi" w:hAnsiTheme="majorBidi" w:cstheme="majorBidi"/>
                <w:color w:val="000000"/>
                <w:sz w:val="22"/>
              </w:rPr>
              <w:t xml:space="preserve">Índice </w:t>
            </w:r>
            <w:r>
              <w:rPr>
                <w:rFonts w:asciiTheme="majorBidi" w:hAnsiTheme="majorBidi" w:cstheme="majorBidi"/>
                <w:color w:val="000000"/>
                <w:sz w:val="22"/>
              </w:rPr>
              <w:t>T</w:t>
            </w:r>
            <w:r w:rsidRPr="002D5C41">
              <w:rPr>
                <w:rFonts w:asciiTheme="majorBidi" w:hAnsiTheme="majorBidi" w:cstheme="majorBidi"/>
                <w:color w:val="000000"/>
                <w:sz w:val="22"/>
              </w:rPr>
              <w:t xml:space="preserve">ransparência </w:t>
            </w:r>
            <w:r>
              <w:rPr>
                <w:rFonts w:asciiTheme="majorBidi" w:hAnsiTheme="majorBidi" w:cstheme="majorBidi"/>
                <w:color w:val="000000"/>
                <w:sz w:val="22"/>
              </w:rPr>
              <w:t>M</w:t>
            </w:r>
            <w:r w:rsidRPr="002D5C41">
              <w:rPr>
                <w:rFonts w:asciiTheme="majorBidi" w:hAnsiTheme="majorBidi" w:cstheme="majorBidi"/>
                <w:color w:val="000000"/>
                <w:sz w:val="22"/>
              </w:rPr>
              <w:t>unicipal</w:t>
            </w:r>
            <w:r w:rsidR="007219C6">
              <w:rPr>
                <w:rFonts w:asciiTheme="majorBidi" w:hAnsiTheme="majorBidi" w:cstheme="majorBidi"/>
                <w:color w:val="000000"/>
                <w:sz w:val="22"/>
              </w:rPr>
              <w:t xml:space="preserve"> (</w:t>
            </w:r>
            <w:r w:rsidR="007219C6" w:rsidRPr="00804FB2">
              <w:rPr>
                <w:rFonts w:asciiTheme="majorBidi" w:hAnsiTheme="majorBidi" w:cstheme="majorBidi"/>
                <w:b/>
                <w:bCs/>
                <w:color w:val="000000"/>
                <w:sz w:val="22"/>
              </w:rPr>
              <w:t>ITM</w:t>
            </w:r>
            <w:r w:rsidR="007219C6">
              <w:rPr>
                <w:rFonts w:asciiTheme="majorBidi" w:hAnsiTheme="majorBidi" w:cstheme="majorBidi"/>
                <w:color w:val="000000"/>
                <w:sz w:val="22"/>
              </w:rPr>
              <w:t>)</w:t>
            </w:r>
          </w:p>
        </w:tc>
        <w:tc>
          <w:tcPr>
            <w:tcW w:w="709" w:type="dxa"/>
            <w:tcBorders>
              <w:top w:val="nil"/>
              <w:left w:val="nil"/>
              <w:bottom w:val="nil"/>
              <w:right w:val="nil"/>
            </w:tcBorders>
            <w:shd w:val="clear" w:color="auto" w:fill="E7E6E6" w:themeFill="background2"/>
          </w:tcPr>
          <w:p w14:paraId="22771391"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1540</w:t>
            </w:r>
          </w:p>
        </w:tc>
        <w:tc>
          <w:tcPr>
            <w:tcW w:w="1030" w:type="dxa"/>
            <w:tcBorders>
              <w:top w:val="nil"/>
              <w:left w:val="nil"/>
              <w:bottom w:val="nil"/>
              <w:right w:val="nil"/>
            </w:tcBorders>
            <w:shd w:val="clear" w:color="auto" w:fill="E7E6E6" w:themeFill="background2"/>
          </w:tcPr>
          <w:p w14:paraId="4D366A5B"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0,82</w:t>
            </w:r>
          </w:p>
        </w:tc>
        <w:tc>
          <w:tcPr>
            <w:tcW w:w="1046" w:type="dxa"/>
            <w:tcBorders>
              <w:top w:val="nil"/>
              <w:left w:val="nil"/>
              <w:bottom w:val="nil"/>
              <w:right w:val="nil"/>
            </w:tcBorders>
            <w:shd w:val="clear" w:color="auto" w:fill="E7E6E6" w:themeFill="background2"/>
          </w:tcPr>
          <w:p w14:paraId="3B9B063E" w14:textId="24BC0EDF"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100,0</w:t>
            </w:r>
          </w:p>
        </w:tc>
        <w:tc>
          <w:tcPr>
            <w:tcW w:w="1042" w:type="dxa"/>
            <w:tcBorders>
              <w:top w:val="nil"/>
              <w:left w:val="nil"/>
              <w:bottom w:val="nil"/>
              <w:right w:val="nil"/>
            </w:tcBorders>
            <w:shd w:val="clear" w:color="auto" w:fill="E7E6E6" w:themeFill="background2"/>
          </w:tcPr>
          <w:p w14:paraId="454B428D" w14:textId="52B83FDE"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42,87</w:t>
            </w:r>
          </w:p>
        </w:tc>
        <w:tc>
          <w:tcPr>
            <w:tcW w:w="1134" w:type="dxa"/>
            <w:tcBorders>
              <w:top w:val="nil"/>
              <w:left w:val="nil"/>
              <w:bottom w:val="nil"/>
              <w:right w:val="nil"/>
            </w:tcBorders>
            <w:shd w:val="clear" w:color="auto" w:fill="E7E6E6" w:themeFill="background2"/>
          </w:tcPr>
          <w:p w14:paraId="734506BE" w14:textId="1DA1EAA8"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17,617</w:t>
            </w:r>
          </w:p>
        </w:tc>
      </w:tr>
      <w:tr w:rsidR="00962848" w:rsidRPr="002D5C41" w14:paraId="298BBC16" w14:textId="77777777" w:rsidTr="000C2ECD">
        <w:trPr>
          <w:cantSplit/>
          <w:jc w:val="center"/>
        </w:trPr>
        <w:tc>
          <w:tcPr>
            <w:tcW w:w="3686" w:type="dxa"/>
            <w:tcBorders>
              <w:top w:val="nil"/>
              <w:left w:val="nil"/>
              <w:bottom w:val="nil"/>
              <w:right w:val="nil"/>
            </w:tcBorders>
            <w:shd w:val="clear" w:color="auto" w:fill="FFFFFF"/>
          </w:tcPr>
          <w:p w14:paraId="0FBF64C9" w14:textId="465BECD8" w:rsidR="00962848" w:rsidRPr="002D5C41" w:rsidRDefault="000331C5" w:rsidP="00962182">
            <w:pPr>
              <w:autoSpaceDE w:val="0"/>
              <w:autoSpaceDN w:val="0"/>
              <w:adjustRightInd w:val="0"/>
              <w:spacing w:after="0" w:line="320" w:lineRule="atLeast"/>
              <w:ind w:left="60" w:right="60"/>
              <w:rPr>
                <w:rFonts w:asciiTheme="majorBidi" w:hAnsiTheme="majorBidi" w:cstheme="majorBidi"/>
                <w:color w:val="000000"/>
                <w:sz w:val="22"/>
                <w:vertAlign w:val="superscript"/>
              </w:rPr>
            </w:pPr>
            <w:proofErr w:type="spellStart"/>
            <w:r w:rsidRPr="00081CB0">
              <w:rPr>
                <w:rFonts w:asciiTheme="majorBidi" w:hAnsiTheme="majorBidi" w:cstheme="majorBidi"/>
                <w:b/>
                <w:bCs/>
                <w:color w:val="000000"/>
                <w:sz w:val="22"/>
              </w:rPr>
              <w:t>IPP</w:t>
            </w:r>
            <w:r w:rsidR="00081CB0">
              <w:rPr>
                <w:rFonts w:asciiTheme="majorBidi" w:hAnsiTheme="majorBidi" w:cstheme="majorBidi"/>
                <w:color w:val="000000"/>
                <w:sz w:val="22"/>
                <w:vertAlign w:val="superscript"/>
              </w:rPr>
              <w:t>b</w:t>
            </w:r>
            <w:proofErr w:type="spellEnd"/>
          </w:p>
        </w:tc>
        <w:tc>
          <w:tcPr>
            <w:tcW w:w="709" w:type="dxa"/>
            <w:tcBorders>
              <w:top w:val="nil"/>
              <w:left w:val="nil"/>
              <w:bottom w:val="nil"/>
              <w:right w:val="nil"/>
            </w:tcBorders>
            <w:shd w:val="clear" w:color="auto" w:fill="FFFFFF"/>
          </w:tcPr>
          <w:p w14:paraId="3C8A3482"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1540</w:t>
            </w:r>
          </w:p>
        </w:tc>
        <w:tc>
          <w:tcPr>
            <w:tcW w:w="1030" w:type="dxa"/>
            <w:tcBorders>
              <w:top w:val="nil"/>
              <w:left w:val="nil"/>
              <w:bottom w:val="nil"/>
              <w:right w:val="nil"/>
            </w:tcBorders>
            <w:shd w:val="clear" w:color="auto" w:fill="FFFFFF"/>
          </w:tcPr>
          <w:p w14:paraId="1D0D2FA1"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0</w:t>
            </w:r>
          </w:p>
        </w:tc>
        <w:tc>
          <w:tcPr>
            <w:tcW w:w="1046" w:type="dxa"/>
            <w:tcBorders>
              <w:top w:val="nil"/>
              <w:left w:val="nil"/>
              <w:bottom w:val="nil"/>
              <w:right w:val="nil"/>
            </w:tcBorders>
            <w:shd w:val="clear" w:color="auto" w:fill="FFFFFF"/>
          </w:tcPr>
          <w:p w14:paraId="1DE8E325"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w:t>
            </w:r>
          </w:p>
        </w:tc>
        <w:tc>
          <w:tcPr>
            <w:tcW w:w="1042" w:type="dxa"/>
            <w:tcBorders>
              <w:top w:val="nil"/>
              <w:left w:val="nil"/>
              <w:bottom w:val="nil"/>
              <w:right w:val="nil"/>
            </w:tcBorders>
            <w:shd w:val="clear" w:color="auto" w:fill="FFFFFF"/>
          </w:tcPr>
          <w:p w14:paraId="0A5ECA00"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p>
        </w:tc>
        <w:tc>
          <w:tcPr>
            <w:tcW w:w="1134" w:type="dxa"/>
            <w:tcBorders>
              <w:top w:val="nil"/>
              <w:left w:val="nil"/>
              <w:bottom w:val="nil"/>
              <w:right w:val="nil"/>
            </w:tcBorders>
            <w:shd w:val="clear" w:color="auto" w:fill="FFFFFF"/>
          </w:tcPr>
          <w:p w14:paraId="71782762"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p>
        </w:tc>
      </w:tr>
      <w:tr w:rsidR="00962848" w:rsidRPr="002D5C41" w14:paraId="13E87FFD" w14:textId="77777777" w:rsidTr="00876F70">
        <w:trPr>
          <w:cantSplit/>
          <w:jc w:val="center"/>
        </w:trPr>
        <w:tc>
          <w:tcPr>
            <w:tcW w:w="3686" w:type="dxa"/>
            <w:tcBorders>
              <w:top w:val="nil"/>
              <w:left w:val="nil"/>
              <w:bottom w:val="nil"/>
              <w:right w:val="nil"/>
            </w:tcBorders>
            <w:shd w:val="clear" w:color="auto" w:fill="E7E6E6" w:themeFill="background2"/>
          </w:tcPr>
          <w:p w14:paraId="70BB579B" w14:textId="77777777" w:rsidR="00962848" w:rsidRPr="002D5C41" w:rsidRDefault="00962848" w:rsidP="00962182">
            <w:pPr>
              <w:autoSpaceDE w:val="0"/>
              <w:autoSpaceDN w:val="0"/>
              <w:adjustRightInd w:val="0"/>
              <w:spacing w:after="0" w:line="320" w:lineRule="atLeast"/>
              <w:ind w:left="60" w:right="60"/>
              <w:rPr>
                <w:rFonts w:asciiTheme="majorBidi" w:hAnsiTheme="majorBidi" w:cstheme="majorBidi"/>
                <w:color w:val="000000"/>
                <w:sz w:val="22"/>
              </w:rPr>
            </w:pPr>
            <w:r w:rsidRPr="002D5C41">
              <w:rPr>
                <w:rFonts w:asciiTheme="majorBidi" w:hAnsiTheme="majorBidi" w:cstheme="majorBidi"/>
                <w:color w:val="000000"/>
                <w:sz w:val="22"/>
              </w:rPr>
              <w:t>Taxa de Coligação (%)</w:t>
            </w:r>
          </w:p>
        </w:tc>
        <w:tc>
          <w:tcPr>
            <w:tcW w:w="709" w:type="dxa"/>
            <w:tcBorders>
              <w:top w:val="nil"/>
              <w:left w:val="nil"/>
              <w:bottom w:val="nil"/>
              <w:right w:val="nil"/>
            </w:tcBorders>
            <w:shd w:val="clear" w:color="auto" w:fill="E7E6E6" w:themeFill="background2"/>
          </w:tcPr>
          <w:p w14:paraId="5E1CB750"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1540</w:t>
            </w:r>
          </w:p>
        </w:tc>
        <w:tc>
          <w:tcPr>
            <w:tcW w:w="1030" w:type="dxa"/>
            <w:tcBorders>
              <w:top w:val="nil"/>
              <w:left w:val="nil"/>
              <w:bottom w:val="nil"/>
              <w:right w:val="nil"/>
            </w:tcBorders>
            <w:shd w:val="clear" w:color="auto" w:fill="E7E6E6" w:themeFill="background2"/>
          </w:tcPr>
          <w:p w14:paraId="0EB16862" w14:textId="5FD2600F"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0,00</w:t>
            </w:r>
          </w:p>
        </w:tc>
        <w:tc>
          <w:tcPr>
            <w:tcW w:w="1046" w:type="dxa"/>
            <w:tcBorders>
              <w:top w:val="nil"/>
              <w:left w:val="nil"/>
              <w:bottom w:val="nil"/>
              <w:right w:val="nil"/>
            </w:tcBorders>
            <w:shd w:val="clear" w:color="auto" w:fill="E7E6E6" w:themeFill="background2"/>
          </w:tcPr>
          <w:p w14:paraId="46FE35CB" w14:textId="7D2A6E32"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1,00</w:t>
            </w:r>
          </w:p>
        </w:tc>
        <w:tc>
          <w:tcPr>
            <w:tcW w:w="1042" w:type="dxa"/>
            <w:tcBorders>
              <w:top w:val="nil"/>
              <w:left w:val="nil"/>
              <w:bottom w:val="nil"/>
              <w:right w:val="nil"/>
            </w:tcBorders>
            <w:shd w:val="clear" w:color="auto" w:fill="E7E6E6" w:themeFill="background2"/>
          </w:tcPr>
          <w:p w14:paraId="21627D72" w14:textId="756B7F16"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0,578</w:t>
            </w:r>
          </w:p>
        </w:tc>
        <w:tc>
          <w:tcPr>
            <w:tcW w:w="1134" w:type="dxa"/>
            <w:tcBorders>
              <w:top w:val="nil"/>
              <w:left w:val="nil"/>
              <w:bottom w:val="nil"/>
              <w:right w:val="nil"/>
            </w:tcBorders>
            <w:shd w:val="clear" w:color="auto" w:fill="E7E6E6" w:themeFill="background2"/>
          </w:tcPr>
          <w:p w14:paraId="5A7349F1" w14:textId="7047F8DC"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0,1591</w:t>
            </w:r>
          </w:p>
        </w:tc>
      </w:tr>
      <w:tr w:rsidR="00962848" w:rsidRPr="002D5C41" w14:paraId="0355A9EC" w14:textId="77777777" w:rsidTr="000C2ECD">
        <w:trPr>
          <w:cantSplit/>
          <w:jc w:val="center"/>
        </w:trPr>
        <w:tc>
          <w:tcPr>
            <w:tcW w:w="3686" w:type="dxa"/>
            <w:tcBorders>
              <w:top w:val="nil"/>
              <w:left w:val="nil"/>
              <w:bottom w:val="nil"/>
              <w:right w:val="nil"/>
            </w:tcBorders>
            <w:shd w:val="clear" w:color="auto" w:fill="FFFFFF"/>
          </w:tcPr>
          <w:p w14:paraId="5982D3CB" w14:textId="78C21AAC" w:rsidR="00962848" w:rsidRPr="002D5C41" w:rsidRDefault="007C0CCA" w:rsidP="00962182">
            <w:pPr>
              <w:autoSpaceDE w:val="0"/>
              <w:autoSpaceDN w:val="0"/>
              <w:adjustRightInd w:val="0"/>
              <w:spacing w:after="0" w:line="320" w:lineRule="atLeast"/>
              <w:ind w:left="60" w:right="60"/>
              <w:rPr>
                <w:rFonts w:asciiTheme="majorBidi" w:hAnsiTheme="majorBidi" w:cstheme="majorBidi"/>
                <w:color w:val="000000"/>
                <w:sz w:val="22"/>
              </w:rPr>
            </w:pPr>
            <w:proofErr w:type="spellStart"/>
            <w:r w:rsidRPr="007C0CCA">
              <w:rPr>
                <w:rFonts w:asciiTheme="majorBidi" w:hAnsiTheme="majorBidi" w:cstheme="majorBidi"/>
                <w:b/>
                <w:bCs/>
                <w:color w:val="000000"/>
                <w:sz w:val="22"/>
              </w:rPr>
              <w:t>CCP</w:t>
            </w:r>
            <w:r w:rsidR="00081CB0">
              <w:rPr>
                <w:rFonts w:asciiTheme="majorBidi" w:hAnsiTheme="majorBidi" w:cstheme="majorBidi"/>
                <w:color w:val="000000"/>
                <w:sz w:val="22"/>
                <w:vertAlign w:val="superscript"/>
              </w:rPr>
              <w:t>b</w:t>
            </w:r>
            <w:proofErr w:type="spellEnd"/>
          </w:p>
        </w:tc>
        <w:tc>
          <w:tcPr>
            <w:tcW w:w="709" w:type="dxa"/>
            <w:tcBorders>
              <w:top w:val="nil"/>
              <w:left w:val="nil"/>
              <w:bottom w:val="nil"/>
              <w:right w:val="nil"/>
            </w:tcBorders>
            <w:shd w:val="clear" w:color="auto" w:fill="FFFFFF"/>
          </w:tcPr>
          <w:p w14:paraId="0B03E625"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1540</w:t>
            </w:r>
          </w:p>
        </w:tc>
        <w:tc>
          <w:tcPr>
            <w:tcW w:w="1030" w:type="dxa"/>
            <w:tcBorders>
              <w:top w:val="nil"/>
              <w:left w:val="nil"/>
              <w:bottom w:val="nil"/>
              <w:right w:val="nil"/>
            </w:tcBorders>
            <w:shd w:val="clear" w:color="auto" w:fill="FFFFFF"/>
          </w:tcPr>
          <w:p w14:paraId="2FA0D34A"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0</w:t>
            </w:r>
          </w:p>
        </w:tc>
        <w:tc>
          <w:tcPr>
            <w:tcW w:w="1046" w:type="dxa"/>
            <w:tcBorders>
              <w:top w:val="nil"/>
              <w:left w:val="nil"/>
              <w:bottom w:val="nil"/>
              <w:right w:val="nil"/>
            </w:tcBorders>
            <w:shd w:val="clear" w:color="auto" w:fill="FFFFFF"/>
          </w:tcPr>
          <w:p w14:paraId="47D67A0D"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w:t>
            </w:r>
          </w:p>
        </w:tc>
        <w:tc>
          <w:tcPr>
            <w:tcW w:w="1042" w:type="dxa"/>
            <w:tcBorders>
              <w:top w:val="nil"/>
              <w:left w:val="nil"/>
              <w:bottom w:val="nil"/>
              <w:right w:val="nil"/>
            </w:tcBorders>
            <w:shd w:val="clear" w:color="auto" w:fill="FFFFFF"/>
          </w:tcPr>
          <w:p w14:paraId="0A151918" w14:textId="337CC438"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p>
        </w:tc>
        <w:tc>
          <w:tcPr>
            <w:tcW w:w="1134" w:type="dxa"/>
            <w:tcBorders>
              <w:top w:val="nil"/>
              <w:left w:val="nil"/>
              <w:bottom w:val="nil"/>
              <w:right w:val="nil"/>
            </w:tcBorders>
            <w:shd w:val="clear" w:color="auto" w:fill="FFFFFF"/>
          </w:tcPr>
          <w:p w14:paraId="6670756C" w14:textId="281E750A"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p>
        </w:tc>
      </w:tr>
      <w:tr w:rsidR="00962848" w:rsidRPr="002D5C41" w14:paraId="37167249" w14:textId="77777777" w:rsidTr="00876F70">
        <w:trPr>
          <w:cantSplit/>
          <w:jc w:val="center"/>
        </w:trPr>
        <w:tc>
          <w:tcPr>
            <w:tcW w:w="3686" w:type="dxa"/>
            <w:tcBorders>
              <w:top w:val="nil"/>
              <w:left w:val="nil"/>
              <w:bottom w:val="nil"/>
              <w:right w:val="nil"/>
            </w:tcBorders>
            <w:shd w:val="clear" w:color="auto" w:fill="E7E6E6" w:themeFill="background2"/>
          </w:tcPr>
          <w:p w14:paraId="0864759D" w14:textId="77777777" w:rsidR="00962848" w:rsidRPr="002D5C41" w:rsidRDefault="00962848" w:rsidP="00962182">
            <w:pPr>
              <w:autoSpaceDE w:val="0"/>
              <w:autoSpaceDN w:val="0"/>
              <w:adjustRightInd w:val="0"/>
              <w:spacing w:after="0" w:line="320" w:lineRule="atLeast"/>
              <w:ind w:left="60" w:right="60"/>
              <w:rPr>
                <w:rFonts w:asciiTheme="majorBidi" w:hAnsiTheme="majorBidi" w:cstheme="majorBidi"/>
                <w:color w:val="000000"/>
                <w:sz w:val="22"/>
              </w:rPr>
            </w:pPr>
            <w:r w:rsidRPr="002D5C41">
              <w:rPr>
                <w:rFonts w:asciiTheme="majorBidi" w:hAnsiTheme="majorBidi" w:cstheme="majorBidi"/>
                <w:color w:val="000000"/>
                <w:sz w:val="22"/>
              </w:rPr>
              <w:t>Endividamento (milhares)</w:t>
            </w:r>
          </w:p>
        </w:tc>
        <w:tc>
          <w:tcPr>
            <w:tcW w:w="709" w:type="dxa"/>
            <w:tcBorders>
              <w:top w:val="nil"/>
              <w:left w:val="nil"/>
              <w:bottom w:val="nil"/>
              <w:right w:val="nil"/>
            </w:tcBorders>
            <w:shd w:val="clear" w:color="auto" w:fill="E7E6E6" w:themeFill="background2"/>
          </w:tcPr>
          <w:p w14:paraId="1100C854"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1539</w:t>
            </w:r>
          </w:p>
        </w:tc>
        <w:tc>
          <w:tcPr>
            <w:tcW w:w="1030" w:type="dxa"/>
            <w:tcBorders>
              <w:top w:val="nil"/>
              <w:left w:val="nil"/>
              <w:bottom w:val="nil"/>
              <w:right w:val="nil"/>
            </w:tcBorders>
            <w:shd w:val="clear" w:color="auto" w:fill="E7E6E6" w:themeFill="background2"/>
          </w:tcPr>
          <w:p w14:paraId="6611EC25"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0</w:t>
            </w:r>
          </w:p>
        </w:tc>
        <w:tc>
          <w:tcPr>
            <w:tcW w:w="1046" w:type="dxa"/>
            <w:tcBorders>
              <w:top w:val="nil"/>
              <w:left w:val="nil"/>
              <w:bottom w:val="nil"/>
              <w:right w:val="nil"/>
            </w:tcBorders>
            <w:shd w:val="clear" w:color="auto" w:fill="E7E6E6" w:themeFill="background2"/>
          </w:tcPr>
          <w:p w14:paraId="589D3908"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727570</w:t>
            </w:r>
          </w:p>
        </w:tc>
        <w:tc>
          <w:tcPr>
            <w:tcW w:w="1042" w:type="dxa"/>
            <w:tcBorders>
              <w:top w:val="nil"/>
              <w:left w:val="nil"/>
              <w:bottom w:val="nil"/>
              <w:right w:val="nil"/>
            </w:tcBorders>
            <w:shd w:val="clear" w:color="auto" w:fill="E7E6E6" w:themeFill="background2"/>
          </w:tcPr>
          <w:p w14:paraId="22A1CFD5"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17923,73</w:t>
            </w:r>
          </w:p>
        </w:tc>
        <w:tc>
          <w:tcPr>
            <w:tcW w:w="1134" w:type="dxa"/>
            <w:tcBorders>
              <w:top w:val="nil"/>
              <w:left w:val="nil"/>
              <w:bottom w:val="nil"/>
              <w:right w:val="nil"/>
            </w:tcBorders>
            <w:shd w:val="clear" w:color="auto" w:fill="E7E6E6" w:themeFill="background2"/>
          </w:tcPr>
          <w:p w14:paraId="34AEF5BF"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42582,077</w:t>
            </w:r>
          </w:p>
        </w:tc>
      </w:tr>
      <w:tr w:rsidR="00B173DE" w:rsidRPr="002D5C41" w14:paraId="384CB361" w14:textId="77777777" w:rsidTr="000C2ECD">
        <w:trPr>
          <w:cantSplit/>
          <w:jc w:val="center"/>
        </w:trPr>
        <w:tc>
          <w:tcPr>
            <w:tcW w:w="3686" w:type="dxa"/>
            <w:tcBorders>
              <w:top w:val="nil"/>
              <w:left w:val="nil"/>
              <w:bottom w:val="nil"/>
              <w:right w:val="nil"/>
            </w:tcBorders>
            <w:shd w:val="clear" w:color="auto" w:fill="FFFFFF"/>
          </w:tcPr>
          <w:p w14:paraId="698762FB" w14:textId="4986329E" w:rsidR="00B173DE" w:rsidRPr="002D5C41" w:rsidRDefault="00B173DE" w:rsidP="00962182">
            <w:pPr>
              <w:autoSpaceDE w:val="0"/>
              <w:autoSpaceDN w:val="0"/>
              <w:adjustRightInd w:val="0"/>
              <w:spacing w:after="0" w:line="320" w:lineRule="atLeast"/>
              <w:ind w:left="60" w:right="60"/>
              <w:rPr>
                <w:rFonts w:asciiTheme="majorBidi" w:hAnsiTheme="majorBidi" w:cstheme="majorBidi"/>
                <w:b/>
                <w:bCs/>
                <w:color w:val="000000"/>
                <w:sz w:val="22"/>
              </w:rPr>
            </w:pPr>
            <w:proofErr w:type="spellStart"/>
            <w:r w:rsidRPr="00081CB0">
              <w:rPr>
                <w:rFonts w:asciiTheme="majorBidi" w:hAnsiTheme="majorBidi" w:cstheme="majorBidi"/>
                <w:b/>
                <w:bCs/>
                <w:color w:val="000000"/>
                <w:sz w:val="22"/>
              </w:rPr>
              <w:t>MVEnd</w:t>
            </w:r>
            <w:r w:rsidR="00081CB0">
              <w:rPr>
                <w:rFonts w:asciiTheme="majorBidi" w:hAnsiTheme="majorBidi" w:cstheme="majorBidi"/>
                <w:color w:val="000000"/>
                <w:sz w:val="22"/>
                <w:vertAlign w:val="superscript"/>
              </w:rPr>
              <w:t>b</w:t>
            </w:r>
            <w:proofErr w:type="spellEnd"/>
          </w:p>
        </w:tc>
        <w:tc>
          <w:tcPr>
            <w:tcW w:w="709" w:type="dxa"/>
            <w:tcBorders>
              <w:top w:val="nil"/>
              <w:left w:val="nil"/>
              <w:bottom w:val="nil"/>
              <w:right w:val="nil"/>
            </w:tcBorders>
            <w:shd w:val="clear" w:color="auto" w:fill="FFFFFF"/>
          </w:tcPr>
          <w:p w14:paraId="09ED2063" w14:textId="77777777" w:rsidR="00B173DE" w:rsidRPr="002D5C41" w:rsidRDefault="00B173DE"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1540</w:t>
            </w:r>
          </w:p>
        </w:tc>
        <w:tc>
          <w:tcPr>
            <w:tcW w:w="1030" w:type="dxa"/>
            <w:tcBorders>
              <w:top w:val="nil"/>
              <w:left w:val="nil"/>
              <w:bottom w:val="nil"/>
              <w:right w:val="nil"/>
            </w:tcBorders>
            <w:shd w:val="clear" w:color="auto" w:fill="FFFFFF"/>
          </w:tcPr>
          <w:p w14:paraId="69002A56" w14:textId="1F10C082" w:rsidR="00B173DE" w:rsidRPr="002D5C41" w:rsidRDefault="00B173DE"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0</w:t>
            </w:r>
          </w:p>
        </w:tc>
        <w:tc>
          <w:tcPr>
            <w:tcW w:w="1046" w:type="dxa"/>
            <w:tcBorders>
              <w:top w:val="nil"/>
              <w:left w:val="nil"/>
              <w:bottom w:val="nil"/>
              <w:right w:val="nil"/>
            </w:tcBorders>
            <w:shd w:val="clear" w:color="auto" w:fill="FFFFFF"/>
          </w:tcPr>
          <w:p w14:paraId="4665242C" w14:textId="0C9B91B6" w:rsidR="00B173DE" w:rsidRPr="002D5C41" w:rsidRDefault="00B173DE"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w:t>
            </w:r>
          </w:p>
        </w:tc>
        <w:tc>
          <w:tcPr>
            <w:tcW w:w="1042" w:type="dxa"/>
            <w:tcBorders>
              <w:top w:val="nil"/>
              <w:left w:val="nil"/>
              <w:bottom w:val="nil"/>
              <w:right w:val="nil"/>
            </w:tcBorders>
            <w:shd w:val="clear" w:color="auto" w:fill="FFFFFF"/>
          </w:tcPr>
          <w:p w14:paraId="31297A49" w14:textId="77777777" w:rsidR="00B173DE" w:rsidRPr="002D5C41" w:rsidRDefault="00B173DE" w:rsidP="00962182">
            <w:pPr>
              <w:autoSpaceDE w:val="0"/>
              <w:autoSpaceDN w:val="0"/>
              <w:adjustRightInd w:val="0"/>
              <w:spacing w:after="0" w:line="320" w:lineRule="atLeast"/>
              <w:ind w:left="60" w:right="60"/>
              <w:jc w:val="right"/>
              <w:rPr>
                <w:rFonts w:asciiTheme="majorBidi" w:hAnsiTheme="majorBidi" w:cstheme="majorBidi"/>
                <w:color w:val="000000"/>
                <w:sz w:val="22"/>
              </w:rPr>
            </w:pPr>
          </w:p>
        </w:tc>
        <w:tc>
          <w:tcPr>
            <w:tcW w:w="1134" w:type="dxa"/>
            <w:tcBorders>
              <w:top w:val="nil"/>
              <w:left w:val="nil"/>
              <w:bottom w:val="nil"/>
              <w:right w:val="nil"/>
            </w:tcBorders>
            <w:shd w:val="clear" w:color="auto" w:fill="FFFFFF"/>
          </w:tcPr>
          <w:p w14:paraId="1F45153E" w14:textId="77777777" w:rsidR="00B173DE" w:rsidRPr="002D5C41" w:rsidRDefault="00B173DE" w:rsidP="00962182">
            <w:pPr>
              <w:autoSpaceDE w:val="0"/>
              <w:autoSpaceDN w:val="0"/>
              <w:adjustRightInd w:val="0"/>
              <w:spacing w:after="0" w:line="320" w:lineRule="atLeast"/>
              <w:ind w:left="60" w:right="60"/>
              <w:jc w:val="right"/>
              <w:rPr>
                <w:rFonts w:asciiTheme="majorBidi" w:hAnsiTheme="majorBidi" w:cstheme="majorBidi"/>
                <w:color w:val="000000"/>
                <w:sz w:val="22"/>
              </w:rPr>
            </w:pPr>
          </w:p>
        </w:tc>
      </w:tr>
      <w:tr w:rsidR="00962848" w:rsidRPr="002D5C41" w14:paraId="27A357AF" w14:textId="77777777" w:rsidTr="00876F70">
        <w:trPr>
          <w:cantSplit/>
          <w:jc w:val="center"/>
        </w:trPr>
        <w:tc>
          <w:tcPr>
            <w:tcW w:w="3686" w:type="dxa"/>
            <w:tcBorders>
              <w:top w:val="nil"/>
              <w:left w:val="nil"/>
              <w:bottom w:val="nil"/>
              <w:right w:val="nil"/>
            </w:tcBorders>
            <w:shd w:val="clear" w:color="auto" w:fill="E7E6E6" w:themeFill="background2"/>
          </w:tcPr>
          <w:p w14:paraId="732B2273" w14:textId="78EC6DB3" w:rsidR="00962848" w:rsidRPr="002D5C41" w:rsidRDefault="000A23D0" w:rsidP="00962182">
            <w:pPr>
              <w:autoSpaceDE w:val="0"/>
              <w:autoSpaceDN w:val="0"/>
              <w:adjustRightInd w:val="0"/>
              <w:spacing w:after="0" w:line="320" w:lineRule="atLeast"/>
              <w:ind w:left="60" w:right="60"/>
              <w:rPr>
                <w:rFonts w:asciiTheme="majorBidi" w:hAnsiTheme="majorBidi" w:cstheme="majorBidi"/>
                <w:color w:val="000000"/>
                <w:sz w:val="22"/>
              </w:rPr>
            </w:pPr>
            <w:r>
              <w:rPr>
                <w:rFonts w:eastAsiaTheme="minorEastAsia" w:cs="Times New Roman"/>
              </w:rPr>
              <w:t xml:space="preserve">Despesa efetiva </w:t>
            </w:r>
            <w:r w:rsidRPr="00506E82">
              <w:rPr>
                <w:rFonts w:eastAsiaTheme="minorEastAsia" w:cs="Times New Roman"/>
                <w:i/>
                <w:iCs/>
              </w:rPr>
              <w:t>per capita</w:t>
            </w:r>
          </w:p>
        </w:tc>
        <w:tc>
          <w:tcPr>
            <w:tcW w:w="709" w:type="dxa"/>
            <w:tcBorders>
              <w:top w:val="nil"/>
              <w:left w:val="nil"/>
              <w:bottom w:val="nil"/>
              <w:right w:val="nil"/>
            </w:tcBorders>
            <w:shd w:val="clear" w:color="auto" w:fill="E7E6E6" w:themeFill="background2"/>
          </w:tcPr>
          <w:p w14:paraId="58D57E00"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1540</w:t>
            </w:r>
          </w:p>
        </w:tc>
        <w:tc>
          <w:tcPr>
            <w:tcW w:w="1030" w:type="dxa"/>
            <w:tcBorders>
              <w:top w:val="nil"/>
              <w:left w:val="nil"/>
              <w:bottom w:val="nil"/>
              <w:right w:val="nil"/>
            </w:tcBorders>
            <w:shd w:val="clear" w:color="auto" w:fill="E7E6E6" w:themeFill="background2"/>
          </w:tcPr>
          <w:p w14:paraId="114FB951" w14:textId="45F51031"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28,39</w:t>
            </w:r>
          </w:p>
        </w:tc>
        <w:tc>
          <w:tcPr>
            <w:tcW w:w="1046" w:type="dxa"/>
            <w:tcBorders>
              <w:top w:val="nil"/>
              <w:left w:val="nil"/>
              <w:bottom w:val="nil"/>
              <w:right w:val="nil"/>
            </w:tcBorders>
            <w:shd w:val="clear" w:color="auto" w:fill="E7E6E6" w:themeFill="background2"/>
          </w:tcPr>
          <w:p w14:paraId="3A8520CF" w14:textId="470A94DD"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509,9</w:t>
            </w:r>
          </w:p>
        </w:tc>
        <w:tc>
          <w:tcPr>
            <w:tcW w:w="1042" w:type="dxa"/>
            <w:tcBorders>
              <w:top w:val="nil"/>
              <w:left w:val="nil"/>
              <w:bottom w:val="nil"/>
              <w:right w:val="nil"/>
            </w:tcBorders>
            <w:shd w:val="clear" w:color="auto" w:fill="E7E6E6" w:themeFill="background2"/>
          </w:tcPr>
          <w:p w14:paraId="20486A83" w14:textId="7BFDB0E2"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97,96</w:t>
            </w:r>
          </w:p>
        </w:tc>
        <w:tc>
          <w:tcPr>
            <w:tcW w:w="1134" w:type="dxa"/>
            <w:tcBorders>
              <w:top w:val="nil"/>
              <w:left w:val="nil"/>
              <w:bottom w:val="nil"/>
              <w:right w:val="nil"/>
            </w:tcBorders>
            <w:shd w:val="clear" w:color="auto" w:fill="E7E6E6" w:themeFill="background2"/>
          </w:tcPr>
          <w:p w14:paraId="152AD7BE" w14:textId="4E77BCB2"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52,207</w:t>
            </w:r>
          </w:p>
        </w:tc>
      </w:tr>
      <w:tr w:rsidR="00962848" w:rsidRPr="002D5C41" w14:paraId="12A5320A" w14:textId="77777777" w:rsidTr="000C2ECD">
        <w:trPr>
          <w:cantSplit/>
          <w:jc w:val="center"/>
        </w:trPr>
        <w:tc>
          <w:tcPr>
            <w:tcW w:w="3686" w:type="dxa"/>
            <w:tcBorders>
              <w:top w:val="nil"/>
              <w:left w:val="nil"/>
              <w:bottom w:val="nil"/>
              <w:right w:val="nil"/>
            </w:tcBorders>
            <w:shd w:val="clear" w:color="auto" w:fill="FFFFFF"/>
          </w:tcPr>
          <w:p w14:paraId="4067AF3D" w14:textId="18141DA7" w:rsidR="00962848" w:rsidRPr="002D5C41" w:rsidRDefault="00962848" w:rsidP="00962182">
            <w:pPr>
              <w:autoSpaceDE w:val="0"/>
              <w:autoSpaceDN w:val="0"/>
              <w:adjustRightInd w:val="0"/>
              <w:spacing w:after="0" w:line="320" w:lineRule="atLeast"/>
              <w:ind w:left="60" w:right="60"/>
              <w:rPr>
                <w:rFonts w:asciiTheme="majorBidi" w:hAnsiTheme="majorBidi" w:cstheme="majorBidi"/>
                <w:b/>
                <w:bCs/>
                <w:color w:val="000000"/>
                <w:sz w:val="22"/>
              </w:rPr>
            </w:pPr>
            <w:proofErr w:type="spellStart"/>
            <w:r w:rsidRPr="002D5C41">
              <w:rPr>
                <w:rFonts w:asciiTheme="majorBidi" w:hAnsiTheme="majorBidi" w:cstheme="majorBidi"/>
                <w:b/>
                <w:bCs/>
                <w:color w:val="000000"/>
                <w:sz w:val="22"/>
              </w:rPr>
              <w:t>CD</w:t>
            </w:r>
            <w:r w:rsidR="000A23D0">
              <w:rPr>
                <w:rFonts w:asciiTheme="majorBidi" w:hAnsiTheme="majorBidi" w:cstheme="majorBidi"/>
                <w:b/>
                <w:bCs/>
                <w:color w:val="000000"/>
                <w:sz w:val="22"/>
              </w:rPr>
              <w:t>E</w:t>
            </w:r>
            <w:r w:rsidR="00081CB0">
              <w:rPr>
                <w:rFonts w:asciiTheme="majorBidi" w:hAnsiTheme="majorBidi" w:cstheme="majorBidi"/>
                <w:color w:val="000000"/>
                <w:sz w:val="22"/>
                <w:vertAlign w:val="superscript"/>
              </w:rPr>
              <w:t>b</w:t>
            </w:r>
            <w:proofErr w:type="spellEnd"/>
          </w:p>
        </w:tc>
        <w:tc>
          <w:tcPr>
            <w:tcW w:w="709" w:type="dxa"/>
            <w:tcBorders>
              <w:top w:val="nil"/>
              <w:left w:val="nil"/>
              <w:bottom w:val="nil"/>
              <w:right w:val="nil"/>
            </w:tcBorders>
            <w:shd w:val="clear" w:color="auto" w:fill="FFFFFF"/>
          </w:tcPr>
          <w:p w14:paraId="64BA88C1"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1540</w:t>
            </w:r>
          </w:p>
        </w:tc>
        <w:tc>
          <w:tcPr>
            <w:tcW w:w="1030" w:type="dxa"/>
            <w:tcBorders>
              <w:top w:val="nil"/>
              <w:left w:val="nil"/>
              <w:bottom w:val="nil"/>
              <w:right w:val="nil"/>
            </w:tcBorders>
            <w:shd w:val="clear" w:color="auto" w:fill="FFFFFF"/>
          </w:tcPr>
          <w:p w14:paraId="631D4CE5"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0</w:t>
            </w:r>
          </w:p>
        </w:tc>
        <w:tc>
          <w:tcPr>
            <w:tcW w:w="1046" w:type="dxa"/>
            <w:tcBorders>
              <w:top w:val="nil"/>
              <w:left w:val="nil"/>
              <w:bottom w:val="nil"/>
              <w:right w:val="nil"/>
            </w:tcBorders>
            <w:shd w:val="clear" w:color="auto" w:fill="FFFFFF"/>
          </w:tcPr>
          <w:p w14:paraId="761BE5E6"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w:t>
            </w:r>
          </w:p>
        </w:tc>
        <w:tc>
          <w:tcPr>
            <w:tcW w:w="1042" w:type="dxa"/>
            <w:tcBorders>
              <w:top w:val="nil"/>
              <w:left w:val="nil"/>
              <w:bottom w:val="nil"/>
              <w:right w:val="nil"/>
            </w:tcBorders>
            <w:shd w:val="clear" w:color="auto" w:fill="FFFFFF"/>
          </w:tcPr>
          <w:p w14:paraId="274F9A4C"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p>
        </w:tc>
        <w:tc>
          <w:tcPr>
            <w:tcW w:w="1134" w:type="dxa"/>
            <w:tcBorders>
              <w:top w:val="nil"/>
              <w:left w:val="nil"/>
              <w:bottom w:val="nil"/>
              <w:right w:val="nil"/>
            </w:tcBorders>
            <w:shd w:val="clear" w:color="auto" w:fill="FFFFFF"/>
          </w:tcPr>
          <w:p w14:paraId="33DF2542"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p>
        </w:tc>
      </w:tr>
      <w:tr w:rsidR="00962848" w:rsidRPr="002D5C41" w14:paraId="5B5DDF85" w14:textId="77777777" w:rsidTr="00876F70">
        <w:trPr>
          <w:cantSplit/>
          <w:jc w:val="center"/>
        </w:trPr>
        <w:tc>
          <w:tcPr>
            <w:tcW w:w="3686" w:type="dxa"/>
            <w:tcBorders>
              <w:top w:val="nil"/>
              <w:left w:val="nil"/>
              <w:bottom w:val="nil"/>
              <w:right w:val="nil"/>
            </w:tcBorders>
            <w:shd w:val="clear" w:color="auto" w:fill="E7E6E6" w:themeFill="background2"/>
          </w:tcPr>
          <w:p w14:paraId="667D7409" w14:textId="77777777" w:rsidR="00962848" w:rsidRPr="002D5C41" w:rsidRDefault="00962848" w:rsidP="00962182">
            <w:pPr>
              <w:autoSpaceDE w:val="0"/>
              <w:autoSpaceDN w:val="0"/>
              <w:adjustRightInd w:val="0"/>
              <w:spacing w:after="0" w:line="320" w:lineRule="atLeast"/>
              <w:ind w:left="60" w:right="60"/>
              <w:rPr>
                <w:rFonts w:asciiTheme="majorBidi" w:hAnsiTheme="majorBidi" w:cstheme="majorBidi"/>
                <w:color w:val="000000"/>
                <w:sz w:val="22"/>
              </w:rPr>
            </w:pPr>
            <w:r w:rsidRPr="002D5C41">
              <w:rPr>
                <w:rFonts w:asciiTheme="majorBidi" w:hAnsiTheme="majorBidi" w:cstheme="majorBidi"/>
                <w:color w:val="000000"/>
                <w:sz w:val="22"/>
              </w:rPr>
              <w:t>População</w:t>
            </w:r>
          </w:p>
        </w:tc>
        <w:tc>
          <w:tcPr>
            <w:tcW w:w="709" w:type="dxa"/>
            <w:tcBorders>
              <w:top w:val="nil"/>
              <w:left w:val="nil"/>
              <w:bottom w:val="nil"/>
              <w:right w:val="nil"/>
            </w:tcBorders>
            <w:shd w:val="clear" w:color="auto" w:fill="E7E6E6" w:themeFill="background2"/>
          </w:tcPr>
          <w:p w14:paraId="75D96544"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1540</w:t>
            </w:r>
          </w:p>
        </w:tc>
        <w:tc>
          <w:tcPr>
            <w:tcW w:w="1030" w:type="dxa"/>
            <w:tcBorders>
              <w:top w:val="nil"/>
              <w:left w:val="nil"/>
              <w:bottom w:val="nil"/>
              <w:right w:val="nil"/>
            </w:tcBorders>
            <w:shd w:val="clear" w:color="auto" w:fill="E7E6E6" w:themeFill="background2"/>
          </w:tcPr>
          <w:p w14:paraId="300EE667"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459</w:t>
            </w:r>
          </w:p>
        </w:tc>
        <w:tc>
          <w:tcPr>
            <w:tcW w:w="1046" w:type="dxa"/>
            <w:tcBorders>
              <w:top w:val="nil"/>
              <w:left w:val="nil"/>
              <w:bottom w:val="nil"/>
              <w:right w:val="nil"/>
            </w:tcBorders>
            <w:shd w:val="clear" w:color="auto" w:fill="E7E6E6" w:themeFill="background2"/>
          </w:tcPr>
          <w:p w14:paraId="46A9CB45"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516815</w:t>
            </w:r>
          </w:p>
        </w:tc>
        <w:tc>
          <w:tcPr>
            <w:tcW w:w="1042" w:type="dxa"/>
            <w:tcBorders>
              <w:top w:val="nil"/>
              <w:left w:val="nil"/>
              <w:bottom w:val="nil"/>
              <w:right w:val="nil"/>
            </w:tcBorders>
            <w:shd w:val="clear" w:color="auto" w:fill="E7E6E6" w:themeFill="background2"/>
          </w:tcPr>
          <w:p w14:paraId="7AE7E556"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33600,03</w:t>
            </w:r>
          </w:p>
        </w:tc>
        <w:tc>
          <w:tcPr>
            <w:tcW w:w="1134" w:type="dxa"/>
            <w:tcBorders>
              <w:top w:val="nil"/>
              <w:left w:val="nil"/>
              <w:bottom w:val="nil"/>
              <w:right w:val="nil"/>
            </w:tcBorders>
            <w:shd w:val="clear" w:color="auto" w:fill="E7E6E6" w:themeFill="background2"/>
          </w:tcPr>
          <w:p w14:paraId="2D561B31"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54763,809</w:t>
            </w:r>
          </w:p>
        </w:tc>
      </w:tr>
      <w:tr w:rsidR="00962848" w:rsidRPr="002D5C41" w14:paraId="57C846D9" w14:textId="77777777" w:rsidTr="000C2ECD">
        <w:trPr>
          <w:cantSplit/>
          <w:jc w:val="center"/>
        </w:trPr>
        <w:tc>
          <w:tcPr>
            <w:tcW w:w="3686" w:type="dxa"/>
            <w:tcBorders>
              <w:top w:val="nil"/>
              <w:left w:val="nil"/>
              <w:bottom w:val="nil"/>
              <w:right w:val="nil"/>
            </w:tcBorders>
            <w:shd w:val="clear" w:color="auto" w:fill="FFFFFF"/>
          </w:tcPr>
          <w:p w14:paraId="3B54DE6A" w14:textId="7F1F3DA8" w:rsidR="00962848" w:rsidRPr="002D5C41" w:rsidRDefault="00962848" w:rsidP="00962182">
            <w:pPr>
              <w:autoSpaceDE w:val="0"/>
              <w:autoSpaceDN w:val="0"/>
              <w:adjustRightInd w:val="0"/>
              <w:spacing w:after="0" w:line="320" w:lineRule="atLeast"/>
              <w:ind w:left="60" w:right="60"/>
              <w:rPr>
                <w:rFonts w:asciiTheme="majorBidi" w:hAnsiTheme="majorBidi" w:cstheme="majorBidi"/>
                <w:b/>
                <w:bCs/>
                <w:color w:val="000000"/>
                <w:sz w:val="22"/>
              </w:rPr>
            </w:pPr>
            <w:proofErr w:type="spellStart"/>
            <w:r w:rsidRPr="002D5C41">
              <w:rPr>
                <w:rFonts w:asciiTheme="majorBidi" w:hAnsiTheme="majorBidi" w:cstheme="majorBidi"/>
                <w:b/>
                <w:bCs/>
                <w:color w:val="000000"/>
                <w:sz w:val="22"/>
              </w:rPr>
              <w:t>CPR</w:t>
            </w:r>
            <w:r w:rsidR="00081CB0">
              <w:rPr>
                <w:rFonts w:asciiTheme="majorBidi" w:hAnsiTheme="majorBidi" w:cstheme="majorBidi"/>
                <w:color w:val="000000"/>
                <w:sz w:val="22"/>
                <w:vertAlign w:val="superscript"/>
              </w:rPr>
              <w:t>b</w:t>
            </w:r>
            <w:proofErr w:type="spellEnd"/>
          </w:p>
        </w:tc>
        <w:tc>
          <w:tcPr>
            <w:tcW w:w="709" w:type="dxa"/>
            <w:tcBorders>
              <w:top w:val="nil"/>
              <w:left w:val="nil"/>
              <w:bottom w:val="nil"/>
              <w:right w:val="nil"/>
            </w:tcBorders>
            <w:shd w:val="clear" w:color="auto" w:fill="FFFFFF"/>
          </w:tcPr>
          <w:p w14:paraId="41E54DF7"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1540</w:t>
            </w:r>
          </w:p>
        </w:tc>
        <w:tc>
          <w:tcPr>
            <w:tcW w:w="1030" w:type="dxa"/>
            <w:tcBorders>
              <w:top w:val="nil"/>
              <w:left w:val="nil"/>
              <w:bottom w:val="nil"/>
              <w:right w:val="nil"/>
            </w:tcBorders>
            <w:shd w:val="clear" w:color="auto" w:fill="FFFFFF"/>
          </w:tcPr>
          <w:p w14:paraId="14ECE52F"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w:t>
            </w:r>
          </w:p>
        </w:tc>
        <w:tc>
          <w:tcPr>
            <w:tcW w:w="1046" w:type="dxa"/>
            <w:tcBorders>
              <w:top w:val="nil"/>
              <w:left w:val="nil"/>
              <w:bottom w:val="nil"/>
              <w:right w:val="nil"/>
            </w:tcBorders>
            <w:shd w:val="clear" w:color="auto" w:fill="FFFFFF"/>
          </w:tcPr>
          <w:p w14:paraId="5F20F77E"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3</w:t>
            </w:r>
          </w:p>
        </w:tc>
        <w:tc>
          <w:tcPr>
            <w:tcW w:w="1042" w:type="dxa"/>
            <w:tcBorders>
              <w:top w:val="nil"/>
              <w:left w:val="nil"/>
              <w:bottom w:val="nil"/>
              <w:right w:val="nil"/>
            </w:tcBorders>
            <w:shd w:val="clear" w:color="auto" w:fill="FFFFFF"/>
          </w:tcPr>
          <w:p w14:paraId="0EC37830" w14:textId="7FEF5DC8"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p>
        </w:tc>
        <w:tc>
          <w:tcPr>
            <w:tcW w:w="1134" w:type="dxa"/>
            <w:tcBorders>
              <w:top w:val="nil"/>
              <w:left w:val="nil"/>
              <w:bottom w:val="nil"/>
              <w:right w:val="nil"/>
            </w:tcBorders>
            <w:shd w:val="clear" w:color="auto" w:fill="FFFFFF"/>
          </w:tcPr>
          <w:p w14:paraId="7BE693FD" w14:textId="4F3D5B96"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p>
        </w:tc>
      </w:tr>
      <w:tr w:rsidR="00962848" w:rsidRPr="002D5C41" w14:paraId="5CACBDA1" w14:textId="77777777" w:rsidTr="00876F70">
        <w:trPr>
          <w:cantSplit/>
          <w:jc w:val="center"/>
        </w:trPr>
        <w:tc>
          <w:tcPr>
            <w:tcW w:w="3686" w:type="dxa"/>
            <w:tcBorders>
              <w:top w:val="nil"/>
              <w:left w:val="nil"/>
              <w:bottom w:val="nil"/>
              <w:right w:val="nil"/>
            </w:tcBorders>
            <w:shd w:val="clear" w:color="auto" w:fill="E7E6E6" w:themeFill="background2"/>
          </w:tcPr>
          <w:p w14:paraId="3952C913" w14:textId="77777777" w:rsidR="00962848" w:rsidRPr="002D5C41" w:rsidRDefault="00962848" w:rsidP="00962182">
            <w:pPr>
              <w:autoSpaceDE w:val="0"/>
              <w:autoSpaceDN w:val="0"/>
              <w:adjustRightInd w:val="0"/>
              <w:spacing w:after="0" w:line="320" w:lineRule="atLeast"/>
              <w:ind w:left="60" w:right="60"/>
              <w:rPr>
                <w:rFonts w:asciiTheme="majorBidi" w:hAnsiTheme="majorBidi" w:cstheme="majorBidi"/>
                <w:color w:val="000000"/>
                <w:sz w:val="22"/>
              </w:rPr>
            </w:pPr>
            <w:r>
              <w:rPr>
                <w:rFonts w:asciiTheme="majorBidi" w:hAnsiTheme="majorBidi" w:cstheme="majorBidi"/>
                <w:color w:val="000000"/>
                <w:sz w:val="22"/>
              </w:rPr>
              <w:t>Taxa P</w:t>
            </w:r>
            <w:r w:rsidRPr="002D5C41">
              <w:rPr>
                <w:rFonts w:asciiTheme="majorBidi" w:hAnsiTheme="majorBidi" w:cstheme="majorBidi"/>
                <w:color w:val="000000"/>
                <w:sz w:val="22"/>
              </w:rPr>
              <w:t xml:space="preserve">opulação </w:t>
            </w:r>
            <w:r>
              <w:rPr>
                <w:rFonts w:asciiTheme="majorBidi" w:hAnsiTheme="majorBidi" w:cstheme="majorBidi"/>
                <w:color w:val="000000"/>
                <w:sz w:val="22"/>
              </w:rPr>
              <w:t>I</w:t>
            </w:r>
            <w:r w:rsidRPr="002D5C41">
              <w:rPr>
                <w:rFonts w:asciiTheme="majorBidi" w:hAnsiTheme="majorBidi" w:cstheme="majorBidi"/>
                <w:color w:val="000000"/>
                <w:sz w:val="22"/>
              </w:rPr>
              <w:t>dosa</w:t>
            </w:r>
            <w:r>
              <w:rPr>
                <w:rFonts w:asciiTheme="majorBidi" w:hAnsiTheme="majorBidi" w:cstheme="majorBidi"/>
                <w:color w:val="000000"/>
                <w:sz w:val="22"/>
              </w:rPr>
              <w:t xml:space="preserve"> </w:t>
            </w:r>
            <w:r w:rsidRPr="002D5C41">
              <w:rPr>
                <w:rFonts w:asciiTheme="majorBidi" w:hAnsiTheme="majorBidi" w:cstheme="majorBidi"/>
                <w:color w:val="000000"/>
                <w:sz w:val="22"/>
              </w:rPr>
              <w:t>(%)</w:t>
            </w:r>
          </w:p>
        </w:tc>
        <w:tc>
          <w:tcPr>
            <w:tcW w:w="709" w:type="dxa"/>
            <w:tcBorders>
              <w:top w:val="nil"/>
              <w:left w:val="nil"/>
              <w:bottom w:val="nil"/>
              <w:right w:val="nil"/>
            </w:tcBorders>
            <w:shd w:val="clear" w:color="auto" w:fill="E7E6E6" w:themeFill="background2"/>
          </w:tcPr>
          <w:p w14:paraId="37F8BA5D"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1540</w:t>
            </w:r>
          </w:p>
        </w:tc>
        <w:tc>
          <w:tcPr>
            <w:tcW w:w="1030" w:type="dxa"/>
            <w:tcBorders>
              <w:top w:val="nil"/>
              <w:left w:val="nil"/>
              <w:bottom w:val="nil"/>
              <w:right w:val="nil"/>
            </w:tcBorders>
            <w:shd w:val="clear" w:color="auto" w:fill="E7E6E6" w:themeFill="background2"/>
          </w:tcPr>
          <w:p w14:paraId="5C12612B"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7,8</w:t>
            </w:r>
          </w:p>
        </w:tc>
        <w:tc>
          <w:tcPr>
            <w:tcW w:w="1046" w:type="dxa"/>
            <w:tcBorders>
              <w:top w:val="nil"/>
              <w:left w:val="nil"/>
              <w:bottom w:val="nil"/>
              <w:right w:val="nil"/>
            </w:tcBorders>
            <w:shd w:val="clear" w:color="auto" w:fill="E7E6E6" w:themeFill="background2"/>
          </w:tcPr>
          <w:p w14:paraId="4826913A"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45,5</w:t>
            </w:r>
          </w:p>
        </w:tc>
        <w:tc>
          <w:tcPr>
            <w:tcW w:w="1042" w:type="dxa"/>
            <w:tcBorders>
              <w:top w:val="nil"/>
              <w:left w:val="nil"/>
              <w:bottom w:val="nil"/>
              <w:right w:val="nil"/>
            </w:tcBorders>
            <w:shd w:val="clear" w:color="auto" w:fill="E7E6E6" w:themeFill="background2"/>
          </w:tcPr>
          <w:p w14:paraId="0A9E3969" w14:textId="4988B4A8"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23,73</w:t>
            </w:r>
          </w:p>
        </w:tc>
        <w:tc>
          <w:tcPr>
            <w:tcW w:w="1134" w:type="dxa"/>
            <w:tcBorders>
              <w:top w:val="nil"/>
              <w:left w:val="nil"/>
              <w:bottom w:val="nil"/>
              <w:right w:val="nil"/>
            </w:tcBorders>
            <w:shd w:val="clear" w:color="auto" w:fill="E7E6E6" w:themeFill="background2"/>
          </w:tcPr>
          <w:p w14:paraId="730D34BA"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6,3389</w:t>
            </w:r>
          </w:p>
        </w:tc>
      </w:tr>
      <w:tr w:rsidR="00B173DE" w:rsidRPr="002D5C41" w14:paraId="6BC386F5" w14:textId="77777777" w:rsidTr="000C2ECD">
        <w:trPr>
          <w:cantSplit/>
          <w:jc w:val="center"/>
        </w:trPr>
        <w:tc>
          <w:tcPr>
            <w:tcW w:w="3686" w:type="dxa"/>
            <w:tcBorders>
              <w:top w:val="nil"/>
              <w:left w:val="nil"/>
              <w:bottom w:val="nil"/>
              <w:right w:val="nil"/>
            </w:tcBorders>
            <w:shd w:val="clear" w:color="auto" w:fill="FFFFFF"/>
          </w:tcPr>
          <w:p w14:paraId="73D2A45E" w14:textId="6C8D4A64" w:rsidR="00B173DE" w:rsidRPr="002D5C41" w:rsidRDefault="00B173DE" w:rsidP="00962182">
            <w:pPr>
              <w:autoSpaceDE w:val="0"/>
              <w:autoSpaceDN w:val="0"/>
              <w:adjustRightInd w:val="0"/>
              <w:spacing w:after="0" w:line="320" w:lineRule="atLeast"/>
              <w:ind w:left="60" w:right="60"/>
              <w:rPr>
                <w:rFonts w:asciiTheme="majorBidi" w:hAnsiTheme="majorBidi" w:cstheme="majorBidi"/>
                <w:b/>
                <w:bCs/>
                <w:color w:val="000000"/>
                <w:sz w:val="22"/>
              </w:rPr>
            </w:pPr>
            <w:proofErr w:type="spellStart"/>
            <w:r w:rsidRPr="00090724">
              <w:rPr>
                <w:rFonts w:asciiTheme="majorBidi" w:hAnsiTheme="majorBidi" w:cstheme="majorBidi"/>
                <w:b/>
                <w:bCs/>
                <w:color w:val="000000"/>
                <w:sz w:val="22"/>
              </w:rPr>
              <w:t>CTxPi</w:t>
            </w:r>
            <w:r w:rsidR="00081CB0">
              <w:rPr>
                <w:rFonts w:asciiTheme="majorBidi" w:hAnsiTheme="majorBidi" w:cstheme="majorBidi"/>
                <w:color w:val="000000"/>
                <w:sz w:val="22"/>
                <w:vertAlign w:val="superscript"/>
              </w:rPr>
              <w:t>b</w:t>
            </w:r>
            <w:proofErr w:type="spellEnd"/>
          </w:p>
        </w:tc>
        <w:tc>
          <w:tcPr>
            <w:tcW w:w="709" w:type="dxa"/>
            <w:tcBorders>
              <w:top w:val="nil"/>
              <w:left w:val="nil"/>
              <w:bottom w:val="nil"/>
              <w:right w:val="nil"/>
            </w:tcBorders>
            <w:shd w:val="clear" w:color="auto" w:fill="FFFFFF"/>
          </w:tcPr>
          <w:p w14:paraId="72F8AB19" w14:textId="77777777" w:rsidR="00B173DE" w:rsidRPr="002D5C41" w:rsidRDefault="00B173DE"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1540</w:t>
            </w:r>
          </w:p>
        </w:tc>
        <w:tc>
          <w:tcPr>
            <w:tcW w:w="1030" w:type="dxa"/>
            <w:tcBorders>
              <w:top w:val="nil"/>
              <w:left w:val="nil"/>
              <w:bottom w:val="nil"/>
              <w:right w:val="nil"/>
            </w:tcBorders>
            <w:shd w:val="clear" w:color="auto" w:fill="FFFFFF"/>
          </w:tcPr>
          <w:p w14:paraId="48C8CF26" w14:textId="2CA4C0BA" w:rsidR="00B173DE" w:rsidRPr="002D5C41" w:rsidRDefault="00B173DE" w:rsidP="00962182">
            <w:pPr>
              <w:autoSpaceDE w:val="0"/>
              <w:autoSpaceDN w:val="0"/>
              <w:adjustRightInd w:val="0"/>
              <w:spacing w:after="0" w:line="320" w:lineRule="atLeast"/>
              <w:ind w:left="60" w:right="60"/>
              <w:jc w:val="right"/>
              <w:rPr>
                <w:rFonts w:asciiTheme="majorBidi" w:hAnsiTheme="majorBidi" w:cstheme="majorBidi"/>
                <w:color w:val="000000"/>
                <w:sz w:val="22"/>
              </w:rPr>
            </w:pPr>
            <w:r>
              <w:rPr>
                <w:rFonts w:asciiTheme="majorBidi" w:hAnsiTheme="majorBidi" w:cstheme="majorBidi"/>
                <w:color w:val="000000"/>
                <w:sz w:val="22"/>
              </w:rPr>
              <w:t>0</w:t>
            </w:r>
          </w:p>
        </w:tc>
        <w:tc>
          <w:tcPr>
            <w:tcW w:w="1046" w:type="dxa"/>
            <w:tcBorders>
              <w:top w:val="nil"/>
              <w:left w:val="nil"/>
              <w:bottom w:val="nil"/>
              <w:right w:val="nil"/>
            </w:tcBorders>
            <w:shd w:val="clear" w:color="auto" w:fill="FFFFFF"/>
          </w:tcPr>
          <w:p w14:paraId="5ABFC264" w14:textId="3E04C8DE" w:rsidR="00B173DE" w:rsidRPr="002D5C41" w:rsidRDefault="00B173DE" w:rsidP="00962182">
            <w:pPr>
              <w:autoSpaceDE w:val="0"/>
              <w:autoSpaceDN w:val="0"/>
              <w:adjustRightInd w:val="0"/>
              <w:spacing w:after="0" w:line="320" w:lineRule="atLeast"/>
              <w:ind w:left="60" w:right="60"/>
              <w:jc w:val="right"/>
              <w:rPr>
                <w:rFonts w:asciiTheme="majorBidi" w:hAnsiTheme="majorBidi" w:cstheme="majorBidi"/>
                <w:color w:val="000000"/>
                <w:sz w:val="22"/>
              </w:rPr>
            </w:pPr>
            <w:r>
              <w:rPr>
                <w:rFonts w:asciiTheme="majorBidi" w:hAnsiTheme="majorBidi" w:cstheme="majorBidi"/>
                <w:color w:val="000000"/>
                <w:sz w:val="22"/>
              </w:rPr>
              <w:t>1</w:t>
            </w:r>
          </w:p>
        </w:tc>
        <w:tc>
          <w:tcPr>
            <w:tcW w:w="1042" w:type="dxa"/>
            <w:tcBorders>
              <w:top w:val="nil"/>
              <w:left w:val="nil"/>
              <w:bottom w:val="nil"/>
              <w:right w:val="nil"/>
            </w:tcBorders>
            <w:shd w:val="clear" w:color="auto" w:fill="FFFFFF"/>
          </w:tcPr>
          <w:p w14:paraId="09914B27" w14:textId="4DFFB128" w:rsidR="00B173DE" w:rsidRPr="002D5C41" w:rsidRDefault="00B173DE" w:rsidP="00962182">
            <w:pPr>
              <w:autoSpaceDE w:val="0"/>
              <w:autoSpaceDN w:val="0"/>
              <w:adjustRightInd w:val="0"/>
              <w:spacing w:after="0" w:line="320" w:lineRule="atLeast"/>
              <w:ind w:left="60" w:right="60"/>
              <w:jc w:val="right"/>
              <w:rPr>
                <w:rFonts w:asciiTheme="majorBidi" w:hAnsiTheme="majorBidi" w:cstheme="majorBidi"/>
                <w:color w:val="000000"/>
                <w:sz w:val="22"/>
              </w:rPr>
            </w:pPr>
          </w:p>
        </w:tc>
        <w:tc>
          <w:tcPr>
            <w:tcW w:w="1134" w:type="dxa"/>
            <w:tcBorders>
              <w:top w:val="nil"/>
              <w:left w:val="nil"/>
              <w:bottom w:val="nil"/>
              <w:right w:val="nil"/>
            </w:tcBorders>
            <w:shd w:val="clear" w:color="auto" w:fill="FFFFFF"/>
          </w:tcPr>
          <w:p w14:paraId="25FCBBF6" w14:textId="471D66DB" w:rsidR="00B173DE" w:rsidRPr="002D5C41" w:rsidRDefault="00B173DE" w:rsidP="00962182">
            <w:pPr>
              <w:autoSpaceDE w:val="0"/>
              <w:autoSpaceDN w:val="0"/>
              <w:adjustRightInd w:val="0"/>
              <w:spacing w:after="0" w:line="320" w:lineRule="atLeast"/>
              <w:ind w:left="60" w:right="60"/>
              <w:jc w:val="right"/>
              <w:rPr>
                <w:rFonts w:asciiTheme="majorBidi" w:hAnsiTheme="majorBidi" w:cstheme="majorBidi"/>
                <w:color w:val="000000"/>
                <w:sz w:val="22"/>
              </w:rPr>
            </w:pPr>
          </w:p>
        </w:tc>
      </w:tr>
      <w:tr w:rsidR="00962848" w:rsidRPr="002D5C41" w14:paraId="4D95B31C" w14:textId="77777777" w:rsidTr="00876F70">
        <w:trPr>
          <w:cantSplit/>
          <w:jc w:val="center"/>
        </w:trPr>
        <w:tc>
          <w:tcPr>
            <w:tcW w:w="3686" w:type="dxa"/>
            <w:tcBorders>
              <w:top w:val="nil"/>
              <w:left w:val="nil"/>
              <w:bottom w:val="nil"/>
              <w:right w:val="nil"/>
            </w:tcBorders>
            <w:shd w:val="clear" w:color="auto" w:fill="E7E6E6" w:themeFill="background2"/>
          </w:tcPr>
          <w:p w14:paraId="69F39F47" w14:textId="77777777" w:rsidR="00962848" w:rsidRPr="002D5C41" w:rsidRDefault="00962848" w:rsidP="00962182">
            <w:pPr>
              <w:autoSpaceDE w:val="0"/>
              <w:autoSpaceDN w:val="0"/>
              <w:adjustRightInd w:val="0"/>
              <w:spacing w:after="0" w:line="320" w:lineRule="atLeast"/>
              <w:ind w:left="60" w:right="60"/>
              <w:rPr>
                <w:rFonts w:asciiTheme="majorBidi" w:hAnsiTheme="majorBidi" w:cstheme="majorBidi"/>
                <w:color w:val="000000"/>
                <w:sz w:val="22"/>
              </w:rPr>
            </w:pPr>
            <w:r w:rsidRPr="002D5C41">
              <w:rPr>
                <w:rFonts w:asciiTheme="majorBidi" w:hAnsiTheme="majorBidi" w:cstheme="majorBidi"/>
                <w:color w:val="000000"/>
                <w:sz w:val="22"/>
              </w:rPr>
              <w:t>T</w:t>
            </w:r>
            <w:r>
              <w:rPr>
                <w:rFonts w:asciiTheme="majorBidi" w:hAnsiTheme="majorBidi" w:cstheme="majorBidi"/>
                <w:color w:val="000000"/>
                <w:sz w:val="22"/>
              </w:rPr>
              <w:t>axa</w:t>
            </w:r>
            <w:r w:rsidRPr="002D5C41">
              <w:rPr>
                <w:rFonts w:asciiTheme="majorBidi" w:hAnsiTheme="majorBidi" w:cstheme="majorBidi"/>
                <w:color w:val="000000"/>
                <w:sz w:val="22"/>
              </w:rPr>
              <w:t xml:space="preserve"> Desemprego (%)</w:t>
            </w:r>
          </w:p>
        </w:tc>
        <w:tc>
          <w:tcPr>
            <w:tcW w:w="709" w:type="dxa"/>
            <w:tcBorders>
              <w:top w:val="nil"/>
              <w:left w:val="nil"/>
              <w:bottom w:val="nil"/>
              <w:right w:val="nil"/>
            </w:tcBorders>
            <w:shd w:val="clear" w:color="auto" w:fill="E7E6E6" w:themeFill="background2"/>
          </w:tcPr>
          <w:p w14:paraId="4232662C"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1540</w:t>
            </w:r>
          </w:p>
        </w:tc>
        <w:tc>
          <w:tcPr>
            <w:tcW w:w="1030" w:type="dxa"/>
            <w:tcBorders>
              <w:top w:val="nil"/>
              <w:left w:val="nil"/>
              <w:bottom w:val="nil"/>
              <w:right w:val="nil"/>
            </w:tcBorders>
            <w:shd w:val="clear" w:color="auto" w:fill="E7E6E6" w:themeFill="background2"/>
          </w:tcPr>
          <w:p w14:paraId="228677BC"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0,0</w:t>
            </w:r>
          </w:p>
        </w:tc>
        <w:tc>
          <w:tcPr>
            <w:tcW w:w="1046" w:type="dxa"/>
            <w:tcBorders>
              <w:top w:val="nil"/>
              <w:left w:val="nil"/>
              <w:bottom w:val="nil"/>
              <w:right w:val="nil"/>
            </w:tcBorders>
            <w:shd w:val="clear" w:color="auto" w:fill="E7E6E6" w:themeFill="background2"/>
          </w:tcPr>
          <w:p w14:paraId="1BAC214B"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5,3</w:t>
            </w:r>
          </w:p>
        </w:tc>
        <w:tc>
          <w:tcPr>
            <w:tcW w:w="1042" w:type="dxa"/>
            <w:tcBorders>
              <w:top w:val="nil"/>
              <w:left w:val="nil"/>
              <w:bottom w:val="nil"/>
              <w:right w:val="nil"/>
            </w:tcBorders>
            <w:shd w:val="clear" w:color="auto" w:fill="E7E6E6" w:themeFill="background2"/>
          </w:tcPr>
          <w:p w14:paraId="3586045A"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0,313</w:t>
            </w:r>
          </w:p>
        </w:tc>
        <w:tc>
          <w:tcPr>
            <w:tcW w:w="1134" w:type="dxa"/>
            <w:tcBorders>
              <w:top w:val="nil"/>
              <w:left w:val="nil"/>
              <w:bottom w:val="nil"/>
              <w:right w:val="nil"/>
            </w:tcBorders>
            <w:shd w:val="clear" w:color="auto" w:fill="E7E6E6" w:themeFill="background2"/>
          </w:tcPr>
          <w:p w14:paraId="7161BCD2"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0,5833</w:t>
            </w:r>
          </w:p>
        </w:tc>
      </w:tr>
      <w:tr w:rsidR="00090724" w:rsidRPr="002D5C41" w14:paraId="1F0339F7" w14:textId="77777777" w:rsidTr="000C2ECD">
        <w:trPr>
          <w:cantSplit/>
          <w:jc w:val="center"/>
        </w:trPr>
        <w:tc>
          <w:tcPr>
            <w:tcW w:w="3686" w:type="dxa"/>
            <w:tcBorders>
              <w:top w:val="nil"/>
              <w:left w:val="nil"/>
              <w:bottom w:val="nil"/>
              <w:right w:val="nil"/>
            </w:tcBorders>
            <w:shd w:val="clear" w:color="auto" w:fill="FFFFFF"/>
          </w:tcPr>
          <w:p w14:paraId="14F90132" w14:textId="036BE1FB" w:rsidR="00090724" w:rsidRPr="002D5C41" w:rsidRDefault="00090724" w:rsidP="00090724">
            <w:pPr>
              <w:autoSpaceDE w:val="0"/>
              <w:autoSpaceDN w:val="0"/>
              <w:adjustRightInd w:val="0"/>
              <w:spacing w:after="0" w:line="320" w:lineRule="atLeast"/>
              <w:ind w:left="60" w:right="60"/>
              <w:rPr>
                <w:rFonts w:asciiTheme="majorBidi" w:hAnsiTheme="majorBidi" w:cstheme="majorBidi"/>
                <w:color w:val="000000"/>
                <w:sz w:val="22"/>
              </w:rPr>
            </w:pPr>
            <w:proofErr w:type="spellStart"/>
            <w:r w:rsidRPr="00090724">
              <w:rPr>
                <w:rFonts w:asciiTheme="majorBidi" w:hAnsiTheme="majorBidi" w:cstheme="majorBidi"/>
                <w:b/>
                <w:bCs/>
                <w:color w:val="000000"/>
                <w:sz w:val="22"/>
              </w:rPr>
              <w:t>CTx</w:t>
            </w:r>
            <w:r>
              <w:rPr>
                <w:rFonts w:asciiTheme="majorBidi" w:hAnsiTheme="majorBidi" w:cstheme="majorBidi"/>
                <w:b/>
                <w:bCs/>
                <w:color w:val="000000"/>
                <w:sz w:val="22"/>
              </w:rPr>
              <w:t>D</w:t>
            </w:r>
            <w:r w:rsidR="00081CB0">
              <w:rPr>
                <w:rFonts w:asciiTheme="majorBidi" w:hAnsiTheme="majorBidi" w:cstheme="majorBidi"/>
                <w:color w:val="000000"/>
                <w:sz w:val="22"/>
                <w:vertAlign w:val="superscript"/>
              </w:rPr>
              <w:t>b</w:t>
            </w:r>
            <w:proofErr w:type="spellEnd"/>
          </w:p>
        </w:tc>
        <w:tc>
          <w:tcPr>
            <w:tcW w:w="709" w:type="dxa"/>
            <w:tcBorders>
              <w:top w:val="nil"/>
              <w:left w:val="nil"/>
              <w:bottom w:val="nil"/>
              <w:right w:val="nil"/>
            </w:tcBorders>
            <w:shd w:val="clear" w:color="auto" w:fill="FFFFFF"/>
          </w:tcPr>
          <w:p w14:paraId="2FAF8A72" w14:textId="7C513066" w:rsidR="00090724" w:rsidRPr="002D5C41" w:rsidRDefault="00090724" w:rsidP="00090724">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1540</w:t>
            </w:r>
          </w:p>
        </w:tc>
        <w:tc>
          <w:tcPr>
            <w:tcW w:w="1030" w:type="dxa"/>
            <w:tcBorders>
              <w:top w:val="nil"/>
              <w:left w:val="nil"/>
              <w:bottom w:val="nil"/>
              <w:right w:val="nil"/>
            </w:tcBorders>
            <w:shd w:val="clear" w:color="auto" w:fill="FFFFFF"/>
          </w:tcPr>
          <w:p w14:paraId="7C5F027D" w14:textId="545CFB84" w:rsidR="00090724" w:rsidRPr="002D5C41" w:rsidRDefault="00090724" w:rsidP="00090724">
            <w:pPr>
              <w:autoSpaceDE w:val="0"/>
              <w:autoSpaceDN w:val="0"/>
              <w:adjustRightInd w:val="0"/>
              <w:spacing w:after="0" w:line="320" w:lineRule="atLeast"/>
              <w:ind w:left="60" w:right="60"/>
              <w:jc w:val="right"/>
              <w:rPr>
                <w:rFonts w:asciiTheme="majorBidi" w:hAnsiTheme="majorBidi" w:cstheme="majorBidi"/>
                <w:color w:val="000000"/>
                <w:sz w:val="22"/>
              </w:rPr>
            </w:pPr>
            <w:r>
              <w:rPr>
                <w:rFonts w:asciiTheme="majorBidi" w:hAnsiTheme="majorBidi" w:cstheme="majorBidi"/>
                <w:color w:val="000000"/>
                <w:sz w:val="22"/>
              </w:rPr>
              <w:t>0</w:t>
            </w:r>
          </w:p>
        </w:tc>
        <w:tc>
          <w:tcPr>
            <w:tcW w:w="1046" w:type="dxa"/>
            <w:tcBorders>
              <w:top w:val="nil"/>
              <w:left w:val="nil"/>
              <w:bottom w:val="nil"/>
              <w:right w:val="nil"/>
            </w:tcBorders>
            <w:shd w:val="clear" w:color="auto" w:fill="FFFFFF"/>
          </w:tcPr>
          <w:p w14:paraId="63EF75C3" w14:textId="73883079" w:rsidR="00090724" w:rsidRPr="002D5C41" w:rsidRDefault="00090724" w:rsidP="00090724">
            <w:pPr>
              <w:autoSpaceDE w:val="0"/>
              <w:autoSpaceDN w:val="0"/>
              <w:adjustRightInd w:val="0"/>
              <w:spacing w:after="0" w:line="320" w:lineRule="atLeast"/>
              <w:ind w:left="60" w:right="60"/>
              <w:jc w:val="right"/>
              <w:rPr>
                <w:rFonts w:asciiTheme="majorBidi" w:hAnsiTheme="majorBidi" w:cstheme="majorBidi"/>
                <w:color w:val="000000"/>
                <w:sz w:val="22"/>
              </w:rPr>
            </w:pPr>
            <w:r>
              <w:rPr>
                <w:rFonts w:asciiTheme="majorBidi" w:hAnsiTheme="majorBidi" w:cstheme="majorBidi"/>
                <w:color w:val="000000"/>
                <w:sz w:val="22"/>
              </w:rPr>
              <w:t>1</w:t>
            </w:r>
          </w:p>
        </w:tc>
        <w:tc>
          <w:tcPr>
            <w:tcW w:w="1042" w:type="dxa"/>
            <w:tcBorders>
              <w:top w:val="nil"/>
              <w:left w:val="nil"/>
              <w:bottom w:val="nil"/>
              <w:right w:val="nil"/>
            </w:tcBorders>
            <w:shd w:val="clear" w:color="auto" w:fill="FFFFFF"/>
          </w:tcPr>
          <w:p w14:paraId="74859985" w14:textId="0A86DFEC" w:rsidR="00090724" w:rsidRPr="002D5C41" w:rsidRDefault="00090724" w:rsidP="00090724">
            <w:pPr>
              <w:autoSpaceDE w:val="0"/>
              <w:autoSpaceDN w:val="0"/>
              <w:adjustRightInd w:val="0"/>
              <w:spacing w:after="0" w:line="320" w:lineRule="atLeast"/>
              <w:ind w:left="60" w:right="60"/>
              <w:jc w:val="right"/>
              <w:rPr>
                <w:rFonts w:asciiTheme="majorBidi" w:hAnsiTheme="majorBidi" w:cstheme="majorBidi"/>
                <w:color w:val="000000"/>
                <w:sz w:val="22"/>
              </w:rPr>
            </w:pPr>
          </w:p>
        </w:tc>
        <w:tc>
          <w:tcPr>
            <w:tcW w:w="1134" w:type="dxa"/>
            <w:tcBorders>
              <w:top w:val="nil"/>
              <w:left w:val="nil"/>
              <w:bottom w:val="nil"/>
              <w:right w:val="nil"/>
            </w:tcBorders>
            <w:shd w:val="clear" w:color="auto" w:fill="FFFFFF"/>
          </w:tcPr>
          <w:p w14:paraId="445F81CC" w14:textId="37712435" w:rsidR="00090724" w:rsidRPr="002D5C41" w:rsidRDefault="00090724" w:rsidP="00090724">
            <w:pPr>
              <w:autoSpaceDE w:val="0"/>
              <w:autoSpaceDN w:val="0"/>
              <w:adjustRightInd w:val="0"/>
              <w:spacing w:after="0" w:line="320" w:lineRule="atLeast"/>
              <w:ind w:left="60" w:right="60"/>
              <w:jc w:val="right"/>
              <w:rPr>
                <w:rFonts w:asciiTheme="majorBidi" w:hAnsiTheme="majorBidi" w:cstheme="majorBidi"/>
                <w:color w:val="000000"/>
                <w:sz w:val="22"/>
              </w:rPr>
            </w:pPr>
          </w:p>
        </w:tc>
      </w:tr>
      <w:tr w:rsidR="00962848" w:rsidRPr="002D5C41" w14:paraId="454065FC" w14:textId="77777777" w:rsidTr="00876F70">
        <w:trPr>
          <w:cantSplit/>
          <w:jc w:val="center"/>
        </w:trPr>
        <w:tc>
          <w:tcPr>
            <w:tcW w:w="3686" w:type="dxa"/>
            <w:tcBorders>
              <w:top w:val="nil"/>
              <w:left w:val="nil"/>
              <w:bottom w:val="nil"/>
              <w:right w:val="nil"/>
            </w:tcBorders>
            <w:shd w:val="clear" w:color="auto" w:fill="E7E6E6" w:themeFill="background2"/>
          </w:tcPr>
          <w:p w14:paraId="03050587" w14:textId="70105A83" w:rsidR="00962848" w:rsidRPr="002D5C41" w:rsidRDefault="00F155FE" w:rsidP="00962182">
            <w:pPr>
              <w:autoSpaceDE w:val="0"/>
              <w:autoSpaceDN w:val="0"/>
              <w:adjustRightInd w:val="0"/>
              <w:spacing w:after="0" w:line="320" w:lineRule="atLeast"/>
              <w:ind w:left="60" w:right="60"/>
              <w:rPr>
                <w:rFonts w:asciiTheme="majorBidi" w:hAnsiTheme="majorBidi" w:cstheme="majorBidi"/>
                <w:color w:val="000000"/>
                <w:sz w:val="22"/>
              </w:rPr>
            </w:pPr>
            <w:r>
              <w:rPr>
                <w:rFonts w:cs="Times New Roman"/>
              </w:rPr>
              <w:t>P</w:t>
            </w:r>
            <w:r w:rsidR="00962848" w:rsidRPr="00990766">
              <w:rPr>
                <w:rFonts w:cs="Times New Roman"/>
              </w:rPr>
              <w:t>ercentagem de abstenção</w:t>
            </w:r>
            <w:r w:rsidR="00962848" w:rsidRPr="002D5C41">
              <w:rPr>
                <w:rFonts w:asciiTheme="majorBidi" w:hAnsiTheme="majorBidi" w:cstheme="majorBidi"/>
                <w:color w:val="000000"/>
                <w:sz w:val="22"/>
              </w:rPr>
              <w:t xml:space="preserve"> (%)</w:t>
            </w:r>
          </w:p>
        </w:tc>
        <w:tc>
          <w:tcPr>
            <w:tcW w:w="709" w:type="dxa"/>
            <w:tcBorders>
              <w:top w:val="nil"/>
              <w:left w:val="nil"/>
              <w:bottom w:val="nil"/>
              <w:right w:val="nil"/>
            </w:tcBorders>
            <w:shd w:val="clear" w:color="auto" w:fill="E7E6E6" w:themeFill="background2"/>
          </w:tcPr>
          <w:p w14:paraId="72B1C30A"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1540</w:t>
            </w:r>
          </w:p>
        </w:tc>
        <w:tc>
          <w:tcPr>
            <w:tcW w:w="1030" w:type="dxa"/>
            <w:tcBorders>
              <w:top w:val="nil"/>
              <w:left w:val="nil"/>
              <w:bottom w:val="nil"/>
              <w:right w:val="nil"/>
            </w:tcBorders>
            <w:shd w:val="clear" w:color="auto" w:fill="E7E6E6" w:themeFill="background2"/>
          </w:tcPr>
          <w:p w14:paraId="28943CEA"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18,0</w:t>
            </w:r>
          </w:p>
        </w:tc>
        <w:tc>
          <w:tcPr>
            <w:tcW w:w="1046" w:type="dxa"/>
            <w:tcBorders>
              <w:top w:val="nil"/>
              <w:left w:val="nil"/>
              <w:bottom w:val="nil"/>
              <w:right w:val="nil"/>
            </w:tcBorders>
            <w:shd w:val="clear" w:color="auto" w:fill="E7E6E6" w:themeFill="background2"/>
          </w:tcPr>
          <w:p w14:paraId="59F1A52A"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62,2</w:t>
            </w:r>
          </w:p>
        </w:tc>
        <w:tc>
          <w:tcPr>
            <w:tcW w:w="1042" w:type="dxa"/>
            <w:tcBorders>
              <w:top w:val="nil"/>
              <w:left w:val="nil"/>
              <w:bottom w:val="nil"/>
              <w:right w:val="nil"/>
            </w:tcBorders>
            <w:shd w:val="clear" w:color="auto" w:fill="E7E6E6" w:themeFill="background2"/>
          </w:tcPr>
          <w:p w14:paraId="265A1307"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40,546</w:t>
            </w:r>
          </w:p>
        </w:tc>
        <w:tc>
          <w:tcPr>
            <w:tcW w:w="1134" w:type="dxa"/>
            <w:tcBorders>
              <w:top w:val="nil"/>
              <w:left w:val="nil"/>
              <w:bottom w:val="nil"/>
              <w:right w:val="nil"/>
            </w:tcBorders>
            <w:shd w:val="clear" w:color="auto" w:fill="E7E6E6" w:themeFill="background2"/>
          </w:tcPr>
          <w:p w14:paraId="6898B40E"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9,0629</w:t>
            </w:r>
          </w:p>
        </w:tc>
      </w:tr>
      <w:tr w:rsidR="00962848" w:rsidRPr="002D5C41" w14:paraId="3DD93764" w14:textId="77777777" w:rsidTr="003F251C">
        <w:trPr>
          <w:cantSplit/>
          <w:jc w:val="center"/>
        </w:trPr>
        <w:tc>
          <w:tcPr>
            <w:tcW w:w="3686" w:type="dxa"/>
            <w:tcBorders>
              <w:top w:val="nil"/>
              <w:left w:val="nil"/>
              <w:bottom w:val="double" w:sz="4" w:space="0" w:color="auto"/>
              <w:right w:val="nil"/>
            </w:tcBorders>
            <w:shd w:val="clear" w:color="auto" w:fill="FFFFFF"/>
          </w:tcPr>
          <w:p w14:paraId="529559C6" w14:textId="5CC91334" w:rsidR="00962848" w:rsidRPr="002D5C41" w:rsidRDefault="00962848" w:rsidP="00962182">
            <w:pPr>
              <w:autoSpaceDE w:val="0"/>
              <w:autoSpaceDN w:val="0"/>
              <w:adjustRightInd w:val="0"/>
              <w:spacing w:after="0" w:line="320" w:lineRule="atLeast"/>
              <w:ind w:left="60" w:right="60"/>
              <w:rPr>
                <w:rFonts w:asciiTheme="majorBidi" w:hAnsiTheme="majorBidi" w:cstheme="majorBidi"/>
                <w:b/>
                <w:bCs/>
                <w:color w:val="000000"/>
                <w:sz w:val="22"/>
              </w:rPr>
            </w:pPr>
            <w:proofErr w:type="spellStart"/>
            <w:r w:rsidRPr="002D5C41">
              <w:rPr>
                <w:rFonts w:asciiTheme="majorBidi" w:hAnsiTheme="majorBidi" w:cstheme="majorBidi"/>
                <w:b/>
                <w:bCs/>
                <w:color w:val="000000"/>
                <w:sz w:val="22"/>
              </w:rPr>
              <w:t>CPA</w:t>
            </w:r>
            <w:r w:rsidR="00081CB0">
              <w:rPr>
                <w:rFonts w:asciiTheme="majorBidi" w:hAnsiTheme="majorBidi" w:cstheme="majorBidi"/>
                <w:color w:val="000000"/>
                <w:sz w:val="22"/>
                <w:vertAlign w:val="superscript"/>
              </w:rPr>
              <w:t>b</w:t>
            </w:r>
            <w:proofErr w:type="spellEnd"/>
          </w:p>
        </w:tc>
        <w:tc>
          <w:tcPr>
            <w:tcW w:w="709" w:type="dxa"/>
            <w:tcBorders>
              <w:top w:val="nil"/>
              <w:left w:val="nil"/>
              <w:bottom w:val="double" w:sz="4" w:space="0" w:color="auto"/>
              <w:right w:val="nil"/>
            </w:tcBorders>
            <w:shd w:val="clear" w:color="auto" w:fill="FFFFFF"/>
          </w:tcPr>
          <w:p w14:paraId="46A1E9FB"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1540</w:t>
            </w:r>
          </w:p>
        </w:tc>
        <w:tc>
          <w:tcPr>
            <w:tcW w:w="1030" w:type="dxa"/>
            <w:tcBorders>
              <w:top w:val="nil"/>
              <w:left w:val="nil"/>
              <w:bottom w:val="double" w:sz="4" w:space="0" w:color="auto"/>
              <w:right w:val="nil"/>
            </w:tcBorders>
            <w:shd w:val="clear" w:color="auto" w:fill="FFFFFF"/>
          </w:tcPr>
          <w:p w14:paraId="4C9A0EFC"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0</w:t>
            </w:r>
          </w:p>
        </w:tc>
        <w:tc>
          <w:tcPr>
            <w:tcW w:w="1046" w:type="dxa"/>
            <w:tcBorders>
              <w:top w:val="nil"/>
              <w:left w:val="nil"/>
              <w:bottom w:val="double" w:sz="4" w:space="0" w:color="auto"/>
              <w:right w:val="nil"/>
            </w:tcBorders>
            <w:shd w:val="clear" w:color="auto" w:fill="FFFFFF"/>
          </w:tcPr>
          <w:p w14:paraId="4D3DBA5B" w14:textId="77777777"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r w:rsidRPr="002D5C41">
              <w:rPr>
                <w:rFonts w:asciiTheme="majorBidi" w:hAnsiTheme="majorBidi" w:cstheme="majorBidi"/>
                <w:color w:val="000000"/>
                <w:sz w:val="22"/>
              </w:rPr>
              <w:t>1</w:t>
            </w:r>
          </w:p>
        </w:tc>
        <w:tc>
          <w:tcPr>
            <w:tcW w:w="1042" w:type="dxa"/>
            <w:tcBorders>
              <w:top w:val="nil"/>
              <w:left w:val="nil"/>
              <w:bottom w:val="double" w:sz="4" w:space="0" w:color="auto"/>
              <w:right w:val="nil"/>
            </w:tcBorders>
            <w:shd w:val="clear" w:color="auto" w:fill="FFFFFF"/>
          </w:tcPr>
          <w:p w14:paraId="5423029C" w14:textId="03FD9B72"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p>
        </w:tc>
        <w:tc>
          <w:tcPr>
            <w:tcW w:w="1134" w:type="dxa"/>
            <w:tcBorders>
              <w:top w:val="nil"/>
              <w:left w:val="nil"/>
              <w:bottom w:val="double" w:sz="4" w:space="0" w:color="auto"/>
              <w:right w:val="nil"/>
            </w:tcBorders>
            <w:shd w:val="clear" w:color="auto" w:fill="FFFFFF"/>
          </w:tcPr>
          <w:p w14:paraId="5E27F46F" w14:textId="3E6D590A" w:rsidR="00962848" w:rsidRPr="002D5C41" w:rsidRDefault="00962848" w:rsidP="00962182">
            <w:pPr>
              <w:autoSpaceDE w:val="0"/>
              <w:autoSpaceDN w:val="0"/>
              <w:adjustRightInd w:val="0"/>
              <w:spacing w:after="0" w:line="320" w:lineRule="atLeast"/>
              <w:ind w:left="60" w:right="60"/>
              <w:jc w:val="right"/>
              <w:rPr>
                <w:rFonts w:asciiTheme="majorBidi" w:hAnsiTheme="majorBidi" w:cstheme="majorBidi"/>
                <w:color w:val="000000"/>
                <w:sz w:val="22"/>
              </w:rPr>
            </w:pPr>
          </w:p>
        </w:tc>
      </w:tr>
    </w:tbl>
    <w:p w14:paraId="2BE2A6C4" w14:textId="65422B17" w:rsidR="00962848" w:rsidRPr="007219C6" w:rsidRDefault="00081CB0" w:rsidP="007219C6">
      <w:pPr>
        <w:ind w:left="720"/>
      </w:pPr>
      <w:proofErr w:type="spellStart"/>
      <w:r>
        <w:rPr>
          <w:rFonts w:asciiTheme="majorBidi" w:hAnsiTheme="majorBidi" w:cstheme="majorBidi"/>
          <w:color w:val="000000"/>
          <w:sz w:val="22"/>
          <w:vertAlign w:val="superscript"/>
        </w:rPr>
        <w:t>b</w:t>
      </w:r>
      <w:r w:rsidR="007219C6">
        <w:rPr>
          <w:rFonts w:asciiTheme="majorBidi" w:hAnsiTheme="majorBidi" w:cstheme="majorBidi"/>
          <w:color w:val="000000"/>
          <w:sz w:val="22"/>
        </w:rPr>
        <w:t>variável</w:t>
      </w:r>
      <w:proofErr w:type="spellEnd"/>
      <w:r w:rsidR="007219C6">
        <w:rPr>
          <w:rFonts w:asciiTheme="majorBidi" w:hAnsiTheme="majorBidi" w:cstheme="majorBidi"/>
          <w:color w:val="000000"/>
          <w:sz w:val="22"/>
        </w:rPr>
        <w:t xml:space="preserve"> binária</w:t>
      </w:r>
    </w:p>
    <w:p w14:paraId="3ABA0320" w14:textId="77777777" w:rsidR="000E2F08" w:rsidRDefault="000E2F08">
      <w:pPr>
        <w:rPr>
          <w:rFonts w:eastAsiaTheme="majorEastAsia" w:cstheme="majorBidi"/>
          <w:b/>
          <w:bCs/>
          <w:spacing w:val="20"/>
          <w:sz w:val="26"/>
          <w:szCs w:val="26"/>
        </w:rPr>
      </w:pPr>
      <w:r>
        <w:br w:type="page"/>
      </w:r>
    </w:p>
    <w:p w14:paraId="5E9316E6" w14:textId="5A125CF2" w:rsidR="0043317C" w:rsidRDefault="0043317C" w:rsidP="0043317C">
      <w:pPr>
        <w:pStyle w:val="Ttulo2"/>
      </w:pPr>
      <w:bookmarkStart w:id="143" w:name="_Toc66624221"/>
      <w:r w:rsidRPr="0087119D">
        <w:lastRenderedPageBreak/>
        <w:t xml:space="preserve">Apêndice </w:t>
      </w:r>
      <w:r>
        <w:t>2</w:t>
      </w:r>
      <w:r w:rsidRPr="0087119D">
        <w:t xml:space="preserve"> – </w:t>
      </w:r>
      <w:r w:rsidRPr="007F6D51">
        <w:rPr>
          <w:rFonts w:asciiTheme="majorBidi" w:hAnsiTheme="majorBidi"/>
          <w:b w:val="0"/>
          <w:bCs w:val="0"/>
          <w:color w:val="000000"/>
          <w:sz w:val="24"/>
          <w:szCs w:val="24"/>
        </w:rPr>
        <w:t>Histogramas do Índice de transparência municipal por grupos</w:t>
      </w:r>
      <w:bookmarkEnd w:id="143"/>
    </w:p>
    <w:p w14:paraId="4BE26712" w14:textId="77777777" w:rsidR="0043317C" w:rsidRDefault="0043317C" w:rsidP="0043317C">
      <w:pPr>
        <w:jc w:val="center"/>
        <w:rPr>
          <w:rFonts w:cs="Times New Roman"/>
          <w:szCs w:val="24"/>
        </w:rPr>
      </w:pPr>
      <w:r>
        <w:rPr>
          <w:rFonts w:cs="Times New Roman"/>
          <w:noProof/>
          <w:szCs w:val="24"/>
        </w:rPr>
        <w:drawing>
          <wp:inline distT="0" distB="0" distL="0" distR="0" wp14:anchorId="082F7814" wp14:editId="201E5D1A">
            <wp:extent cx="2817495" cy="1647825"/>
            <wp:effectExtent l="0" t="0" r="1905" b="9525"/>
            <wp:docPr id="32" name="Imagem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17495" cy="1647825"/>
                    </a:xfrm>
                    <a:prstGeom prst="rect">
                      <a:avLst/>
                    </a:prstGeom>
                    <a:noFill/>
                    <a:ln>
                      <a:noFill/>
                    </a:ln>
                  </pic:spPr>
                </pic:pic>
              </a:graphicData>
            </a:graphic>
          </wp:inline>
        </w:drawing>
      </w:r>
      <w:r>
        <w:rPr>
          <w:rFonts w:cs="Times New Roman"/>
          <w:noProof/>
          <w:szCs w:val="24"/>
        </w:rPr>
        <w:drawing>
          <wp:inline distT="0" distB="0" distL="0" distR="0" wp14:anchorId="47E66D03" wp14:editId="6DF0D943">
            <wp:extent cx="2849245" cy="1680210"/>
            <wp:effectExtent l="0" t="0" r="8255" b="0"/>
            <wp:docPr id="35" name="Imagem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49245" cy="1680210"/>
                    </a:xfrm>
                    <a:prstGeom prst="rect">
                      <a:avLst/>
                    </a:prstGeom>
                    <a:noFill/>
                    <a:ln>
                      <a:noFill/>
                    </a:ln>
                  </pic:spPr>
                </pic:pic>
              </a:graphicData>
            </a:graphic>
          </wp:inline>
        </w:drawing>
      </w:r>
    </w:p>
    <w:p w14:paraId="4798FE7F" w14:textId="77777777" w:rsidR="0043317C" w:rsidRPr="00607C9B" w:rsidRDefault="0043317C" w:rsidP="0043317C">
      <w:pPr>
        <w:spacing w:line="240" w:lineRule="auto"/>
        <w:jc w:val="center"/>
        <w:rPr>
          <w:rFonts w:cs="Times New Roman"/>
          <w:sz w:val="16"/>
          <w:szCs w:val="16"/>
        </w:rPr>
      </w:pPr>
    </w:p>
    <w:p w14:paraId="536829A0" w14:textId="77777777" w:rsidR="0043317C" w:rsidRDefault="0043317C" w:rsidP="0043317C">
      <w:pPr>
        <w:jc w:val="center"/>
        <w:rPr>
          <w:rFonts w:cs="Times New Roman"/>
          <w:szCs w:val="24"/>
        </w:rPr>
      </w:pPr>
      <w:r>
        <w:rPr>
          <w:rFonts w:cs="Times New Roman"/>
          <w:noProof/>
          <w:szCs w:val="24"/>
        </w:rPr>
        <w:drawing>
          <wp:inline distT="0" distB="0" distL="0" distR="0" wp14:anchorId="4BCBE2FD" wp14:editId="67CFE34B">
            <wp:extent cx="2814955" cy="1654175"/>
            <wp:effectExtent l="0" t="0" r="4445" b="3175"/>
            <wp:docPr id="36" name="Imagem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814955" cy="1654175"/>
                    </a:xfrm>
                    <a:prstGeom prst="rect">
                      <a:avLst/>
                    </a:prstGeom>
                    <a:noFill/>
                    <a:ln>
                      <a:noFill/>
                    </a:ln>
                  </pic:spPr>
                </pic:pic>
              </a:graphicData>
            </a:graphic>
          </wp:inline>
        </w:drawing>
      </w:r>
      <w:r>
        <w:rPr>
          <w:rFonts w:cs="Times New Roman"/>
          <w:noProof/>
          <w:szCs w:val="24"/>
        </w:rPr>
        <w:drawing>
          <wp:inline distT="0" distB="0" distL="0" distR="0" wp14:anchorId="2D4F96DA" wp14:editId="615B0488">
            <wp:extent cx="2806700" cy="1654175"/>
            <wp:effectExtent l="0" t="0" r="0" b="3175"/>
            <wp:docPr id="37" name="Imagem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806700" cy="1654175"/>
                    </a:xfrm>
                    <a:prstGeom prst="rect">
                      <a:avLst/>
                    </a:prstGeom>
                    <a:noFill/>
                    <a:ln>
                      <a:noFill/>
                    </a:ln>
                  </pic:spPr>
                </pic:pic>
              </a:graphicData>
            </a:graphic>
          </wp:inline>
        </w:drawing>
      </w:r>
    </w:p>
    <w:p w14:paraId="5E11B0A5" w14:textId="77777777" w:rsidR="0043317C" w:rsidRPr="00607C9B" w:rsidRDefault="0043317C" w:rsidP="0043317C">
      <w:pPr>
        <w:spacing w:line="240" w:lineRule="auto"/>
        <w:jc w:val="center"/>
        <w:rPr>
          <w:rFonts w:cs="Times New Roman"/>
          <w:sz w:val="16"/>
          <w:szCs w:val="16"/>
        </w:rPr>
      </w:pPr>
    </w:p>
    <w:p w14:paraId="67B29BC1" w14:textId="77777777" w:rsidR="0043317C" w:rsidRDefault="0043317C" w:rsidP="0043317C">
      <w:pPr>
        <w:jc w:val="center"/>
        <w:rPr>
          <w:rFonts w:cs="Times New Roman"/>
          <w:szCs w:val="24"/>
        </w:rPr>
      </w:pPr>
      <w:r>
        <w:rPr>
          <w:rFonts w:cs="Times New Roman"/>
          <w:noProof/>
          <w:szCs w:val="24"/>
        </w:rPr>
        <w:drawing>
          <wp:inline distT="0" distB="0" distL="0" distR="0" wp14:anchorId="7BC9BF5A" wp14:editId="05BED9C2">
            <wp:extent cx="2814955" cy="1654175"/>
            <wp:effectExtent l="0" t="0" r="4445" b="3175"/>
            <wp:docPr id="38" name="Imagem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814955" cy="1654175"/>
                    </a:xfrm>
                    <a:prstGeom prst="rect">
                      <a:avLst/>
                    </a:prstGeom>
                    <a:noFill/>
                    <a:ln>
                      <a:noFill/>
                    </a:ln>
                  </pic:spPr>
                </pic:pic>
              </a:graphicData>
            </a:graphic>
          </wp:inline>
        </w:drawing>
      </w:r>
      <w:r>
        <w:rPr>
          <w:rFonts w:cs="Times New Roman"/>
          <w:noProof/>
          <w:szCs w:val="24"/>
        </w:rPr>
        <w:drawing>
          <wp:inline distT="0" distB="0" distL="0" distR="0" wp14:anchorId="05B496E9" wp14:editId="7C0E1B4B">
            <wp:extent cx="2790825" cy="1637665"/>
            <wp:effectExtent l="0" t="0" r="9525" b="635"/>
            <wp:docPr id="39" name="Imagem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790825" cy="1637665"/>
                    </a:xfrm>
                    <a:prstGeom prst="rect">
                      <a:avLst/>
                    </a:prstGeom>
                    <a:noFill/>
                    <a:ln>
                      <a:noFill/>
                    </a:ln>
                  </pic:spPr>
                </pic:pic>
              </a:graphicData>
            </a:graphic>
          </wp:inline>
        </w:drawing>
      </w:r>
    </w:p>
    <w:p w14:paraId="4A0E37F2" w14:textId="77777777" w:rsidR="0043317C" w:rsidRPr="00607C9B" w:rsidRDefault="0043317C" w:rsidP="0043317C">
      <w:pPr>
        <w:spacing w:line="240" w:lineRule="auto"/>
        <w:jc w:val="center"/>
        <w:rPr>
          <w:rFonts w:cs="Times New Roman"/>
          <w:sz w:val="16"/>
          <w:szCs w:val="16"/>
        </w:rPr>
      </w:pPr>
    </w:p>
    <w:p w14:paraId="1E8509EB" w14:textId="77777777" w:rsidR="0043317C" w:rsidRDefault="0043317C" w:rsidP="0043317C">
      <w:pPr>
        <w:rPr>
          <w:rFonts w:cs="Times New Roman"/>
          <w:szCs w:val="24"/>
        </w:rPr>
      </w:pPr>
      <w:r>
        <w:rPr>
          <w:rFonts w:cs="Times New Roman"/>
          <w:noProof/>
          <w:szCs w:val="24"/>
        </w:rPr>
        <w:drawing>
          <wp:inline distT="0" distB="0" distL="0" distR="0" wp14:anchorId="443A045B" wp14:editId="00C5F77F">
            <wp:extent cx="2814955" cy="1654175"/>
            <wp:effectExtent l="0" t="0" r="4445" b="3175"/>
            <wp:docPr id="40" name="Imagem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814955" cy="1654175"/>
                    </a:xfrm>
                    <a:prstGeom prst="rect">
                      <a:avLst/>
                    </a:prstGeom>
                    <a:noFill/>
                    <a:ln>
                      <a:noFill/>
                    </a:ln>
                  </pic:spPr>
                </pic:pic>
              </a:graphicData>
            </a:graphic>
          </wp:inline>
        </w:drawing>
      </w:r>
      <w:r>
        <w:rPr>
          <w:rFonts w:cs="Times New Roman"/>
          <w:noProof/>
          <w:szCs w:val="24"/>
        </w:rPr>
        <w:drawing>
          <wp:inline distT="0" distB="0" distL="0" distR="0" wp14:anchorId="45B46DD9" wp14:editId="35E6E5D7">
            <wp:extent cx="2901950" cy="1709420"/>
            <wp:effectExtent l="0" t="0" r="0" b="5080"/>
            <wp:docPr id="41" name="Imagem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901950" cy="1709420"/>
                    </a:xfrm>
                    <a:prstGeom prst="rect">
                      <a:avLst/>
                    </a:prstGeom>
                    <a:noFill/>
                    <a:ln>
                      <a:noFill/>
                    </a:ln>
                  </pic:spPr>
                </pic:pic>
              </a:graphicData>
            </a:graphic>
          </wp:inline>
        </w:drawing>
      </w:r>
    </w:p>
    <w:p w14:paraId="70DA4F64" w14:textId="77777777" w:rsidR="0043317C" w:rsidRDefault="0043317C" w:rsidP="0043317C">
      <w:pPr>
        <w:rPr>
          <w:rFonts w:cs="Times New Roman"/>
          <w:szCs w:val="24"/>
        </w:rPr>
      </w:pPr>
    </w:p>
    <w:p w14:paraId="02249310" w14:textId="77777777" w:rsidR="0043317C" w:rsidRDefault="0043317C" w:rsidP="0043317C">
      <w:pPr>
        <w:jc w:val="center"/>
        <w:rPr>
          <w:rFonts w:cs="Times New Roman"/>
          <w:szCs w:val="24"/>
        </w:rPr>
      </w:pPr>
      <w:r>
        <w:rPr>
          <w:rFonts w:cs="Times New Roman"/>
          <w:noProof/>
          <w:szCs w:val="24"/>
        </w:rPr>
        <w:lastRenderedPageBreak/>
        <w:drawing>
          <wp:inline distT="0" distB="0" distL="0" distR="0" wp14:anchorId="760C3D66" wp14:editId="4E9C5928">
            <wp:extent cx="4405023" cy="2583054"/>
            <wp:effectExtent l="0" t="0" r="0" b="8255"/>
            <wp:docPr id="42" name="Imagem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414464" cy="2588590"/>
                    </a:xfrm>
                    <a:prstGeom prst="rect">
                      <a:avLst/>
                    </a:prstGeom>
                    <a:noFill/>
                    <a:ln>
                      <a:noFill/>
                    </a:ln>
                  </pic:spPr>
                </pic:pic>
              </a:graphicData>
            </a:graphic>
          </wp:inline>
        </w:drawing>
      </w:r>
      <w:r>
        <w:rPr>
          <w:rFonts w:cs="Times New Roman"/>
          <w:noProof/>
          <w:szCs w:val="24"/>
        </w:rPr>
        <w:drawing>
          <wp:inline distT="0" distB="0" distL="0" distR="0" wp14:anchorId="5F152AF9" wp14:editId="4A1E6B52">
            <wp:extent cx="4302843" cy="2528515"/>
            <wp:effectExtent l="0" t="0" r="2540" b="5715"/>
            <wp:docPr id="43" name="Imagem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324565" cy="2541280"/>
                    </a:xfrm>
                    <a:prstGeom prst="rect">
                      <a:avLst/>
                    </a:prstGeom>
                    <a:noFill/>
                    <a:ln>
                      <a:noFill/>
                    </a:ln>
                  </pic:spPr>
                </pic:pic>
              </a:graphicData>
            </a:graphic>
          </wp:inline>
        </w:drawing>
      </w:r>
    </w:p>
    <w:p w14:paraId="502A774C" w14:textId="77777777" w:rsidR="0043317C" w:rsidRDefault="0043317C" w:rsidP="0043317C">
      <w:pPr>
        <w:jc w:val="center"/>
        <w:rPr>
          <w:rFonts w:cs="Times New Roman"/>
          <w:szCs w:val="24"/>
        </w:rPr>
      </w:pPr>
      <w:r>
        <w:rPr>
          <w:rFonts w:cs="Times New Roman"/>
          <w:noProof/>
          <w:szCs w:val="24"/>
        </w:rPr>
        <w:drawing>
          <wp:inline distT="0" distB="0" distL="0" distR="0" wp14:anchorId="0C0812F7" wp14:editId="2CCC4FF8">
            <wp:extent cx="4516341" cy="2668181"/>
            <wp:effectExtent l="0" t="0" r="0" b="0"/>
            <wp:docPr id="44" name="Imagem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529453" cy="2675928"/>
                    </a:xfrm>
                    <a:prstGeom prst="rect">
                      <a:avLst/>
                    </a:prstGeom>
                    <a:noFill/>
                    <a:ln>
                      <a:noFill/>
                    </a:ln>
                  </pic:spPr>
                </pic:pic>
              </a:graphicData>
            </a:graphic>
          </wp:inline>
        </w:drawing>
      </w:r>
    </w:p>
    <w:p w14:paraId="0BAC2CA9" w14:textId="343799A9" w:rsidR="007F35DF" w:rsidRDefault="004C7D55" w:rsidP="00CE346C">
      <w:pPr>
        <w:pStyle w:val="Ttulo2"/>
        <w:spacing w:before="0"/>
        <w:rPr>
          <w:rFonts w:asciiTheme="majorBidi" w:hAnsiTheme="majorBidi"/>
          <w:b w:val="0"/>
          <w:bCs w:val="0"/>
          <w:color w:val="000000"/>
          <w:sz w:val="24"/>
          <w:szCs w:val="24"/>
        </w:rPr>
      </w:pPr>
      <w:bookmarkStart w:id="144" w:name="_Toc66624222"/>
      <w:r w:rsidRPr="0087119D">
        <w:lastRenderedPageBreak/>
        <w:t xml:space="preserve">Apêndice </w:t>
      </w:r>
      <w:r w:rsidR="0043317C">
        <w:t>3</w:t>
      </w:r>
      <w:r w:rsidRPr="0087119D">
        <w:t xml:space="preserve"> – </w:t>
      </w:r>
      <w:r w:rsidR="007F35DF" w:rsidRPr="00D66B05">
        <w:rPr>
          <w:rFonts w:asciiTheme="majorBidi" w:hAnsiTheme="majorBidi"/>
          <w:b w:val="0"/>
          <w:bCs w:val="0"/>
          <w:color w:val="000000"/>
          <w:sz w:val="24"/>
          <w:szCs w:val="24"/>
        </w:rPr>
        <w:t>Testes de Normalidade do Índice de transparência municipal</w:t>
      </w:r>
      <w:bookmarkEnd w:id="144"/>
    </w:p>
    <w:tbl>
      <w:tblPr>
        <w:tblW w:w="691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3825"/>
        <w:gridCol w:w="1030"/>
        <w:gridCol w:w="1030"/>
        <w:gridCol w:w="1009"/>
        <w:gridCol w:w="21"/>
      </w:tblGrid>
      <w:tr w:rsidR="00AA47DC" w14:paraId="20976783" w14:textId="77777777" w:rsidTr="00AA47DC">
        <w:trPr>
          <w:gridAfter w:val="1"/>
          <w:wAfter w:w="21" w:type="dxa"/>
          <w:cantSplit/>
          <w:jc w:val="center"/>
        </w:trPr>
        <w:tc>
          <w:tcPr>
            <w:tcW w:w="6897" w:type="dxa"/>
            <w:gridSpan w:val="4"/>
            <w:tcBorders>
              <w:top w:val="nil"/>
              <w:left w:val="nil"/>
              <w:bottom w:val="nil"/>
              <w:right w:val="nil"/>
            </w:tcBorders>
            <w:shd w:val="clear" w:color="auto" w:fill="FFFFFF"/>
            <w:vAlign w:val="center"/>
          </w:tcPr>
          <w:p w14:paraId="6F27FA6E" w14:textId="77777777" w:rsidR="00AA47DC" w:rsidRPr="0055122A" w:rsidRDefault="00AA47DC">
            <w:pPr>
              <w:autoSpaceDE w:val="0"/>
              <w:autoSpaceDN w:val="0"/>
              <w:adjustRightInd w:val="0"/>
              <w:spacing w:after="0" w:line="320" w:lineRule="atLeast"/>
              <w:ind w:left="60" w:right="60"/>
              <w:jc w:val="center"/>
              <w:rPr>
                <w:rFonts w:asciiTheme="majorBidi" w:hAnsiTheme="majorBidi" w:cstheme="majorBidi"/>
                <w:b/>
                <w:bCs/>
                <w:color w:val="000000"/>
                <w:sz w:val="22"/>
              </w:rPr>
            </w:pPr>
          </w:p>
          <w:p w14:paraId="6BBF2FBD" w14:textId="77777777" w:rsidR="00AA47DC" w:rsidRP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rPr>
            </w:pPr>
            <w:r w:rsidRPr="00AA47DC">
              <w:rPr>
                <w:rFonts w:asciiTheme="majorBidi" w:hAnsiTheme="majorBidi" w:cstheme="majorBidi"/>
                <w:b/>
                <w:bCs/>
                <w:color w:val="000000"/>
                <w:sz w:val="22"/>
              </w:rPr>
              <w:t xml:space="preserve">Testes de Normalidade do </w:t>
            </w:r>
            <w:r w:rsidRPr="00AA47DC">
              <w:rPr>
                <w:rFonts w:asciiTheme="majorBidi" w:hAnsiTheme="majorBidi" w:cstheme="majorBidi"/>
                <w:color w:val="000000"/>
                <w:sz w:val="22"/>
              </w:rPr>
              <w:t>ITM</w:t>
            </w:r>
          </w:p>
        </w:tc>
      </w:tr>
      <w:tr w:rsidR="00AA47DC" w14:paraId="48B32F45" w14:textId="77777777" w:rsidTr="000E28A6">
        <w:trPr>
          <w:cantSplit/>
          <w:jc w:val="center"/>
        </w:trPr>
        <w:tc>
          <w:tcPr>
            <w:tcW w:w="3828" w:type="dxa"/>
            <w:vMerge w:val="restart"/>
            <w:tcBorders>
              <w:top w:val="double" w:sz="4" w:space="0" w:color="auto"/>
              <w:left w:val="nil"/>
              <w:bottom w:val="single" w:sz="12" w:space="0" w:color="auto"/>
              <w:right w:val="nil"/>
            </w:tcBorders>
            <w:shd w:val="clear" w:color="auto" w:fill="E7E6E6" w:themeFill="background2"/>
            <w:vAlign w:val="bottom"/>
          </w:tcPr>
          <w:p w14:paraId="6B6ADE2F" w14:textId="77777777" w:rsidR="00AA47DC" w:rsidRPr="00AA47DC" w:rsidRDefault="00AA47DC">
            <w:pPr>
              <w:autoSpaceDE w:val="0"/>
              <w:autoSpaceDN w:val="0"/>
              <w:adjustRightInd w:val="0"/>
              <w:spacing w:after="0" w:line="320" w:lineRule="atLeast"/>
              <w:ind w:left="60" w:right="60"/>
              <w:rPr>
                <w:rFonts w:asciiTheme="majorBidi" w:hAnsiTheme="majorBidi" w:cstheme="majorBidi"/>
                <w:color w:val="000000"/>
                <w:sz w:val="22"/>
              </w:rPr>
            </w:pPr>
          </w:p>
        </w:tc>
        <w:tc>
          <w:tcPr>
            <w:tcW w:w="3090" w:type="dxa"/>
            <w:gridSpan w:val="4"/>
            <w:tcBorders>
              <w:top w:val="double" w:sz="6" w:space="0" w:color="000000"/>
              <w:left w:val="nil"/>
              <w:bottom w:val="single" w:sz="8" w:space="0" w:color="000000"/>
              <w:right w:val="nil"/>
            </w:tcBorders>
            <w:shd w:val="clear" w:color="auto" w:fill="E7E6E6" w:themeFill="background2"/>
            <w:vAlign w:val="bottom"/>
            <w:hideMark/>
          </w:tcPr>
          <w:p w14:paraId="7DDAA9DB"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r>
              <w:rPr>
                <w:rFonts w:asciiTheme="majorBidi" w:hAnsiTheme="majorBidi" w:cstheme="majorBidi"/>
                <w:color w:val="000000"/>
                <w:sz w:val="22"/>
                <w:lang w:val="en-US"/>
              </w:rPr>
              <w:t>Kolmogorov-Smirnov</w:t>
            </w:r>
            <w:r>
              <w:rPr>
                <w:rFonts w:asciiTheme="majorBidi" w:hAnsiTheme="majorBidi" w:cstheme="majorBidi"/>
                <w:color w:val="000000"/>
                <w:sz w:val="22"/>
                <w:vertAlign w:val="superscript"/>
                <w:lang w:val="en-US"/>
              </w:rPr>
              <w:t>a</w:t>
            </w:r>
          </w:p>
        </w:tc>
      </w:tr>
      <w:tr w:rsidR="00AA47DC" w14:paraId="41B59042" w14:textId="77777777" w:rsidTr="000E28A6">
        <w:trPr>
          <w:cantSplit/>
          <w:jc w:val="center"/>
        </w:trPr>
        <w:tc>
          <w:tcPr>
            <w:tcW w:w="6897" w:type="dxa"/>
            <w:vMerge/>
            <w:tcBorders>
              <w:top w:val="double" w:sz="4" w:space="0" w:color="auto"/>
              <w:left w:val="nil"/>
              <w:bottom w:val="nil"/>
              <w:right w:val="nil"/>
            </w:tcBorders>
            <w:shd w:val="clear" w:color="auto" w:fill="E7E6E6" w:themeFill="background2"/>
            <w:vAlign w:val="center"/>
            <w:hideMark/>
          </w:tcPr>
          <w:p w14:paraId="1D293586" w14:textId="77777777" w:rsidR="00AA47DC" w:rsidRDefault="00AA47DC">
            <w:pPr>
              <w:spacing w:after="0"/>
              <w:rPr>
                <w:rFonts w:asciiTheme="majorBidi" w:hAnsiTheme="majorBidi" w:cstheme="majorBidi"/>
                <w:color w:val="000000"/>
                <w:sz w:val="22"/>
                <w:lang w:val="en-US"/>
              </w:rPr>
            </w:pPr>
          </w:p>
        </w:tc>
        <w:tc>
          <w:tcPr>
            <w:tcW w:w="1030" w:type="dxa"/>
            <w:tcBorders>
              <w:top w:val="single" w:sz="8" w:space="0" w:color="000000"/>
              <w:left w:val="nil"/>
              <w:bottom w:val="single" w:sz="2" w:space="0" w:color="000000"/>
              <w:right w:val="nil"/>
            </w:tcBorders>
            <w:shd w:val="clear" w:color="auto" w:fill="E7E6E6" w:themeFill="background2"/>
            <w:vAlign w:val="bottom"/>
            <w:hideMark/>
          </w:tcPr>
          <w:p w14:paraId="50F705C8" w14:textId="77777777" w:rsidR="00AA47DC" w:rsidRDefault="00AA47DC">
            <w:pPr>
              <w:autoSpaceDE w:val="0"/>
              <w:autoSpaceDN w:val="0"/>
              <w:adjustRightInd w:val="0"/>
              <w:spacing w:after="0" w:line="240" w:lineRule="auto"/>
              <w:jc w:val="center"/>
              <w:rPr>
                <w:rFonts w:asciiTheme="majorBidi" w:hAnsiTheme="majorBidi" w:cstheme="majorBidi"/>
                <w:sz w:val="22"/>
                <w:lang w:val="en-US"/>
              </w:rPr>
            </w:pPr>
            <w:proofErr w:type="spellStart"/>
            <w:r>
              <w:rPr>
                <w:rFonts w:asciiTheme="majorBidi" w:hAnsiTheme="majorBidi" w:cstheme="majorBidi"/>
                <w:color w:val="000000"/>
                <w:sz w:val="22"/>
                <w:lang w:val="en-US"/>
              </w:rPr>
              <w:t>Estatística</w:t>
            </w:r>
            <w:proofErr w:type="spellEnd"/>
          </w:p>
        </w:tc>
        <w:tc>
          <w:tcPr>
            <w:tcW w:w="1030" w:type="dxa"/>
            <w:tcBorders>
              <w:top w:val="single" w:sz="8" w:space="0" w:color="000000"/>
              <w:left w:val="nil"/>
              <w:bottom w:val="single" w:sz="2" w:space="0" w:color="000000"/>
              <w:right w:val="nil"/>
            </w:tcBorders>
            <w:shd w:val="clear" w:color="auto" w:fill="E7E6E6" w:themeFill="background2"/>
            <w:vAlign w:val="bottom"/>
            <w:hideMark/>
          </w:tcPr>
          <w:p w14:paraId="2FA5BB06" w14:textId="77777777" w:rsidR="00AA47DC" w:rsidRDefault="00AA47DC">
            <w:pPr>
              <w:autoSpaceDE w:val="0"/>
              <w:autoSpaceDN w:val="0"/>
              <w:adjustRightInd w:val="0"/>
              <w:spacing w:after="0" w:line="240" w:lineRule="auto"/>
              <w:jc w:val="center"/>
              <w:rPr>
                <w:rFonts w:asciiTheme="majorBidi" w:hAnsiTheme="majorBidi" w:cstheme="majorBidi"/>
                <w:sz w:val="22"/>
                <w:lang w:val="en-US"/>
              </w:rPr>
            </w:pPr>
            <w:proofErr w:type="spellStart"/>
            <w:r>
              <w:rPr>
                <w:rFonts w:asciiTheme="majorBidi" w:hAnsiTheme="majorBidi" w:cstheme="majorBidi"/>
                <w:color w:val="000000"/>
                <w:sz w:val="22"/>
                <w:lang w:val="en-US"/>
              </w:rPr>
              <w:t>gl</w:t>
            </w:r>
            <w:proofErr w:type="spellEnd"/>
          </w:p>
        </w:tc>
        <w:tc>
          <w:tcPr>
            <w:tcW w:w="1030" w:type="dxa"/>
            <w:gridSpan w:val="2"/>
            <w:tcBorders>
              <w:top w:val="single" w:sz="8" w:space="0" w:color="000000"/>
              <w:left w:val="nil"/>
              <w:bottom w:val="single" w:sz="2" w:space="0" w:color="000000"/>
              <w:right w:val="nil"/>
            </w:tcBorders>
            <w:shd w:val="clear" w:color="auto" w:fill="E7E6E6" w:themeFill="background2"/>
            <w:vAlign w:val="bottom"/>
            <w:hideMark/>
          </w:tcPr>
          <w:p w14:paraId="0404A834" w14:textId="77777777" w:rsidR="00AA47DC" w:rsidRDefault="00AA47DC">
            <w:pPr>
              <w:autoSpaceDE w:val="0"/>
              <w:autoSpaceDN w:val="0"/>
              <w:adjustRightInd w:val="0"/>
              <w:spacing w:after="0" w:line="240" w:lineRule="auto"/>
              <w:jc w:val="center"/>
              <w:rPr>
                <w:rFonts w:asciiTheme="majorBidi" w:hAnsiTheme="majorBidi" w:cstheme="majorBidi"/>
                <w:sz w:val="22"/>
                <w:lang w:val="en-US"/>
              </w:rPr>
            </w:pPr>
            <w:r>
              <w:rPr>
                <w:rFonts w:asciiTheme="majorBidi" w:hAnsiTheme="majorBidi" w:cstheme="majorBidi"/>
                <w:color w:val="000000"/>
                <w:sz w:val="22"/>
                <w:lang w:val="en-US"/>
              </w:rPr>
              <w:t>Sig.</w:t>
            </w:r>
          </w:p>
        </w:tc>
      </w:tr>
      <w:tr w:rsidR="00AA47DC" w14:paraId="75FB4B91" w14:textId="77777777" w:rsidTr="001732F0">
        <w:trPr>
          <w:cantSplit/>
          <w:jc w:val="center"/>
        </w:trPr>
        <w:tc>
          <w:tcPr>
            <w:tcW w:w="3828" w:type="dxa"/>
            <w:tcBorders>
              <w:top w:val="nil"/>
              <w:left w:val="nil"/>
              <w:bottom w:val="double" w:sz="4" w:space="0" w:color="auto"/>
              <w:right w:val="nil"/>
            </w:tcBorders>
            <w:shd w:val="clear" w:color="auto" w:fill="FFFFFF"/>
            <w:hideMark/>
          </w:tcPr>
          <w:p w14:paraId="6D6C04BF" w14:textId="1A1CD9B8" w:rsidR="00AA47DC" w:rsidRDefault="00CD2CA0">
            <w:pPr>
              <w:autoSpaceDE w:val="0"/>
              <w:autoSpaceDN w:val="0"/>
              <w:adjustRightInd w:val="0"/>
              <w:spacing w:after="0" w:line="320" w:lineRule="atLeast"/>
              <w:ind w:left="60" w:right="60"/>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Indice</w:t>
            </w:r>
            <w:proofErr w:type="spellEnd"/>
            <w:r>
              <w:rPr>
                <w:rFonts w:asciiTheme="majorBidi" w:hAnsiTheme="majorBidi" w:cstheme="majorBidi"/>
                <w:color w:val="000000"/>
                <w:sz w:val="22"/>
                <w:lang w:val="en-US"/>
              </w:rPr>
              <w:t xml:space="preserve"> </w:t>
            </w:r>
            <w:r w:rsidR="00AA47DC">
              <w:rPr>
                <w:rFonts w:asciiTheme="majorBidi" w:hAnsiTheme="majorBidi" w:cstheme="majorBidi"/>
                <w:color w:val="000000"/>
                <w:sz w:val="22"/>
                <w:lang w:val="en-US"/>
              </w:rPr>
              <w:t xml:space="preserve">de </w:t>
            </w:r>
            <w:proofErr w:type="spellStart"/>
            <w:r w:rsidR="00AA47DC">
              <w:rPr>
                <w:rFonts w:asciiTheme="majorBidi" w:hAnsiTheme="majorBidi" w:cstheme="majorBidi"/>
                <w:color w:val="000000"/>
                <w:sz w:val="22"/>
                <w:lang w:val="en-US"/>
              </w:rPr>
              <w:t>transparência</w:t>
            </w:r>
            <w:proofErr w:type="spellEnd"/>
            <w:r w:rsidR="00AA47DC">
              <w:rPr>
                <w:rFonts w:asciiTheme="majorBidi" w:hAnsiTheme="majorBidi" w:cstheme="majorBidi"/>
                <w:color w:val="000000"/>
                <w:sz w:val="22"/>
                <w:lang w:val="en-US"/>
              </w:rPr>
              <w:t xml:space="preserve"> municipal</w:t>
            </w:r>
          </w:p>
        </w:tc>
        <w:tc>
          <w:tcPr>
            <w:tcW w:w="1030" w:type="dxa"/>
            <w:tcBorders>
              <w:top w:val="single" w:sz="2" w:space="0" w:color="000000"/>
              <w:left w:val="nil"/>
              <w:bottom w:val="double" w:sz="4" w:space="0" w:color="auto"/>
              <w:right w:val="nil"/>
            </w:tcBorders>
            <w:shd w:val="clear" w:color="auto" w:fill="FFFFFF"/>
            <w:hideMark/>
          </w:tcPr>
          <w:p w14:paraId="63FF0C3F"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lang w:val="en-US"/>
              </w:rPr>
              <w:t>0,096</w:t>
            </w:r>
          </w:p>
        </w:tc>
        <w:tc>
          <w:tcPr>
            <w:tcW w:w="1030" w:type="dxa"/>
            <w:tcBorders>
              <w:top w:val="single" w:sz="2" w:space="0" w:color="000000"/>
              <w:left w:val="nil"/>
              <w:bottom w:val="double" w:sz="4" w:space="0" w:color="auto"/>
              <w:right w:val="nil"/>
            </w:tcBorders>
            <w:shd w:val="clear" w:color="auto" w:fill="FFFFFF"/>
            <w:hideMark/>
          </w:tcPr>
          <w:p w14:paraId="4A85A647"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lang w:val="en-US"/>
              </w:rPr>
              <w:t>1540</w:t>
            </w:r>
          </w:p>
        </w:tc>
        <w:tc>
          <w:tcPr>
            <w:tcW w:w="1030" w:type="dxa"/>
            <w:gridSpan w:val="2"/>
            <w:tcBorders>
              <w:top w:val="single" w:sz="2" w:space="0" w:color="000000"/>
              <w:left w:val="nil"/>
              <w:bottom w:val="single" w:sz="12" w:space="0" w:color="000000"/>
              <w:right w:val="nil"/>
            </w:tcBorders>
            <w:shd w:val="clear" w:color="auto" w:fill="FFFFFF"/>
            <w:hideMark/>
          </w:tcPr>
          <w:p w14:paraId="0448C006"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lang w:val="en-US"/>
              </w:rPr>
              <w:t>0,000</w:t>
            </w:r>
          </w:p>
        </w:tc>
      </w:tr>
      <w:tr w:rsidR="00AA47DC" w14:paraId="3A01367C" w14:textId="77777777" w:rsidTr="001732F0">
        <w:trPr>
          <w:gridAfter w:val="1"/>
          <w:wAfter w:w="21" w:type="dxa"/>
          <w:cantSplit/>
          <w:jc w:val="center"/>
        </w:trPr>
        <w:tc>
          <w:tcPr>
            <w:tcW w:w="6897" w:type="dxa"/>
            <w:gridSpan w:val="4"/>
            <w:tcBorders>
              <w:top w:val="double" w:sz="4" w:space="0" w:color="auto"/>
              <w:left w:val="nil"/>
              <w:bottom w:val="nil"/>
              <w:right w:val="nil"/>
            </w:tcBorders>
            <w:shd w:val="clear" w:color="auto" w:fill="FFFFFF"/>
            <w:hideMark/>
          </w:tcPr>
          <w:p w14:paraId="448EEC04" w14:textId="77777777" w:rsidR="00AA47DC" w:rsidRPr="00AA47DC" w:rsidRDefault="00AA47DC">
            <w:pPr>
              <w:autoSpaceDE w:val="0"/>
              <w:autoSpaceDN w:val="0"/>
              <w:adjustRightInd w:val="0"/>
              <w:spacing w:after="0" w:line="320" w:lineRule="atLeast"/>
              <w:ind w:left="60" w:right="60"/>
              <w:rPr>
                <w:rFonts w:asciiTheme="majorBidi" w:hAnsiTheme="majorBidi" w:cstheme="majorBidi"/>
                <w:color w:val="000000"/>
                <w:sz w:val="22"/>
              </w:rPr>
            </w:pPr>
            <w:r w:rsidRPr="00AA47DC">
              <w:rPr>
                <w:rFonts w:asciiTheme="majorBidi" w:hAnsiTheme="majorBidi" w:cstheme="majorBidi"/>
                <w:color w:val="000000"/>
                <w:sz w:val="18"/>
                <w:szCs w:val="18"/>
              </w:rPr>
              <w:t xml:space="preserve">a. Correlação de Significância de </w:t>
            </w:r>
            <w:proofErr w:type="spellStart"/>
            <w:r w:rsidRPr="00AA47DC">
              <w:rPr>
                <w:rFonts w:asciiTheme="majorBidi" w:hAnsiTheme="majorBidi" w:cstheme="majorBidi"/>
                <w:color w:val="000000"/>
                <w:sz w:val="18"/>
                <w:szCs w:val="18"/>
              </w:rPr>
              <w:t>Lilliefors</w:t>
            </w:r>
            <w:proofErr w:type="spellEnd"/>
          </w:p>
        </w:tc>
      </w:tr>
    </w:tbl>
    <w:p w14:paraId="5B941580" w14:textId="77777777" w:rsidR="00AA47DC" w:rsidRDefault="00AA47DC" w:rsidP="00AA47DC">
      <w:pPr>
        <w:autoSpaceDE w:val="0"/>
        <w:autoSpaceDN w:val="0"/>
        <w:adjustRightInd w:val="0"/>
        <w:spacing w:after="0" w:line="400" w:lineRule="atLeast"/>
        <w:rPr>
          <w:rFonts w:cs="Times New Roman"/>
          <w:szCs w:val="24"/>
        </w:rPr>
      </w:pPr>
    </w:p>
    <w:tbl>
      <w:tblPr>
        <w:tblW w:w="691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3825"/>
        <w:gridCol w:w="1030"/>
        <w:gridCol w:w="1030"/>
        <w:gridCol w:w="1009"/>
        <w:gridCol w:w="21"/>
      </w:tblGrid>
      <w:tr w:rsidR="00AA47DC" w14:paraId="2094D388" w14:textId="77777777" w:rsidTr="00AA47DC">
        <w:trPr>
          <w:gridAfter w:val="1"/>
          <w:wAfter w:w="21" w:type="dxa"/>
          <w:cantSplit/>
          <w:jc w:val="center"/>
        </w:trPr>
        <w:tc>
          <w:tcPr>
            <w:tcW w:w="6897" w:type="dxa"/>
            <w:gridSpan w:val="4"/>
            <w:tcBorders>
              <w:top w:val="nil"/>
              <w:left w:val="nil"/>
              <w:bottom w:val="nil"/>
              <w:right w:val="nil"/>
            </w:tcBorders>
            <w:shd w:val="clear" w:color="auto" w:fill="FFFFFF"/>
            <w:vAlign w:val="center"/>
            <w:hideMark/>
          </w:tcPr>
          <w:p w14:paraId="5B09C343" w14:textId="77777777" w:rsidR="00AA47DC" w:rsidRP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rPr>
            </w:pPr>
            <w:r w:rsidRPr="00AA47DC">
              <w:rPr>
                <w:rFonts w:asciiTheme="majorBidi" w:hAnsiTheme="majorBidi" w:cstheme="majorBidi"/>
                <w:b/>
                <w:bCs/>
                <w:color w:val="000000"/>
                <w:sz w:val="22"/>
              </w:rPr>
              <w:t xml:space="preserve">Testes de Normalidade </w:t>
            </w:r>
            <w:r w:rsidRPr="00AA47DC">
              <w:rPr>
                <w:rFonts w:asciiTheme="majorBidi" w:hAnsiTheme="majorBidi" w:cstheme="majorBidi"/>
                <w:color w:val="000000"/>
                <w:sz w:val="22"/>
              </w:rPr>
              <w:t>ITM por IPP</w:t>
            </w:r>
          </w:p>
        </w:tc>
      </w:tr>
      <w:tr w:rsidR="00AA47DC" w14:paraId="4A1CA566" w14:textId="77777777" w:rsidTr="00AA47DC">
        <w:trPr>
          <w:cantSplit/>
          <w:jc w:val="center"/>
        </w:trPr>
        <w:tc>
          <w:tcPr>
            <w:tcW w:w="3828" w:type="dxa"/>
            <w:vMerge w:val="restart"/>
            <w:tcBorders>
              <w:top w:val="double" w:sz="6" w:space="0" w:color="000000"/>
              <w:left w:val="nil"/>
              <w:bottom w:val="nil"/>
              <w:right w:val="nil"/>
            </w:tcBorders>
            <w:shd w:val="clear" w:color="auto" w:fill="E7E6E6" w:themeFill="background2"/>
            <w:vAlign w:val="bottom"/>
            <w:hideMark/>
          </w:tcPr>
          <w:p w14:paraId="0883DB5B" w14:textId="567FC32E" w:rsidR="00AA47DC" w:rsidRDefault="00AA47DC">
            <w:pPr>
              <w:autoSpaceDE w:val="0"/>
              <w:autoSpaceDN w:val="0"/>
              <w:adjustRightInd w:val="0"/>
              <w:spacing w:after="0" w:line="320" w:lineRule="atLeast"/>
              <w:ind w:left="60" w:right="60"/>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Ideologia</w:t>
            </w:r>
            <w:proofErr w:type="spellEnd"/>
            <w:r>
              <w:rPr>
                <w:rFonts w:asciiTheme="majorBidi" w:hAnsiTheme="majorBidi" w:cstheme="majorBidi"/>
                <w:color w:val="000000"/>
                <w:sz w:val="22"/>
                <w:lang w:val="en-US"/>
              </w:rPr>
              <w:t xml:space="preserve"> </w:t>
            </w:r>
            <w:proofErr w:type="spellStart"/>
            <w:r>
              <w:rPr>
                <w:rFonts w:asciiTheme="majorBidi" w:hAnsiTheme="majorBidi" w:cstheme="majorBidi"/>
                <w:color w:val="000000"/>
                <w:sz w:val="22"/>
                <w:lang w:val="en-US"/>
              </w:rPr>
              <w:t>partido</w:t>
            </w:r>
            <w:proofErr w:type="spellEnd"/>
            <w:r>
              <w:rPr>
                <w:rFonts w:asciiTheme="majorBidi" w:hAnsiTheme="majorBidi" w:cstheme="majorBidi"/>
                <w:color w:val="000000"/>
                <w:sz w:val="22"/>
                <w:lang w:val="en-US"/>
              </w:rPr>
              <w:t xml:space="preserve"> </w:t>
            </w:r>
            <w:proofErr w:type="spellStart"/>
            <w:r>
              <w:rPr>
                <w:rFonts w:asciiTheme="majorBidi" w:hAnsiTheme="majorBidi" w:cstheme="majorBidi"/>
                <w:color w:val="000000"/>
                <w:sz w:val="22"/>
                <w:lang w:val="en-US"/>
              </w:rPr>
              <w:t>político</w:t>
            </w:r>
            <w:proofErr w:type="spellEnd"/>
          </w:p>
        </w:tc>
        <w:tc>
          <w:tcPr>
            <w:tcW w:w="3090" w:type="dxa"/>
            <w:gridSpan w:val="4"/>
            <w:tcBorders>
              <w:top w:val="double" w:sz="6" w:space="0" w:color="000000"/>
              <w:left w:val="nil"/>
              <w:bottom w:val="single" w:sz="8" w:space="0" w:color="000000"/>
              <w:right w:val="nil"/>
            </w:tcBorders>
            <w:shd w:val="clear" w:color="auto" w:fill="E7E6E6" w:themeFill="background2"/>
            <w:vAlign w:val="bottom"/>
            <w:hideMark/>
          </w:tcPr>
          <w:p w14:paraId="4582E875"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r>
              <w:rPr>
                <w:rFonts w:asciiTheme="majorBidi" w:hAnsiTheme="majorBidi" w:cstheme="majorBidi"/>
                <w:color w:val="000000"/>
                <w:sz w:val="22"/>
                <w:lang w:val="en-US"/>
              </w:rPr>
              <w:t>Kolmogorov-Smirnov</w:t>
            </w:r>
            <w:r>
              <w:rPr>
                <w:rFonts w:asciiTheme="majorBidi" w:hAnsiTheme="majorBidi" w:cstheme="majorBidi"/>
                <w:color w:val="000000"/>
                <w:sz w:val="22"/>
                <w:vertAlign w:val="superscript"/>
                <w:lang w:val="en-US"/>
              </w:rPr>
              <w:t>a</w:t>
            </w:r>
          </w:p>
        </w:tc>
      </w:tr>
      <w:tr w:rsidR="00AA47DC" w14:paraId="7C7108A5" w14:textId="77777777" w:rsidTr="00AA47DC">
        <w:trPr>
          <w:cantSplit/>
          <w:jc w:val="center"/>
        </w:trPr>
        <w:tc>
          <w:tcPr>
            <w:tcW w:w="6897" w:type="dxa"/>
            <w:vMerge/>
            <w:tcBorders>
              <w:top w:val="double" w:sz="6" w:space="0" w:color="000000"/>
              <w:left w:val="nil"/>
              <w:bottom w:val="single" w:sz="4" w:space="0" w:color="auto"/>
              <w:right w:val="nil"/>
            </w:tcBorders>
            <w:vAlign w:val="center"/>
            <w:hideMark/>
          </w:tcPr>
          <w:p w14:paraId="48020C2D" w14:textId="77777777" w:rsidR="00AA47DC" w:rsidRDefault="00AA47DC">
            <w:pPr>
              <w:spacing w:after="0"/>
              <w:rPr>
                <w:rFonts w:asciiTheme="majorBidi" w:hAnsiTheme="majorBidi" w:cstheme="majorBidi"/>
                <w:color w:val="000000"/>
                <w:sz w:val="22"/>
                <w:lang w:val="en-US"/>
              </w:rPr>
            </w:pPr>
          </w:p>
        </w:tc>
        <w:tc>
          <w:tcPr>
            <w:tcW w:w="1030" w:type="dxa"/>
            <w:tcBorders>
              <w:top w:val="single" w:sz="8" w:space="0" w:color="000000"/>
              <w:left w:val="nil"/>
              <w:bottom w:val="single" w:sz="4" w:space="0" w:color="auto"/>
              <w:right w:val="nil"/>
            </w:tcBorders>
            <w:shd w:val="clear" w:color="auto" w:fill="E7E6E6" w:themeFill="background2"/>
            <w:vAlign w:val="bottom"/>
            <w:hideMark/>
          </w:tcPr>
          <w:p w14:paraId="1199F730" w14:textId="77777777" w:rsidR="00AA47DC" w:rsidRDefault="00AA47DC">
            <w:pPr>
              <w:autoSpaceDE w:val="0"/>
              <w:autoSpaceDN w:val="0"/>
              <w:adjustRightInd w:val="0"/>
              <w:spacing w:after="0" w:line="240" w:lineRule="auto"/>
              <w:jc w:val="center"/>
              <w:rPr>
                <w:rFonts w:asciiTheme="majorBidi" w:hAnsiTheme="majorBidi" w:cstheme="majorBidi"/>
                <w:sz w:val="22"/>
                <w:lang w:val="en-US"/>
              </w:rPr>
            </w:pPr>
            <w:proofErr w:type="spellStart"/>
            <w:r>
              <w:rPr>
                <w:rFonts w:asciiTheme="majorBidi" w:hAnsiTheme="majorBidi" w:cstheme="majorBidi"/>
                <w:color w:val="000000"/>
                <w:sz w:val="22"/>
                <w:lang w:val="en-US"/>
              </w:rPr>
              <w:t>Estatística</w:t>
            </w:r>
            <w:proofErr w:type="spellEnd"/>
          </w:p>
        </w:tc>
        <w:tc>
          <w:tcPr>
            <w:tcW w:w="1030" w:type="dxa"/>
            <w:tcBorders>
              <w:top w:val="single" w:sz="8" w:space="0" w:color="000000"/>
              <w:left w:val="nil"/>
              <w:bottom w:val="single" w:sz="4" w:space="0" w:color="auto"/>
              <w:right w:val="nil"/>
            </w:tcBorders>
            <w:shd w:val="clear" w:color="auto" w:fill="E7E6E6" w:themeFill="background2"/>
            <w:vAlign w:val="bottom"/>
            <w:hideMark/>
          </w:tcPr>
          <w:p w14:paraId="5AACA1EF" w14:textId="77777777" w:rsidR="00AA47DC" w:rsidRDefault="00AA47DC">
            <w:pPr>
              <w:autoSpaceDE w:val="0"/>
              <w:autoSpaceDN w:val="0"/>
              <w:adjustRightInd w:val="0"/>
              <w:spacing w:after="0" w:line="240" w:lineRule="auto"/>
              <w:jc w:val="center"/>
              <w:rPr>
                <w:rFonts w:asciiTheme="majorBidi" w:hAnsiTheme="majorBidi" w:cstheme="majorBidi"/>
                <w:sz w:val="22"/>
                <w:lang w:val="en-US"/>
              </w:rPr>
            </w:pPr>
            <w:proofErr w:type="spellStart"/>
            <w:r>
              <w:rPr>
                <w:rFonts w:asciiTheme="majorBidi" w:hAnsiTheme="majorBidi" w:cstheme="majorBidi"/>
                <w:color w:val="000000"/>
                <w:sz w:val="22"/>
                <w:lang w:val="en-US"/>
              </w:rPr>
              <w:t>gl</w:t>
            </w:r>
            <w:proofErr w:type="spellEnd"/>
          </w:p>
        </w:tc>
        <w:tc>
          <w:tcPr>
            <w:tcW w:w="1030" w:type="dxa"/>
            <w:gridSpan w:val="2"/>
            <w:tcBorders>
              <w:top w:val="single" w:sz="8" w:space="0" w:color="000000"/>
              <w:left w:val="nil"/>
              <w:bottom w:val="single" w:sz="4" w:space="0" w:color="auto"/>
              <w:right w:val="nil"/>
            </w:tcBorders>
            <w:shd w:val="clear" w:color="auto" w:fill="E7E6E6" w:themeFill="background2"/>
            <w:vAlign w:val="bottom"/>
            <w:hideMark/>
          </w:tcPr>
          <w:p w14:paraId="2BCD4230" w14:textId="77777777" w:rsidR="00AA47DC" w:rsidRDefault="00AA47DC">
            <w:pPr>
              <w:autoSpaceDE w:val="0"/>
              <w:autoSpaceDN w:val="0"/>
              <w:adjustRightInd w:val="0"/>
              <w:spacing w:after="0" w:line="240" w:lineRule="auto"/>
              <w:jc w:val="center"/>
              <w:rPr>
                <w:rFonts w:asciiTheme="majorBidi" w:hAnsiTheme="majorBidi" w:cstheme="majorBidi"/>
                <w:sz w:val="22"/>
                <w:lang w:val="en-US"/>
              </w:rPr>
            </w:pPr>
            <w:r>
              <w:rPr>
                <w:rFonts w:asciiTheme="majorBidi" w:hAnsiTheme="majorBidi" w:cstheme="majorBidi"/>
                <w:color w:val="000000"/>
                <w:sz w:val="22"/>
                <w:lang w:val="en-US"/>
              </w:rPr>
              <w:t>Sig.</w:t>
            </w:r>
          </w:p>
        </w:tc>
      </w:tr>
      <w:tr w:rsidR="00AA47DC" w14:paraId="6C660EBA" w14:textId="77777777" w:rsidTr="00AA47DC">
        <w:trPr>
          <w:cantSplit/>
          <w:jc w:val="center"/>
        </w:trPr>
        <w:tc>
          <w:tcPr>
            <w:tcW w:w="3828" w:type="dxa"/>
            <w:tcBorders>
              <w:top w:val="single" w:sz="4" w:space="0" w:color="auto"/>
              <w:left w:val="nil"/>
              <w:bottom w:val="nil"/>
              <w:right w:val="nil"/>
            </w:tcBorders>
            <w:shd w:val="clear" w:color="auto" w:fill="FFFFFF"/>
            <w:hideMark/>
          </w:tcPr>
          <w:p w14:paraId="1765A0A6" w14:textId="079D086B" w:rsidR="00AA47DC" w:rsidRPr="00AA47DC" w:rsidRDefault="00AA47DC">
            <w:pPr>
              <w:autoSpaceDE w:val="0"/>
              <w:autoSpaceDN w:val="0"/>
              <w:adjustRightInd w:val="0"/>
              <w:spacing w:after="0" w:line="320" w:lineRule="atLeast"/>
              <w:ind w:left="60" w:right="60"/>
              <w:rPr>
                <w:rFonts w:asciiTheme="majorBidi" w:hAnsiTheme="majorBidi" w:cstheme="majorBidi"/>
                <w:color w:val="000000"/>
                <w:sz w:val="22"/>
              </w:rPr>
            </w:pPr>
            <w:r>
              <w:rPr>
                <w:rFonts w:asciiTheme="majorBidi" w:hAnsiTheme="majorBidi" w:cstheme="majorBidi"/>
                <w:color w:val="000000"/>
                <w:sz w:val="22"/>
              </w:rPr>
              <w:t>I</w:t>
            </w:r>
            <w:r w:rsidRPr="00AA47DC">
              <w:rPr>
                <w:rFonts w:asciiTheme="majorBidi" w:hAnsiTheme="majorBidi" w:cstheme="majorBidi"/>
                <w:color w:val="000000"/>
                <w:sz w:val="22"/>
              </w:rPr>
              <w:t>deologia do partido político de direita</w:t>
            </w:r>
          </w:p>
        </w:tc>
        <w:tc>
          <w:tcPr>
            <w:tcW w:w="1030" w:type="dxa"/>
            <w:tcBorders>
              <w:top w:val="single" w:sz="4" w:space="0" w:color="auto"/>
              <w:left w:val="nil"/>
              <w:bottom w:val="nil"/>
              <w:right w:val="nil"/>
            </w:tcBorders>
            <w:shd w:val="clear" w:color="auto" w:fill="FFFFFF"/>
            <w:hideMark/>
          </w:tcPr>
          <w:p w14:paraId="30D0B9C7"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0,099</w:t>
            </w:r>
          </w:p>
        </w:tc>
        <w:tc>
          <w:tcPr>
            <w:tcW w:w="1030" w:type="dxa"/>
            <w:tcBorders>
              <w:top w:val="single" w:sz="4" w:space="0" w:color="auto"/>
              <w:left w:val="nil"/>
              <w:bottom w:val="nil"/>
              <w:right w:val="nil"/>
            </w:tcBorders>
            <w:shd w:val="clear" w:color="auto" w:fill="FFFFFF"/>
            <w:hideMark/>
          </w:tcPr>
          <w:p w14:paraId="5273C6FB"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548</w:t>
            </w:r>
          </w:p>
        </w:tc>
        <w:tc>
          <w:tcPr>
            <w:tcW w:w="1030" w:type="dxa"/>
            <w:gridSpan w:val="2"/>
            <w:tcBorders>
              <w:top w:val="single" w:sz="4" w:space="0" w:color="auto"/>
              <w:left w:val="nil"/>
              <w:bottom w:val="nil"/>
              <w:right w:val="nil"/>
            </w:tcBorders>
            <w:shd w:val="clear" w:color="auto" w:fill="FFFFFF"/>
            <w:hideMark/>
          </w:tcPr>
          <w:p w14:paraId="3EA57429"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0,000</w:t>
            </w:r>
          </w:p>
        </w:tc>
      </w:tr>
      <w:tr w:rsidR="00AA47DC" w14:paraId="11DE74FB" w14:textId="77777777" w:rsidTr="00AA47DC">
        <w:trPr>
          <w:cantSplit/>
          <w:jc w:val="center"/>
        </w:trPr>
        <w:tc>
          <w:tcPr>
            <w:tcW w:w="3828" w:type="dxa"/>
            <w:tcBorders>
              <w:top w:val="nil"/>
              <w:left w:val="nil"/>
              <w:bottom w:val="double" w:sz="6" w:space="0" w:color="000000"/>
              <w:right w:val="nil"/>
            </w:tcBorders>
            <w:shd w:val="clear" w:color="auto" w:fill="E7E6E6" w:themeFill="background2"/>
            <w:hideMark/>
          </w:tcPr>
          <w:p w14:paraId="224FDA80" w14:textId="1B71A750" w:rsidR="00AA47DC" w:rsidRPr="00AA47DC" w:rsidRDefault="00AA47DC">
            <w:pPr>
              <w:autoSpaceDE w:val="0"/>
              <w:autoSpaceDN w:val="0"/>
              <w:adjustRightInd w:val="0"/>
              <w:spacing w:after="0" w:line="320" w:lineRule="atLeast"/>
              <w:ind w:left="60" w:right="60"/>
              <w:rPr>
                <w:rFonts w:asciiTheme="majorBidi" w:hAnsiTheme="majorBidi" w:cstheme="majorBidi"/>
                <w:color w:val="000000"/>
                <w:sz w:val="22"/>
              </w:rPr>
            </w:pPr>
            <w:r>
              <w:rPr>
                <w:rFonts w:asciiTheme="majorBidi" w:hAnsiTheme="majorBidi" w:cstheme="majorBidi"/>
                <w:color w:val="000000"/>
                <w:sz w:val="22"/>
              </w:rPr>
              <w:t>I</w:t>
            </w:r>
            <w:r w:rsidRPr="00AA47DC">
              <w:rPr>
                <w:rFonts w:asciiTheme="majorBidi" w:hAnsiTheme="majorBidi" w:cstheme="majorBidi"/>
                <w:color w:val="000000"/>
                <w:sz w:val="22"/>
              </w:rPr>
              <w:t>deologia do partido político de esquerda</w:t>
            </w:r>
          </w:p>
        </w:tc>
        <w:tc>
          <w:tcPr>
            <w:tcW w:w="1030" w:type="dxa"/>
            <w:tcBorders>
              <w:top w:val="nil"/>
              <w:left w:val="nil"/>
              <w:bottom w:val="double" w:sz="6" w:space="0" w:color="000000"/>
              <w:right w:val="nil"/>
            </w:tcBorders>
            <w:shd w:val="clear" w:color="auto" w:fill="E7E6E6" w:themeFill="background2"/>
            <w:hideMark/>
          </w:tcPr>
          <w:p w14:paraId="6C7E2DC0"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0,095</w:t>
            </w:r>
          </w:p>
        </w:tc>
        <w:tc>
          <w:tcPr>
            <w:tcW w:w="1030" w:type="dxa"/>
            <w:tcBorders>
              <w:top w:val="nil"/>
              <w:left w:val="nil"/>
              <w:bottom w:val="double" w:sz="6" w:space="0" w:color="000000"/>
              <w:right w:val="nil"/>
            </w:tcBorders>
            <w:shd w:val="clear" w:color="auto" w:fill="E7E6E6" w:themeFill="background2"/>
            <w:hideMark/>
          </w:tcPr>
          <w:p w14:paraId="3FAE0301"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992</w:t>
            </w:r>
          </w:p>
        </w:tc>
        <w:tc>
          <w:tcPr>
            <w:tcW w:w="1030" w:type="dxa"/>
            <w:gridSpan w:val="2"/>
            <w:tcBorders>
              <w:top w:val="nil"/>
              <w:left w:val="nil"/>
              <w:bottom w:val="double" w:sz="6" w:space="0" w:color="000000"/>
              <w:right w:val="nil"/>
            </w:tcBorders>
            <w:shd w:val="clear" w:color="auto" w:fill="E7E6E6" w:themeFill="background2"/>
            <w:hideMark/>
          </w:tcPr>
          <w:p w14:paraId="11B618B4"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0,000</w:t>
            </w:r>
          </w:p>
        </w:tc>
      </w:tr>
      <w:tr w:rsidR="00AA47DC" w14:paraId="42AE93AC" w14:textId="77777777" w:rsidTr="00AA47DC">
        <w:trPr>
          <w:gridAfter w:val="1"/>
          <w:wAfter w:w="21" w:type="dxa"/>
          <w:cantSplit/>
          <w:jc w:val="center"/>
        </w:trPr>
        <w:tc>
          <w:tcPr>
            <w:tcW w:w="6897" w:type="dxa"/>
            <w:gridSpan w:val="4"/>
            <w:tcBorders>
              <w:top w:val="nil"/>
              <w:left w:val="nil"/>
              <w:bottom w:val="nil"/>
              <w:right w:val="nil"/>
            </w:tcBorders>
            <w:shd w:val="clear" w:color="auto" w:fill="FFFFFF"/>
            <w:hideMark/>
          </w:tcPr>
          <w:p w14:paraId="1E3A6E85" w14:textId="77777777" w:rsidR="00AA47DC" w:rsidRPr="00AA47DC" w:rsidRDefault="00AA47DC">
            <w:pPr>
              <w:autoSpaceDE w:val="0"/>
              <w:autoSpaceDN w:val="0"/>
              <w:adjustRightInd w:val="0"/>
              <w:spacing w:after="0" w:line="320" w:lineRule="atLeast"/>
              <w:ind w:left="60" w:right="60"/>
              <w:rPr>
                <w:rFonts w:asciiTheme="majorBidi" w:hAnsiTheme="majorBidi" w:cstheme="majorBidi"/>
                <w:color w:val="000000"/>
                <w:sz w:val="22"/>
              </w:rPr>
            </w:pPr>
            <w:r w:rsidRPr="00AA47DC">
              <w:rPr>
                <w:rFonts w:asciiTheme="majorBidi" w:hAnsiTheme="majorBidi" w:cstheme="majorBidi"/>
                <w:color w:val="000000"/>
                <w:sz w:val="18"/>
                <w:szCs w:val="18"/>
              </w:rPr>
              <w:t xml:space="preserve">a. Correlação de Significância de </w:t>
            </w:r>
            <w:proofErr w:type="spellStart"/>
            <w:r w:rsidRPr="00AA47DC">
              <w:rPr>
                <w:rFonts w:asciiTheme="majorBidi" w:hAnsiTheme="majorBidi" w:cstheme="majorBidi"/>
                <w:color w:val="000000"/>
                <w:sz w:val="18"/>
                <w:szCs w:val="18"/>
              </w:rPr>
              <w:t>Lilliefors</w:t>
            </w:r>
            <w:proofErr w:type="spellEnd"/>
          </w:p>
        </w:tc>
      </w:tr>
    </w:tbl>
    <w:p w14:paraId="3E63FF88" w14:textId="77777777" w:rsidR="00AA47DC" w:rsidRDefault="00AA47DC" w:rsidP="00AA47DC">
      <w:pPr>
        <w:autoSpaceDE w:val="0"/>
        <w:autoSpaceDN w:val="0"/>
        <w:adjustRightInd w:val="0"/>
        <w:spacing w:after="0" w:line="240" w:lineRule="auto"/>
        <w:rPr>
          <w:rFonts w:cs="Times New Roman"/>
          <w:szCs w:val="24"/>
        </w:rPr>
      </w:pPr>
    </w:p>
    <w:tbl>
      <w:tblPr>
        <w:tblW w:w="705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3966"/>
        <w:gridCol w:w="1030"/>
        <w:gridCol w:w="1024"/>
        <w:gridCol w:w="923"/>
        <w:gridCol w:w="107"/>
      </w:tblGrid>
      <w:tr w:rsidR="00AA47DC" w14:paraId="75188F69" w14:textId="77777777" w:rsidTr="00AA47DC">
        <w:trPr>
          <w:gridAfter w:val="1"/>
          <w:wAfter w:w="107" w:type="dxa"/>
          <w:cantSplit/>
          <w:jc w:val="center"/>
        </w:trPr>
        <w:tc>
          <w:tcPr>
            <w:tcW w:w="6946" w:type="dxa"/>
            <w:gridSpan w:val="4"/>
            <w:tcBorders>
              <w:top w:val="nil"/>
              <w:left w:val="nil"/>
              <w:bottom w:val="nil"/>
              <w:right w:val="nil"/>
            </w:tcBorders>
            <w:shd w:val="clear" w:color="auto" w:fill="FFFFFF"/>
            <w:vAlign w:val="center"/>
            <w:hideMark/>
          </w:tcPr>
          <w:p w14:paraId="1D4EDA47" w14:textId="54F8E565" w:rsidR="00AA47DC" w:rsidRPr="00AA47DC" w:rsidRDefault="00AA47DC">
            <w:pPr>
              <w:autoSpaceDE w:val="0"/>
              <w:autoSpaceDN w:val="0"/>
              <w:adjustRightInd w:val="0"/>
              <w:spacing w:after="0" w:line="320" w:lineRule="atLeast"/>
              <w:ind w:left="60" w:right="60"/>
              <w:jc w:val="center"/>
              <w:rPr>
                <w:rFonts w:ascii="Arial" w:hAnsi="Arial" w:cs="Arial"/>
                <w:color w:val="000000"/>
                <w:sz w:val="18"/>
                <w:szCs w:val="18"/>
              </w:rPr>
            </w:pPr>
            <w:r w:rsidRPr="00AA47DC">
              <w:rPr>
                <w:rFonts w:asciiTheme="majorBidi" w:hAnsiTheme="majorBidi" w:cstheme="majorBidi"/>
                <w:b/>
                <w:bCs/>
                <w:color w:val="000000"/>
                <w:sz w:val="22"/>
              </w:rPr>
              <w:t xml:space="preserve">Testes de Normalidade </w:t>
            </w:r>
            <w:r w:rsidRPr="00AA47DC">
              <w:rPr>
                <w:rFonts w:asciiTheme="majorBidi" w:hAnsiTheme="majorBidi" w:cstheme="majorBidi"/>
                <w:color w:val="000000"/>
                <w:sz w:val="22"/>
              </w:rPr>
              <w:t xml:space="preserve">ITM por </w:t>
            </w:r>
            <w:r>
              <w:rPr>
                <w:rFonts w:asciiTheme="majorBidi" w:hAnsiTheme="majorBidi" w:cstheme="majorBidi"/>
                <w:color w:val="000000"/>
                <w:sz w:val="22"/>
              </w:rPr>
              <w:t>C</w:t>
            </w:r>
            <w:r w:rsidRPr="00AA47DC">
              <w:rPr>
                <w:rFonts w:asciiTheme="majorBidi" w:hAnsiTheme="majorBidi" w:cstheme="majorBidi"/>
                <w:color w:val="000000"/>
                <w:sz w:val="22"/>
              </w:rPr>
              <w:t>CP</w:t>
            </w:r>
          </w:p>
        </w:tc>
      </w:tr>
      <w:tr w:rsidR="00AA47DC" w14:paraId="39368293" w14:textId="77777777" w:rsidTr="00AA47DC">
        <w:trPr>
          <w:cantSplit/>
          <w:jc w:val="center"/>
        </w:trPr>
        <w:tc>
          <w:tcPr>
            <w:tcW w:w="3969" w:type="dxa"/>
            <w:vMerge w:val="restart"/>
            <w:tcBorders>
              <w:top w:val="double" w:sz="6" w:space="0" w:color="000000"/>
              <w:left w:val="nil"/>
              <w:bottom w:val="nil"/>
              <w:right w:val="nil"/>
            </w:tcBorders>
            <w:shd w:val="clear" w:color="auto" w:fill="E7E6E6" w:themeFill="background2"/>
            <w:vAlign w:val="bottom"/>
            <w:hideMark/>
          </w:tcPr>
          <w:p w14:paraId="4A42A322" w14:textId="1EB43A61" w:rsidR="00AA47DC" w:rsidRDefault="00AA47DC">
            <w:pPr>
              <w:autoSpaceDE w:val="0"/>
              <w:autoSpaceDN w:val="0"/>
              <w:adjustRightInd w:val="0"/>
              <w:spacing w:after="0" w:line="320" w:lineRule="atLeast"/>
              <w:ind w:left="60" w:right="60"/>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Competição</w:t>
            </w:r>
            <w:proofErr w:type="spellEnd"/>
            <w:r>
              <w:rPr>
                <w:rFonts w:asciiTheme="majorBidi" w:hAnsiTheme="majorBidi" w:cstheme="majorBidi"/>
                <w:color w:val="000000"/>
                <w:sz w:val="22"/>
                <w:lang w:val="en-US"/>
              </w:rPr>
              <w:t xml:space="preserve"> </w:t>
            </w:r>
            <w:proofErr w:type="spellStart"/>
            <w:r>
              <w:rPr>
                <w:rFonts w:asciiTheme="majorBidi" w:hAnsiTheme="majorBidi" w:cstheme="majorBidi"/>
                <w:color w:val="000000"/>
                <w:sz w:val="22"/>
                <w:lang w:val="en-US"/>
              </w:rPr>
              <w:t>política</w:t>
            </w:r>
            <w:proofErr w:type="spellEnd"/>
          </w:p>
        </w:tc>
        <w:tc>
          <w:tcPr>
            <w:tcW w:w="3084" w:type="dxa"/>
            <w:gridSpan w:val="4"/>
            <w:tcBorders>
              <w:top w:val="double" w:sz="6" w:space="0" w:color="000000"/>
              <w:left w:val="nil"/>
              <w:bottom w:val="single" w:sz="8" w:space="0" w:color="000000"/>
              <w:right w:val="nil"/>
            </w:tcBorders>
            <w:shd w:val="clear" w:color="auto" w:fill="E7E6E6" w:themeFill="background2"/>
            <w:vAlign w:val="bottom"/>
            <w:hideMark/>
          </w:tcPr>
          <w:p w14:paraId="79793015" w14:textId="4B006358" w:rsidR="00AA47DC" w:rsidRDefault="00177BD8">
            <w:pPr>
              <w:autoSpaceDE w:val="0"/>
              <w:autoSpaceDN w:val="0"/>
              <w:adjustRightInd w:val="0"/>
              <w:spacing w:after="0" w:line="320" w:lineRule="atLeast"/>
              <w:ind w:left="60" w:right="60"/>
              <w:jc w:val="center"/>
              <w:rPr>
                <w:rFonts w:asciiTheme="majorBidi" w:hAnsiTheme="majorBidi" w:cstheme="majorBidi"/>
                <w:color w:val="000000"/>
                <w:sz w:val="22"/>
                <w:lang w:val="en-US"/>
              </w:rPr>
            </w:pPr>
            <w:r>
              <w:rPr>
                <w:rFonts w:asciiTheme="majorBidi" w:hAnsiTheme="majorBidi" w:cstheme="majorBidi"/>
                <w:color w:val="000000"/>
                <w:sz w:val="22"/>
                <w:lang w:val="en-US"/>
              </w:rPr>
              <w:t>Kolmogorov-Smirnov</w:t>
            </w:r>
            <w:r>
              <w:rPr>
                <w:rFonts w:asciiTheme="majorBidi" w:hAnsiTheme="majorBidi" w:cstheme="majorBidi"/>
                <w:color w:val="000000"/>
                <w:sz w:val="22"/>
                <w:vertAlign w:val="superscript"/>
                <w:lang w:val="en-US"/>
              </w:rPr>
              <w:t>a</w:t>
            </w:r>
          </w:p>
        </w:tc>
      </w:tr>
      <w:tr w:rsidR="00AA47DC" w14:paraId="11D86EC3" w14:textId="77777777" w:rsidTr="00AA47DC">
        <w:trPr>
          <w:cantSplit/>
          <w:jc w:val="center"/>
        </w:trPr>
        <w:tc>
          <w:tcPr>
            <w:tcW w:w="6946" w:type="dxa"/>
            <w:vMerge/>
            <w:tcBorders>
              <w:top w:val="double" w:sz="6" w:space="0" w:color="000000"/>
              <w:left w:val="nil"/>
              <w:bottom w:val="single" w:sz="4" w:space="0" w:color="auto"/>
              <w:right w:val="nil"/>
            </w:tcBorders>
            <w:shd w:val="clear" w:color="auto" w:fill="E7E6E6" w:themeFill="background2"/>
            <w:vAlign w:val="center"/>
            <w:hideMark/>
          </w:tcPr>
          <w:p w14:paraId="7B3C1F6F" w14:textId="77777777" w:rsidR="00AA47DC" w:rsidRDefault="00AA47DC">
            <w:pPr>
              <w:spacing w:after="0"/>
              <w:rPr>
                <w:rFonts w:asciiTheme="majorBidi" w:hAnsiTheme="majorBidi" w:cstheme="majorBidi"/>
                <w:color w:val="000000"/>
                <w:sz w:val="22"/>
                <w:lang w:val="en-US"/>
              </w:rPr>
            </w:pPr>
          </w:p>
        </w:tc>
        <w:tc>
          <w:tcPr>
            <w:tcW w:w="1030" w:type="dxa"/>
            <w:tcBorders>
              <w:top w:val="single" w:sz="8" w:space="0" w:color="000000"/>
              <w:left w:val="nil"/>
              <w:bottom w:val="single" w:sz="4" w:space="0" w:color="auto"/>
              <w:right w:val="nil"/>
            </w:tcBorders>
            <w:shd w:val="clear" w:color="auto" w:fill="E7E6E6" w:themeFill="background2"/>
            <w:hideMark/>
          </w:tcPr>
          <w:p w14:paraId="4C8EE3F4"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Estatística</w:t>
            </w:r>
            <w:proofErr w:type="spellEnd"/>
          </w:p>
        </w:tc>
        <w:tc>
          <w:tcPr>
            <w:tcW w:w="1024" w:type="dxa"/>
            <w:tcBorders>
              <w:top w:val="single" w:sz="8" w:space="0" w:color="000000"/>
              <w:left w:val="nil"/>
              <w:bottom w:val="single" w:sz="4" w:space="0" w:color="auto"/>
              <w:right w:val="nil"/>
            </w:tcBorders>
            <w:shd w:val="clear" w:color="auto" w:fill="E7E6E6" w:themeFill="background2"/>
            <w:hideMark/>
          </w:tcPr>
          <w:p w14:paraId="20CBE095"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gl</w:t>
            </w:r>
            <w:proofErr w:type="spellEnd"/>
          </w:p>
        </w:tc>
        <w:tc>
          <w:tcPr>
            <w:tcW w:w="1030" w:type="dxa"/>
            <w:gridSpan w:val="2"/>
            <w:tcBorders>
              <w:top w:val="single" w:sz="8" w:space="0" w:color="000000"/>
              <w:left w:val="nil"/>
              <w:bottom w:val="single" w:sz="4" w:space="0" w:color="auto"/>
              <w:right w:val="nil"/>
            </w:tcBorders>
            <w:shd w:val="clear" w:color="auto" w:fill="E7E6E6" w:themeFill="background2"/>
            <w:hideMark/>
          </w:tcPr>
          <w:p w14:paraId="48737EE8"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r>
              <w:rPr>
                <w:rFonts w:asciiTheme="majorBidi" w:hAnsiTheme="majorBidi" w:cstheme="majorBidi"/>
                <w:color w:val="000000"/>
                <w:sz w:val="22"/>
                <w:lang w:val="en-US"/>
              </w:rPr>
              <w:t>Sig.</w:t>
            </w:r>
          </w:p>
        </w:tc>
      </w:tr>
      <w:tr w:rsidR="00AA47DC" w14:paraId="6102866B" w14:textId="77777777" w:rsidTr="00AA47DC">
        <w:trPr>
          <w:cantSplit/>
          <w:jc w:val="center"/>
        </w:trPr>
        <w:tc>
          <w:tcPr>
            <w:tcW w:w="3969" w:type="dxa"/>
            <w:tcBorders>
              <w:top w:val="single" w:sz="4" w:space="0" w:color="auto"/>
              <w:left w:val="nil"/>
              <w:bottom w:val="nil"/>
              <w:right w:val="nil"/>
            </w:tcBorders>
            <w:shd w:val="clear" w:color="auto" w:fill="FFFFFF"/>
            <w:hideMark/>
          </w:tcPr>
          <w:p w14:paraId="371DF892" w14:textId="77777777" w:rsidR="00AA47DC" w:rsidRPr="00AA47DC" w:rsidRDefault="00AA47DC">
            <w:pPr>
              <w:autoSpaceDE w:val="0"/>
              <w:autoSpaceDN w:val="0"/>
              <w:adjustRightInd w:val="0"/>
              <w:spacing w:after="0" w:line="320" w:lineRule="atLeast"/>
              <w:ind w:left="60" w:right="60"/>
              <w:rPr>
                <w:rFonts w:asciiTheme="majorBidi" w:hAnsiTheme="majorBidi" w:cstheme="majorBidi"/>
                <w:color w:val="000000"/>
                <w:sz w:val="22"/>
              </w:rPr>
            </w:pPr>
            <w:r w:rsidRPr="00AA47DC">
              <w:rPr>
                <w:rFonts w:asciiTheme="majorBidi" w:hAnsiTheme="majorBidi" w:cstheme="majorBidi"/>
                <w:color w:val="000000"/>
                <w:sz w:val="22"/>
              </w:rPr>
              <w:t>municípios com fraca competição política</w:t>
            </w:r>
          </w:p>
        </w:tc>
        <w:tc>
          <w:tcPr>
            <w:tcW w:w="1030" w:type="dxa"/>
            <w:tcBorders>
              <w:top w:val="single" w:sz="4" w:space="0" w:color="auto"/>
              <w:left w:val="nil"/>
              <w:bottom w:val="nil"/>
              <w:right w:val="nil"/>
            </w:tcBorders>
            <w:shd w:val="clear" w:color="auto" w:fill="FFFFFF"/>
            <w:hideMark/>
          </w:tcPr>
          <w:p w14:paraId="13D5C8B1"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0,108</w:t>
            </w:r>
          </w:p>
        </w:tc>
        <w:tc>
          <w:tcPr>
            <w:tcW w:w="1024" w:type="dxa"/>
            <w:tcBorders>
              <w:top w:val="single" w:sz="4" w:space="0" w:color="auto"/>
              <w:left w:val="nil"/>
              <w:bottom w:val="nil"/>
              <w:right w:val="nil"/>
            </w:tcBorders>
            <w:shd w:val="clear" w:color="auto" w:fill="FFFFFF"/>
            <w:hideMark/>
          </w:tcPr>
          <w:p w14:paraId="0B80E501"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320</w:t>
            </w:r>
          </w:p>
        </w:tc>
        <w:tc>
          <w:tcPr>
            <w:tcW w:w="1030" w:type="dxa"/>
            <w:gridSpan w:val="2"/>
            <w:tcBorders>
              <w:top w:val="single" w:sz="4" w:space="0" w:color="auto"/>
              <w:left w:val="nil"/>
              <w:bottom w:val="nil"/>
              <w:right w:val="nil"/>
            </w:tcBorders>
            <w:shd w:val="clear" w:color="auto" w:fill="FFFFFF"/>
            <w:hideMark/>
          </w:tcPr>
          <w:p w14:paraId="6ADDFB67"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0,000</w:t>
            </w:r>
          </w:p>
        </w:tc>
      </w:tr>
      <w:tr w:rsidR="00AA47DC" w14:paraId="6F51276C" w14:textId="77777777" w:rsidTr="00AA47DC">
        <w:trPr>
          <w:cantSplit/>
          <w:jc w:val="center"/>
        </w:trPr>
        <w:tc>
          <w:tcPr>
            <w:tcW w:w="3969" w:type="dxa"/>
            <w:tcBorders>
              <w:top w:val="nil"/>
              <w:left w:val="nil"/>
              <w:bottom w:val="double" w:sz="6" w:space="0" w:color="000000"/>
              <w:right w:val="nil"/>
            </w:tcBorders>
            <w:shd w:val="clear" w:color="auto" w:fill="E7E6E6" w:themeFill="background2"/>
            <w:hideMark/>
          </w:tcPr>
          <w:p w14:paraId="38EB9535" w14:textId="77777777" w:rsidR="00AA47DC" w:rsidRPr="00AA47DC" w:rsidRDefault="00AA47DC">
            <w:pPr>
              <w:autoSpaceDE w:val="0"/>
              <w:autoSpaceDN w:val="0"/>
              <w:adjustRightInd w:val="0"/>
              <w:spacing w:after="0" w:line="320" w:lineRule="atLeast"/>
              <w:ind w:left="60" w:right="60"/>
              <w:rPr>
                <w:rFonts w:asciiTheme="majorBidi" w:hAnsiTheme="majorBidi" w:cstheme="majorBidi"/>
                <w:color w:val="000000"/>
                <w:sz w:val="22"/>
              </w:rPr>
            </w:pPr>
            <w:r w:rsidRPr="00AA47DC">
              <w:rPr>
                <w:rFonts w:asciiTheme="majorBidi" w:hAnsiTheme="majorBidi" w:cstheme="majorBidi"/>
                <w:color w:val="000000"/>
                <w:sz w:val="22"/>
              </w:rPr>
              <w:t>municípios com forte competição política</w:t>
            </w:r>
          </w:p>
        </w:tc>
        <w:tc>
          <w:tcPr>
            <w:tcW w:w="1030" w:type="dxa"/>
            <w:tcBorders>
              <w:top w:val="nil"/>
              <w:left w:val="nil"/>
              <w:bottom w:val="double" w:sz="6" w:space="0" w:color="000000"/>
              <w:right w:val="nil"/>
            </w:tcBorders>
            <w:shd w:val="clear" w:color="auto" w:fill="E7E6E6" w:themeFill="background2"/>
            <w:hideMark/>
          </w:tcPr>
          <w:p w14:paraId="40C7E008"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0,095</w:t>
            </w:r>
          </w:p>
        </w:tc>
        <w:tc>
          <w:tcPr>
            <w:tcW w:w="1024" w:type="dxa"/>
            <w:tcBorders>
              <w:top w:val="nil"/>
              <w:left w:val="nil"/>
              <w:bottom w:val="double" w:sz="6" w:space="0" w:color="000000"/>
              <w:right w:val="nil"/>
            </w:tcBorders>
            <w:shd w:val="clear" w:color="auto" w:fill="E7E6E6" w:themeFill="background2"/>
            <w:hideMark/>
          </w:tcPr>
          <w:p w14:paraId="4EEA5B36"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1220</w:t>
            </w:r>
          </w:p>
        </w:tc>
        <w:tc>
          <w:tcPr>
            <w:tcW w:w="1030" w:type="dxa"/>
            <w:gridSpan w:val="2"/>
            <w:tcBorders>
              <w:top w:val="nil"/>
              <w:left w:val="nil"/>
              <w:bottom w:val="double" w:sz="6" w:space="0" w:color="000000"/>
              <w:right w:val="nil"/>
            </w:tcBorders>
            <w:shd w:val="clear" w:color="auto" w:fill="E7E6E6" w:themeFill="background2"/>
            <w:hideMark/>
          </w:tcPr>
          <w:p w14:paraId="0FBA0B53"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0,000</w:t>
            </w:r>
          </w:p>
        </w:tc>
      </w:tr>
      <w:tr w:rsidR="00AA47DC" w14:paraId="2FD31370" w14:textId="77777777" w:rsidTr="00AA47DC">
        <w:trPr>
          <w:gridAfter w:val="1"/>
          <w:wAfter w:w="107" w:type="dxa"/>
          <w:cantSplit/>
          <w:jc w:val="center"/>
        </w:trPr>
        <w:tc>
          <w:tcPr>
            <w:tcW w:w="6946" w:type="dxa"/>
            <w:gridSpan w:val="4"/>
            <w:tcBorders>
              <w:top w:val="nil"/>
              <w:left w:val="nil"/>
              <w:bottom w:val="nil"/>
              <w:right w:val="nil"/>
            </w:tcBorders>
            <w:shd w:val="clear" w:color="auto" w:fill="FFFFFF"/>
            <w:hideMark/>
          </w:tcPr>
          <w:p w14:paraId="176243E3" w14:textId="77777777" w:rsidR="00AA47DC" w:rsidRPr="00AA47DC" w:rsidRDefault="00AA47DC">
            <w:pPr>
              <w:autoSpaceDE w:val="0"/>
              <w:autoSpaceDN w:val="0"/>
              <w:adjustRightInd w:val="0"/>
              <w:spacing w:after="0" w:line="320" w:lineRule="atLeast"/>
              <w:ind w:left="60" w:right="60"/>
              <w:rPr>
                <w:rFonts w:ascii="Arial" w:hAnsi="Arial" w:cs="Arial"/>
                <w:color w:val="000000"/>
                <w:sz w:val="18"/>
                <w:szCs w:val="18"/>
              </w:rPr>
            </w:pPr>
            <w:r w:rsidRPr="00AA47DC">
              <w:rPr>
                <w:rFonts w:asciiTheme="majorBidi" w:hAnsiTheme="majorBidi" w:cstheme="majorBidi"/>
                <w:color w:val="000000"/>
                <w:sz w:val="18"/>
                <w:szCs w:val="18"/>
              </w:rPr>
              <w:t xml:space="preserve">a. Correlação de Significância de </w:t>
            </w:r>
            <w:proofErr w:type="spellStart"/>
            <w:r w:rsidRPr="00AA47DC">
              <w:rPr>
                <w:rFonts w:asciiTheme="majorBidi" w:hAnsiTheme="majorBidi" w:cstheme="majorBidi"/>
                <w:color w:val="000000"/>
                <w:sz w:val="18"/>
                <w:szCs w:val="18"/>
              </w:rPr>
              <w:t>Lilliefors</w:t>
            </w:r>
            <w:proofErr w:type="spellEnd"/>
          </w:p>
        </w:tc>
      </w:tr>
    </w:tbl>
    <w:p w14:paraId="4F9D7D76" w14:textId="77777777" w:rsidR="00AA47DC" w:rsidRDefault="00AA47DC" w:rsidP="00AA47DC">
      <w:pPr>
        <w:autoSpaceDE w:val="0"/>
        <w:autoSpaceDN w:val="0"/>
        <w:adjustRightInd w:val="0"/>
        <w:spacing w:after="0" w:line="240" w:lineRule="auto"/>
        <w:rPr>
          <w:rFonts w:cs="Times New Roman"/>
          <w:sz w:val="22"/>
        </w:rPr>
      </w:pPr>
    </w:p>
    <w:tbl>
      <w:tblPr>
        <w:tblW w:w="705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3966"/>
        <w:gridCol w:w="1030"/>
        <w:gridCol w:w="1024"/>
        <w:gridCol w:w="923"/>
        <w:gridCol w:w="107"/>
      </w:tblGrid>
      <w:tr w:rsidR="00AA47DC" w14:paraId="0B7E9A7A" w14:textId="77777777" w:rsidTr="00AA47DC">
        <w:trPr>
          <w:gridAfter w:val="1"/>
          <w:wAfter w:w="107" w:type="dxa"/>
          <w:cantSplit/>
          <w:jc w:val="center"/>
        </w:trPr>
        <w:tc>
          <w:tcPr>
            <w:tcW w:w="6946" w:type="dxa"/>
            <w:gridSpan w:val="4"/>
            <w:tcBorders>
              <w:top w:val="nil"/>
              <w:left w:val="nil"/>
              <w:bottom w:val="nil"/>
              <w:right w:val="nil"/>
            </w:tcBorders>
            <w:shd w:val="clear" w:color="auto" w:fill="FFFFFF"/>
            <w:vAlign w:val="center"/>
            <w:hideMark/>
          </w:tcPr>
          <w:p w14:paraId="67E30689" w14:textId="6B85486D" w:rsidR="00AA47DC" w:rsidRPr="00AA47DC" w:rsidRDefault="00AA47DC">
            <w:pPr>
              <w:autoSpaceDE w:val="0"/>
              <w:autoSpaceDN w:val="0"/>
              <w:adjustRightInd w:val="0"/>
              <w:spacing w:after="0" w:line="320" w:lineRule="atLeast"/>
              <w:ind w:left="60" w:right="60"/>
              <w:jc w:val="center"/>
              <w:rPr>
                <w:rFonts w:ascii="Arial" w:hAnsi="Arial" w:cs="Arial"/>
                <w:color w:val="000000"/>
                <w:sz w:val="18"/>
                <w:szCs w:val="18"/>
              </w:rPr>
            </w:pPr>
            <w:r w:rsidRPr="00AA47DC">
              <w:rPr>
                <w:rFonts w:asciiTheme="majorBidi" w:hAnsiTheme="majorBidi" w:cstheme="majorBidi"/>
                <w:b/>
                <w:bCs/>
                <w:color w:val="000000"/>
                <w:sz w:val="22"/>
              </w:rPr>
              <w:t xml:space="preserve">Testes de Normalidade </w:t>
            </w:r>
            <w:r w:rsidRPr="00AA47DC">
              <w:rPr>
                <w:rFonts w:asciiTheme="majorBidi" w:hAnsiTheme="majorBidi" w:cstheme="majorBidi"/>
                <w:color w:val="000000"/>
                <w:sz w:val="22"/>
              </w:rPr>
              <w:t xml:space="preserve">ITM por </w:t>
            </w:r>
            <w:proofErr w:type="spellStart"/>
            <w:r w:rsidRPr="00AA47DC">
              <w:rPr>
                <w:rFonts w:asciiTheme="majorBidi" w:hAnsiTheme="majorBidi" w:cstheme="majorBidi"/>
                <w:color w:val="000000"/>
                <w:sz w:val="22"/>
              </w:rPr>
              <w:t>MVend</w:t>
            </w:r>
            <w:proofErr w:type="spellEnd"/>
          </w:p>
        </w:tc>
      </w:tr>
      <w:tr w:rsidR="00AA47DC" w14:paraId="7BA5570B" w14:textId="77777777" w:rsidTr="00AA47DC">
        <w:trPr>
          <w:cantSplit/>
          <w:jc w:val="center"/>
        </w:trPr>
        <w:tc>
          <w:tcPr>
            <w:tcW w:w="3969" w:type="dxa"/>
            <w:vMerge w:val="restart"/>
            <w:tcBorders>
              <w:top w:val="double" w:sz="6" w:space="0" w:color="000000"/>
              <w:left w:val="nil"/>
              <w:bottom w:val="nil"/>
              <w:right w:val="nil"/>
            </w:tcBorders>
            <w:shd w:val="clear" w:color="auto" w:fill="E7E6E6" w:themeFill="background2"/>
            <w:vAlign w:val="bottom"/>
            <w:hideMark/>
          </w:tcPr>
          <w:p w14:paraId="12F8F298" w14:textId="77777777" w:rsidR="00AA47DC" w:rsidRDefault="00AA47DC">
            <w:pPr>
              <w:autoSpaceDE w:val="0"/>
              <w:autoSpaceDN w:val="0"/>
              <w:adjustRightInd w:val="0"/>
              <w:spacing w:after="0" w:line="320" w:lineRule="atLeast"/>
              <w:ind w:left="60" w:right="60"/>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Endividamento</w:t>
            </w:r>
            <w:proofErr w:type="spellEnd"/>
          </w:p>
        </w:tc>
        <w:tc>
          <w:tcPr>
            <w:tcW w:w="3084" w:type="dxa"/>
            <w:gridSpan w:val="4"/>
            <w:tcBorders>
              <w:top w:val="double" w:sz="6" w:space="0" w:color="000000"/>
              <w:left w:val="nil"/>
              <w:bottom w:val="single" w:sz="8" w:space="0" w:color="000000"/>
              <w:right w:val="nil"/>
            </w:tcBorders>
            <w:shd w:val="clear" w:color="auto" w:fill="E7E6E6" w:themeFill="background2"/>
            <w:vAlign w:val="bottom"/>
            <w:hideMark/>
          </w:tcPr>
          <w:p w14:paraId="737F7480" w14:textId="58D4E875" w:rsidR="00AA47DC" w:rsidRDefault="00177BD8">
            <w:pPr>
              <w:autoSpaceDE w:val="0"/>
              <w:autoSpaceDN w:val="0"/>
              <w:adjustRightInd w:val="0"/>
              <w:spacing w:after="0" w:line="320" w:lineRule="atLeast"/>
              <w:ind w:left="60" w:right="60"/>
              <w:jc w:val="center"/>
              <w:rPr>
                <w:rFonts w:asciiTheme="majorBidi" w:hAnsiTheme="majorBidi" w:cstheme="majorBidi"/>
                <w:color w:val="000000"/>
                <w:sz w:val="22"/>
                <w:lang w:val="en-US"/>
              </w:rPr>
            </w:pPr>
            <w:r>
              <w:rPr>
                <w:rFonts w:asciiTheme="majorBidi" w:hAnsiTheme="majorBidi" w:cstheme="majorBidi"/>
                <w:color w:val="000000"/>
                <w:sz w:val="22"/>
                <w:lang w:val="en-US"/>
              </w:rPr>
              <w:t>Kolmogorov-Smirnov</w:t>
            </w:r>
            <w:r>
              <w:rPr>
                <w:rFonts w:asciiTheme="majorBidi" w:hAnsiTheme="majorBidi" w:cstheme="majorBidi"/>
                <w:color w:val="000000"/>
                <w:sz w:val="22"/>
                <w:vertAlign w:val="superscript"/>
                <w:lang w:val="en-US"/>
              </w:rPr>
              <w:t>a</w:t>
            </w:r>
          </w:p>
        </w:tc>
      </w:tr>
      <w:tr w:rsidR="00AA47DC" w14:paraId="199605CB" w14:textId="77777777" w:rsidTr="00AA47DC">
        <w:trPr>
          <w:cantSplit/>
          <w:jc w:val="center"/>
        </w:trPr>
        <w:tc>
          <w:tcPr>
            <w:tcW w:w="6946" w:type="dxa"/>
            <w:vMerge/>
            <w:tcBorders>
              <w:top w:val="double" w:sz="6" w:space="0" w:color="000000"/>
              <w:left w:val="nil"/>
              <w:bottom w:val="single" w:sz="4" w:space="0" w:color="auto"/>
              <w:right w:val="nil"/>
            </w:tcBorders>
            <w:shd w:val="clear" w:color="auto" w:fill="E7E6E6" w:themeFill="background2"/>
            <w:vAlign w:val="center"/>
            <w:hideMark/>
          </w:tcPr>
          <w:p w14:paraId="11094DA4" w14:textId="77777777" w:rsidR="00AA47DC" w:rsidRDefault="00AA47DC">
            <w:pPr>
              <w:spacing w:after="0"/>
              <w:rPr>
                <w:rFonts w:asciiTheme="majorBidi" w:hAnsiTheme="majorBidi" w:cstheme="majorBidi"/>
                <w:color w:val="000000"/>
                <w:sz w:val="22"/>
                <w:lang w:val="en-US"/>
              </w:rPr>
            </w:pPr>
          </w:p>
        </w:tc>
        <w:tc>
          <w:tcPr>
            <w:tcW w:w="1030" w:type="dxa"/>
            <w:tcBorders>
              <w:top w:val="single" w:sz="8" w:space="0" w:color="000000"/>
              <w:left w:val="nil"/>
              <w:bottom w:val="single" w:sz="4" w:space="0" w:color="auto"/>
              <w:right w:val="nil"/>
            </w:tcBorders>
            <w:shd w:val="clear" w:color="auto" w:fill="E7E6E6" w:themeFill="background2"/>
            <w:hideMark/>
          </w:tcPr>
          <w:p w14:paraId="2CF43DCF"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Estatística</w:t>
            </w:r>
            <w:proofErr w:type="spellEnd"/>
          </w:p>
        </w:tc>
        <w:tc>
          <w:tcPr>
            <w:tcW w:w="1024" w:type="dxa"/>
            <w:tcBorders>
              <w:top w:val="single" w:sz="8" w:space="0" w:color="000000"/>
              <w:left w:val="nil"/>
              <w:bottom w:val="single" w:sz="4" w:space="0" w:color="auto"/>
              <w:right w:val="nil"/>
            </w:tcBorders>
            <w:shd w:val="clear" w:color="auto" w:fill="E7E6E6" w:themeFill="background2"/>
            <w:hideMark/>
          </w:tcPr>
          <w:p w14:paraId="30F3EEA4"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gl</w:t>
            </w:r>
            <w:proofErr w:type="spellEnd"/>
          </w:p>
        </w:tc>
        <w:tc>
          <w:tcPr>
            <w:tcW w:w="1030" w:type="dxa"/>
            <w:gridSpan w:val="2"/>
            <w:tcBorders>
              <w:top w:val="single" w:sz="8" w:space="0" w:color="000000"/>
              <w:left w:val="nil"/>
              <w:bottom w:val="single" w:sz="4" w:space="0" w:color="auto"/>
              <w:right w:val="nil"/>
            </w:tcBorders>
            <w:shd w:val="clear" w:color="auto" w:fill="E7E6E6" w:themeFill="background2"/>
            <w:hideMark/>
          </w:tcPr>
          <w:p w14:paraId="1916C526"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r>
              <w:rPr>
                <w:rFonts w:asciiTheme="majorBidi" w:hAnsiTheme="majorBidi" w:cstheme="majorBidi"/>
                <w:color w:val="000000"/>
                <w:sz w:val="22"/>
                <w:lang w:val="en-US"/>
              </w:rPr>
              <w:t>Sig.</w:t>
            </w:r>
          </w:p>
        </w:tc>
      </w:tr>
      <w:tr w:rsidR="00AA47DC" w14:paraId="65B0CF2A" w14:textId="77777777" w:rsidTr="00AA47DC">
        <w:trPr>
          <w:cantSplit/>
          <w:jc w:val="center"/>
        </w:trPr>
        <w:tc>
          <w:tcPr>
            <w:tcW w:w="3969" w:type="dxa"/>
            <w:tcBorders>
              <w:top w:val="single" w:sz="4" w:space="0" w:color="auto"/>
              <w:left w:val="nil"/>
              <w:bottom w:val="nil"/>
              <w:right w:val="nil"/>
            </w:tcBorders>
            <w:shd w:val="clear" w:color="auto" w:fill="FFFFFF"/>
            <w:hideMark/>
          </w:tcPr>
          <w:p w14:paraId="2B68FF0F" w14:textId="731FA7EC" w:rsidR="00AA47DC" w:rsidRDefault="00AA47DC">
            <w:pPr>
              <w:autoSpaceDE w:val="0"/>
              <w:autoSpaceDN w:val="0"/>
              <w:adjustRightInd w:val="0"/>
              <w:spacing w:after="0" w:line="320" w:lineRule="atLeast"/>
              <w:ind w:left="60" w:right="60"/>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Municípios</w:t>
            </w:r>
            <w:proofErr w:type="spellEnd"/>
            <w:r>
              <w:rPr>
                <w:rFonts w:asciiTheme="majorBidi" w:hAnsiTheme="majorBidi" w:cstheme="majorBidi"/>
                <w:color w:val="000000"/>
                <w:sz w:val="22"/>
                <w:lang w:val="en-US"/>
              </w:rPr>
              <w:t xml:space="preserve"> </w:t>
            </w:r>
            <w:proofErr w:type="spellStart"/>
            <w:r>
              <w:rPr>
                <w:rFonts w:asciiTheme="majorBidi" w:hAnsiTheme="majorBidi" w:cstheme="majorBidi"/>
                <w:color w:val="000000"/>
                <w:sz w:val="22"/>
                <w:lang w:val="en-US"/>
              </w:rPr>
              <w:t>menos</w:t>
            </w:r>
            <w:proofErr w:type="spellEnd"/>
            <w:r>
              <w:rPr>
                <w:rFonts w:asciiTheme="majorBidi" w:hAnsiTheme="majorBidi" w:cstheme="majorBidi"/>
                <w:color w:val="000000"/>
                <w:sz w:val="22"/>
                <w:lang w:val="en-US"/>
              </w:rPr>
              <w:t xml:space="preserve"> </w:t>
            </w:r>
            <w:proofErr w:type="spellStart"/>
            <w:r>
              <w:rPr>
                <w:rFonts w:asciiTheme="majorBidi" w:hAnsiTheme="majorBidi" w:cstheme="majorBidi"/>
                <w:color w:val="000000"/>
                <w:sz w:val="22"/>
                <w:lang w:val="en-US"/>
              </w:rPr>
              <w:t>endividados</w:t>
            </w:r>
            <w:proofErr w:type="spellEnd"/>
          </w:p>
        </w:tc>
        <w:tc>
          <w:tcPr>
            <w:tcW w:w="1030" w:type="dxa"/>
            <w:tcBorders>
              <w:top w:val="single" w:sz="4" w:space="0" w:color="auto"/>
              <w:left w:val="nil"/>
              <w:bottom w:val="nil"/>
              <w:right w:val="nil"/>
            </w:tcBorders>
            <w:shd w:val="clear" w:color="auto" w:fill="FFFFFF"/>
            <w:hideMark/>
          </w:tcPr>
          <w:p w14:paraId="760DB2C5"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0,100</w:t>
            </w:r>
          </w:p>
        </w:tc>
        <w:tc>
          <w:tcPr>
            <w:tcW w:w="1024" w:type="dxa"/>
            <w:tcBorders>
              <w:top w:val="single" w:sz="4" w:space="0" w:color="auto"/>
              <w:left w:val="nil"/>
              <w:bottom w:val="nil"/>
              <w:right w:val="nil"/>
            </w:tcBorders>
            <w:shd w:val="clear" w:color="auto" w:fill="FFFFFF"/>
            <w:hideMark/>
          </w:tcPr>
          <w:p w14:paraId="069024FC"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1145</w:t>
            </w:r>
          </w:p>
        </w:tc>
        <w:tc>
          <w:tcPr>
            <w:tcW w:w="1030" w:type="dxa"/>
            <w:gridSpan w:val="2"/>
            <w:tcBorders>
              <w:top w:val="single" w:sz="4" w:space="0" w:color="auto"/>
              <w:left w:val="nil"/>
              <w:bottom w:val="nil"/>
              <w:right w:val="nil"/>
            </w:tcBorders>
            <w:shd w:val="clear" w:color="auto" w:fill="FFFFFF"/>
            <w:hideMark/>
          </w:tcPr>
          <w:p w14:paraId="62E77CEF"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0,000</w:t>
            </w:r>
          </w:p>
        </w:tc>
      </w:tr>
      <w:tr w:rsidR="00AA47DC" w14:paraId="14455ECC" w14:textId="77777777" w:rsidTr="00AA47DC">
        <w:trPr>
          <w:cantSplit/>
          <w:jc w:val="center"/>
        </w:trPr>
        <w:tc>
          <w:tcPr>
            <w:tcW w:w="3969" w:type="dxa"/>
            <w:tcBorders>
              <w:top w:val="nil"/>
              <w:left w:val="nil"/>
              <w:bottom w:val="double" w:sz="6" w:space="0" w:color="000000"/>
              <w:right w:val="nil"/>
            </w:tcBorders>
            <w:shd w:val="clear" w:color="auto" w:fill="E7E6E6" w:themeFill="background2"/>
            <w:hideMark/>
          </w:tcPr>
          <w:p w14:paraId="4B085F24" w14:textId="0065F987" w:rsidR="00AA47DC" w:rsidRDefault="00AA47DC">
            <w:pPr>
              <w:autoSpaceDE w:val="0"/>
              <w:autoSpaceDN w:val="0"/>
              <w:adjustRightInd w:val="0"/>
              <w:spacing w:after="0" w:line="320" w:lineRule="atLeast"/>
              <w:ind w:left="60" w:right="60"/>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Municípios</w:t>
            </w:r>
            <w:proofErr w:type="spellEnd"/>
            <w:r>
              <w:rPr>
                <w:rFonts w:asciiTheme="majorBidi" w:hAnsiTheme="majorBidi" w:cstheme="majorBidi"/>
                <w:color w:val="000000"/>
                <w:sz w:val="22"/>
                <w:lang w:val="en-US"/>
              </w:rPr>
              <w:t xml:space="preserve"> </w:t>
            </w:r>
            <w:proofErr w:type="spellStart"/>
            <w:r>
              <w:rPr>
                <w:rFonts w:asciiTheme="majorBidi" w:hAnsiTheme="majorBidi" w:cstheme="majorBidi"/>
                <w:color w:val="000000"/>
                <w:sz w:val="22"/>
                <w:lang w:val="en-US"/>
              </w:rPr>
              <w:t>mais</w:t>
            </w:r>
            <w:proofErr w:type="spellEnd"/>
            <w:r>
              <w:rPr>
                <w:rFonts w:asciiTheme="majorBidi" w:hAnsiTheme="majorBidi" w:cstheme="majorBidi"/>
                <w:color w:val="000000"/>
                <w:sz w:val="22"/>
                <w:lang w:val="en-US"/>
              </w:rPr>
              <w:t xml:space="preserve"> </w:t>
            </w:r>
            <w:proofErr w:type="spellStart"/>
            <w:r>
              <w:rPr>
                <w:rFonts w:asciiTheme="majorBidi" w:hAnsiTheme="majorBidi" w:cstheme="majorBidi"/>
                <w:color w:val="000000"/>
                <w:sz w:val="22"/>
                <w:lang w:val="en-US"/>
              </w:rPr>
              <w:t>endividados</w:t>
            </w:r>
            <w:proofErr w:type="spellEnd"/>
          </w:p>
        </w:tc>
        <w:tc>
          <w:tcPr>
            <w:tcW w:w="1030" w:type="dxa"/>
            <w:tcBorders>
              <w:top w:val="nil"/>
              <w:left w:val="nil"/>
              <w:bottom w:val="double" w:sz="6" w:space="0" w:color="000000"/>
              <w:right w:val="nil"/>
            </w:tcBorders>
            <w:shd w:val="clear" w:color="auto" w:fill="E7E6E6" w:themeFill="background2"/>
            <w:hideMark/>
          </w:tcPr>
          <w:p w14:paraId="1B36BC9A"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0,111</w:t>
            </w:r>
          </w:p>
        </w:tc>
        <w:tc>
          <w:tcPr>
            <w:tcW w:w="1024" w:type="dxa"/>
            <w:tcBorders>
              <w:top w:val="nil"/>
              <w:left w:val="nil"/>
              <w:bottom w:val="double" w:sz="6" w:space="0" w:color="000000"/>
              <w:right w:val="nil"/>
            </w:tcBorders>
            <w:shd w:val="clear" w:color="auto" w:fill="E7E6E6" w:themeFill="background2"/>
            <w:hideMark/>
          </w:tcPr>
          <w:p w14:paraId="1DEE0F3A"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395</w:t>
            </w:r>
          </w:p>
        </w:tc>
        <w:tc>
          <w:tcPr>
            <w:tcW w:w="1030" w:type="dxa"/>
            <w:gridSpan w:val="2"/>
            <w:tcBorders>
              <w:top w:val="nil"/>
              <w:left w:val="nil"/>
              <w:bottom w:val="double" w:sz="6" w:space="0" w:color="000000"/>
              <w:right w:val="nil"/>
            </w:tcBorders>
            <w:shd w:val="clear" w:color="auto" w:fill="E7E6E6" w:themeFill="background2"/>
            <w:hideMark/>
          </w:tcPr>
          <w:p w14:paraId="50CAEF26"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0,000</w:t>
            </w:r>
          </w:p>
        </w:tc>
      </w:tr>
      <w:tr w:rsidR="00AA47DC" w14:paraId="29D38135" w14:textId="77777777" w:rsidTr="00AA47DC">
        <w:trPr>
          <w:gridAfter w:val="1"/>
          <w:wAfter w:w="107" w:type="dxa"/>
          <w:cantSplit/>
          <w:jc w:val="center"/>
        </w:trPr>
        <w:tc>
          <w:tcPr>
            <w:tcW w:w="6946" w:type="dxa"/>
            <w:gridSpan w:val="4"/>
            <w:tcBorders>
              <w:top w:val="nil"/>
              <w:left w:val="nil"/>
              <w:bottom w:val="nil"/>
              <w:right w:val="nil"/>
            </w:tcBorders>
            <w:shd w:val="clear" w:color="auto" w:fill="FFFFFF"/>
            <w:hideMark/>
          </w:tcPr>
          <w:p w14:paraId="4452715B" w14:textId="77777777" w:rsidR="00AA47DC" w:rsidRPr="00AA47DC" w:rsidRDefault="00AA47DC">
            <w:pPr>
              <w:autoSpaceDE w:val="0"/>
              <w:autoSpaceDN w:val="0"/>
              <w:adjustRightInd w:val="0"/>
              <w:spacing w:after="0" w:line="320" w:lineRule="atLeast"/>
              <w:ind w:left="60" w:right="60"/>
              <w:rPr>
                <w:rFonts w:ascii="Arial" w:hAnsi="Arial" w:cs="Arial"/>
                <w:color w:val="000000"/>
                <w:sz w:val="18"/>
                <w:szCs w:val="18"/>
              </w:rPr>
            </w:pPr>
            <w:r w:rsidRPr="00AA47DC">
              <w:rPr>
                <w:rFonts w:asciiTheme="majorBidi" w:hAnsiTheme="majorBidi" w:cstheme="majorBidi"/>
                <w:color w:val="000000"/>
                <w:sz w:val="18"/>
                <w:szCs w:val="18"/>
              </w:rPr>
              <w:t xml:space="preserve">a. Correlação de Significância de </w:t>
            </w:r>
            <w:proofErr w:type="spellStart"/>
            <w:r w:rsidRPr="00AA47DC">
              <w:rPr>
                <w:rFonts w:asciiTheme="majorBidi" w:hAnsiTheme="majorBidi" w:cstheme="majorBidi"/>
                <w:color w:val="000000"/>
                <w:sz w:val="18"/>
                <w:szCs w:val="18"/>
              </w:rPr>
              <w:t>Lilliefors</w:t>
            </w:r>
            <w:proofErr w:type="spellEnd"/>
          </w:p>
        </w:tc>
      </w:tr>
    </w:tbl>
    <w:p w14:paraId="32109D3B" w14:textId="575B5FA4" w:rsidR="00AA47DC" w:rsidRDefault="00AA47DC" w:rsidP="00AA47DC">
      <w:pPr>
        <w:autoSpaceDE w:val="0"/>
        <w:autoSpaceDN w:val="0"/>
        <w:adjustRightInd w:val="0"/>
        <w:spacing w:after="0" w:line="240" w:lineRule="auto"/>
        <w:rPr>
          <w:rFonts w:cs="Times New Roman"/>
          <w:sz w:val="22"/>
        </w:rPr>
      </w:pPr>
    </w:p>
    <w:tbl>
      <w:tblPr>
        <w:tblW w:w="804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4962"/>
        <w:gridCol w:w="1030"/>
        <w:gridCol w:w="1024"/>
        <w:gridCol w:w="911"/>
        <w:gridCol w:w="119"/>
      </w:tblGrid>
      <w:tr w:rsidR="00137F6F" w14:paraId="54E046DB" w14:textId="77777777" w:rsidTr="00137F6F">
        <w:trPr>
          <w:gridAfter w:val="1"/>
          <w:wAfter w:w="119" w:type="dxa"/>
          <w:cantSplit/>
          <w:jc w:val="center"/>
        </w:trPr>
        <w:tc>
          <w:tcPr>
            <w:tcW w:w="7927" w:type="dxa"/>
            <w:gridSpan w:val="4"/>
            <w:tcBorders>
              <w:top w:val="nil"/>
              <w:left w:val="nil"/>
              <w:bottom w:val="nil"/>
              <w:right w:val="nil"/>
            </w:tcBorders>
            <w:shd w:val="clear" w:color="auto" w:fill="FFFFFF"/>
            <w:vAlign w:val="center"/>
            <w:hideMark/>
          </w:tcPr>
          <w:p w14:paraId="1A98040E" w14:textId="34335227" w:rsidR="00137F6F" w:rsidRPr="00AA47DC" w:rsidRDefault="00137F6F" w:rsidP="00F90B4A">
            <w:pPr>
              <w:autoSpaceDE w:val="0"/>
              <w:autoSpaceDN w:val="0"/>
              <w:adjustRightInd w:val="0"/>
              <w:spacing w:after="0" w:line="320" w:lineRule="atLeast"/>
              <w:ind w:left="60" w:right="60"/>
              <w:jc w:val="center"/>
              <w:rPr>
                <w:rFonts w:ascii="Arial" w:hAnsi="Arial" w:cs="Arial"/>
                <w:color w:val="000000"/>
                <w:sz w:val="18"/>
                <w:szCs w:val="18"/>
              </w:rPr>
            </w:pPr>
            <w:r w:rsidRPr="00AA47DC">
              <w:rPr>
                <w:rFonts w:asciiTheme="majorBidi" w:hAnsiTheme="majorBidi" w:cstheme="majorBidi"/>
                <w:b/>
                <w:bCs/>
                <w:color w:val="000000"/>
                <w:sz w:val="22"/>
              </w:rPr>
              <w:t xml:space="preserve">Testes de Normalidade </w:t>
            </w:r>
            <w:r w:rsidRPr="00AA47DC">
              <w:rPr>
                <w:rFonts w:asciiTheme="majorBidi" w:hAnsiTheme="majorBidi" w:cstheme="majorBidi"/>
                <w:color w:val="000000"/>
                <w:sz w:val="22"/>
              </w:rPr>
              <w:t>ITM por M</w:t>
            </w:r>
            <w:r>
              <w:rPr>
                <w:rFonts w:asciiTheme="majorBidi" w:hAnsiTheme="majorBidi" w:cstheme="majorBidi"/>
                <w:color w:val="000000"/>
                <w:sz w:val="22"/>
              </w:rPr>
              <w:t>DE</w:t>
            </w:r>
          </w:p>
        </w:tc>
      </w:tr>
      <w:tr w:rsidR="00137F6F" w14:paraId="3CB94F72" w14:textId="77777777" w:rsidTr="00137F6F">
        <w:trPr>
          <w:cantSplit/>
          <w:jc w:val="center"/>
        </w:trPr>
        <w:tc>
          <w:tcPr>
            <w:tcW w:w="4962" w:type="dxa"/>
            <w:vMerge w:val="restart"/>
            <w:tcBorders>
              <w:top w:val="double" w:sz="6" w:space="0" w:color="000000"/>
              <w:left w:val="nil"/>
              <w:bottom w:val="nil"/>
              <w:right w:val="nil"/>
            </w:tcBorders>
            <w:shd w:val="clear" w:color="auto" w:fill="E7E6E6" w:themeFill="background2"/>
            <w:vAlign w:val="bottom"/>
            <w:hideMark/>
          </w:tcPr>
          <w:p w14:paraId="3B0B1B1F" w14:textId="53E78B63" w:rsidR="00137F6F" w:rsidRDefault="00137F6F" w:rsidP="00F90B4A">
            <w:pPr>
              <w:autoSpaceDE w:val="0"/>
              <w:autoSpaceDN w:val="0"/>
              <w:adjustRightInd w:val="0"/>
              <w:spacing w:after="0" w:line="320" w:lineRule="atLeast"/>
              <w:ind w:left="60" w:right="60"/>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Despesa</w:t>
            </w:r>
            <w:proofErr w:type="spellEnd"/>
            <w:r>
              <w:rPr>
                <w:rFonts w:asciiTheme="majorBidi" w:hAnsiTheme="majorBidi" w:cstheme="majorBidi"/>
                <w:color w:val="000000"/>
                <w:sz w:val="22"/>
                <w:lang w:val="en-US"/>
              </w:rPr>
              <w:t xml:space="preserve"> </w:t>
            </w:r>
            <w:proofErr w:type="spellStart"/>
            <w:r>
              <w:rPr>
                <w:rFonts w:asciiTheme="majorBidi" w:hAnsiTheme="majorBidi" w:cstheme="majorBidi"/>
                <w:color w:val="000000"/>
                <w:sz w:val="22"/>
                <w:lang w:val="en-US"/>
              </w:rPr>
              <w:t>efetiva</w:t>
            </w:r>
            <w:proofErr w:type="spellEnd"/>
            <w:r>
              <w:rPr>
                <w:rFonts w:asciiTheme="majorBidi" w:hAnsiTheme="majorBidi" w:cstheme="majorBidi"/>
                <w:color w:val="000000"/>
                <w:sz w:val="22"/>
                <w:lang w:val="en-US"/>
              </w:rPr>
              <w:t xml:space="preserve"> </w:t>
            </w:r>
            <w:r w:rsidRPr="00137F6F">
              <w:rPr>
                <w:rFonts w:asciiTheme="majorBidi" w:hAnsiTheme="majorBidi" w:cstheme="majorBidi"/>
                <w:i/>
                <w:iCs/>
                <w:color w:val="000000"/>
                <w:sz w:val="22"/>
                <w:lang w:val="en-US"/>
              </w:rPr>
              <w:t>per capita</w:t>
            </w:r>
          </w:p>
        </w:tc>
        <w:tc>
          <w:tcPr>
            <w:tcW w:w="3084" w:type="dxa"/>
            <w:gridSpan w:val="4"/>
            <w:tcBorders>
              <w:top w:val="double" w:sz="6" w:space="0" w:color="000000"/>
              <w:left w:val="nil"/>
              <w:bottom w:val="single" w:sz="8" w:space="0" w:color="000000"/>
              <w:right w:val="nil"/>
            </w:tcBorders>
            <w:shd w:val="clear" w:color="auto" w:fill="E7E6E6" w:themeFill="background2"/>
            <w:vAlign w:val="bottom"/>
            <w:hideMark/>
          </w:tcPr>
          <w:p w14:paraId="341C4CC1" w14:textId="77777777" w:rsidR="00137F6F" w:rsidRDefault="00137F6F" w:rsidP="00F90B4A">
            <w:pPr>
              <w:autoSpaceDE w:val="0"/>
              <w:autoSpaceDN w:val="0"/>
              <w:adjustRightInd w:val="0"/>
              <w:spacing w:after="0" w:line="320" w:lineRule="atLeast"/>
              <w:ind w:left="60" w:right="60"/>
              <w:jc w:val="center"/>
              <w:rPr>
                <w:rFonts w:asciiTheme="majorBidi" w:hAnsiTheme="majorBidi" w:cstheme="majorBidi"/>
                <w:color w:val="000000"/>
                <w:sz w:val="22"/>
                <w:lang w:val="en-US"/>
              </w:rPr>
            </w:pPr>
            <w:r>
              <w:rPr>
                <w:rFonts w:asciiTheme="majorBidi" w:hAnsiTheme="majorBidi" w:cstheme="majorBidi"/>
                <w:color w:val="000000"/>
                <w:sz w:val="22"/>
                <w:lang w:val="en-US"/>
              </w:rPr>
              <w:t>Kolmogorov-Smirnov</w:t>
            </w:r>
            <w:r>
              <w:rPr>
                <w:rFonts w:asciiTheme="majorBidi" w:hAnsiTheme="majorBidi" w:cstheme="majorBidi"/>
                <w:color w:val="000000"/>
                <w:sz w:val="22"/>
                <w:vertAlign w:val="superscript"/>
                <w:lang w:val="en-US"/>
              </w:rPr>
              <w:t>a</w:t>
            </w:r>
          </w:p>
        </w:tc>
      </w:tr>
      <w:tr w:rsidR="00137F6F" w14:paraId="66184601" w14:textId="77777777" w:rsidTr="00137F6F">
        <w:trPr>
          <w:cantSplit/>
          <w:jc w:val="center"/>
        </w:trPr>
        <w:tc>
          <w:tcPr>
            <w:tcW w:w="4962" w:type="dxa"/>
            <w:vMerge/>
            <w:tcBorders>
              <w:top w:val="double" w:sz="6" w:space="0" w:color="000000"/>
              <w:left w:val="nil"/>
              <w:bottom w:val="single" w:sz="4" w:space="0" w:color="auto"/>
              <w:right w:val="nil"/>
            </w:tcBorders>
            <w:shd w:val="clear" w:color="auto" w:fill="E7E6E6" w:themeFill="background2"/>
            <w:vAlign w:val="center"/>
            <w:hideMark/>
          </w:tcPr>
          <w:p w14:paraId="2C299F42" w14:textId="77777777" w:rsidR="00137F6F" w:rsidRDefault="00137F6F" w:rsidP="00F90B4A">
            <w:pPr>
              <w:spacing w:after="0"/>
              <w:rPr>
                <w:rFonts w:asciiTheme="majorBidi" w:hAnsiTheme="majorBidi" w:cstheme="majorBidi"/>
                <w:color w:val="000000"/>
                <w:sz w:val="22"/>
                <w:lang w:val="en-US"/>
              </w:rPr>
            </w:pPr>
          </w:p>
        </w:tc>
        <w:tc>
          <w:tcPr>
            <w:tcW w:w="1030" w:type="dxa"/>
            <w:tcBorders>
              <w:top w:val="single" w:sz="8" w:space="0" w:color="000000"/>
              <w:left w:val="nil"/>
              <w:bottom w:val="single" w:sz="4" w:space="0" w:color="auto"/>
              <w:right w:val="nil"/>
            </w:tcBorders>
            <w:shd w:val="clear" w:color="auto" w:fill="E7E6E6" w:themeFill="background2"/>
            <w:hideMark/>
          </w:tcPr>
          <w:p w14:paraId="53CF6E75" w14:textId="77777777" w:rsidR="00137F6F" w:rsidRDefault="00137F6F" w:rsidP="00F90B4A">
            <w:pPr>
              <w:autoSpaceDE w:val="0"/>
              <w:autoSpaceDN w:val="0"/>
              <w:adjustRightInd w:val="0"/>
              <w:spacing w:after="0" w:line="320" w:lineRule="atLeast"/>
              <w:ind w:left="60" w:right="60"/>
              <w:jc w:val="center"/>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Estatística</w:t>
            </w:r>
            <w:proofErr w:type="spellEnd"/>
          </w:p>
        </w:tc>
        <w:tc>
          <w:tcPr>
            <w:tcW w:w="1024" w:type="dxa"/>
            <w:tcBorders>
              <w:top w:val="single" w:sz="8" w:space="0" w:color="000000"/>
              <w:left w:val="nil"/>
              <w:bottom w:val="single" w:sz="4" w:space="0" w:color="auto"/>
              <w:right w:val="nil"/>
            </w:tcBorders>
            <w:shd w:val="clear" w:color="auto" w:fill="E7E6E6" w:themeFill="background2"/>
            <w:hideMark/>
          </w:tcPr>
          <w:p w14:paraId="57CD6348" w14:textId="77777777" w:rsidR="00137F6F" w:rsidRDefault="00137F6F" w:rsidP="00F90B4A">
            <w:pPr>
              <w:autoSpaceDE w:val="0"/>
              <w:autoSpaceDN w:val="0"/>
              <w:adjustRightInd w:val="0"/>
              <w:spacing w:after="0" w:line="320" w:lineRule="atLeast"/>
              <w:ind w:left="60" w:right="60"/>
              <w:jc w:val="center"/>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gl</w:t>
            </w:r>
            <w:proofErr w:type="spellEnd"/>
          </w:p>
        </w:tc>
        <w:tc>
          <w:tcPr>
            <w:tcW w:w="1030" w:type="dxa"/>
            <w:gridSpan w:val="2"/>
            <w:tcBorders>
              <w:top w:val="single" w:sz="8" w:space="0" w:color="000000"/>
              <w:left w:val="nil"/>
              <w:bottom w:val="single" w:sz="4" w:space="0" w:color="auto"/>
              <w:right w:val="nil"/>
            </w:tcBorders>
            <w:shd w:val="clear" w:color="auto" w:fill="E7E6E6" w:themeFill="background2"/>
            <w:hideMark/>
          </w:tcPr>
          <w:p w14:paraId="7D66A6C1" w14:textId="77777777" w:rsidR="00137F6F" w:rsidRDefault="00137F6F" w:rsidP="00F90B4A">
            <w:pPr>
              <w:autoSpaceDE w:val="0"/>
              <w:autoSpaceDN w:val="0"/>
              <w:adjustRightInd w:val="0"/>
              <w:spacing w:after="0" w:line="320" w:lineRule="atLeast"/>
              <w:ind w:left="60" w:right="60"/>
              <w:jc w:val="center"/>
              <w:rPr>
                <w:rFonts w:asciiTheme="majorBidi" w:hAnsiTheme="majorBidi" w:cstheme="majorBidi"/>
                <w:color w:val="000000"/>
                <w:sz w:val="22"/>
                <w:lang w:val="en-US"/>
              </w:rPr>
            </w:pPr>
            <w:r>
              <w:rPr>
                <w:rFonts w:asciiTheme="majorBidi" w:hAnsiTheme="majorBidi" w:cstheme="majorBidi"/>
                <w:color w:val="000000"/>
                <w:sz w:val="22"/>
                <w:lang w:val="en-US"/>
              </w:rPr>
              <w:t>Sig.</w:t>
            </w:r>
          </w:p>
        </w:tc>
      </w:tr>
      <w:tr w:rsidR="00137F6F" w14:paraId="059D0AC5" w14:textId="77777777" w:rsidTr="00137F6F">
        <w:trPr>
          <w:cantSplit/>
          <w:jc w:val="center"/>
        </w:trPr>
        <w:tc>
          <w:tcPr>
            <w:tcW w:w="4962" w:type="dxa"/>
            <w:tcBorders>
              <w:top w:val="single" w:sz="4" w:space="0" w:color="auto"/>
              <w:left w:val="nil"/>
              <w:bottom w:val="nil"/>
              <w:right w:val="nil"/>
            </w:tcBorders>
            <w:shd w:val="clear" w:color="auto" w:fill="FFFFFF"/>
            <w:hideMark/>
          </w:tcPr>
          <w:p w14:paraId="4C4272FF" w14:textId="63450676" w:rsidR="00137F6F" w:rsidRPr="00137F6F" w:rsidRDefault="00137F6F" w:rsidP="00137F6F">
            <w:pPr>
              <w:autoSpaceDE w:val="0"/>
              <w:autoSpaceDN w:val="0"/>
              <w:adjustRightInd w:val="0"/>
              <w:spacing w:after="0" w:line="320" w:lineRule="atLeast"/>
              <w:ind w:left="60" w:right="60"/>
              <w:rPr>
                <w:rFonts w:asciiTheme="majorBidi" w:hAnsiTheme="majorBidi" w:cstheme="majorBidi"/>
                <w:color w:val="000000"/>
                <w:sz w:val="22"/>
              </w:rPr>
            </w:pPr>
            <w:r w:rsidRPr="00137F6F">
              <w:rPr>
                <w:rFonts w:asciiTheme="majorBidi" w:hAnsiTheme="majorBidi" w:cstheme="majorBidi"/>
                <w:color w:val="000000"/>
                <w:sz w:val="22"/>
              </w:rPr>
              <w:t xml:space="preserve">Municípios com despesas efetivas </w:t>
            </w:r>
            <w:r w:rsidRPr="00137F6F">
              <w:rPr>
                <w:rFonts w:asciiTheme="majorBidi" w:hAnsiTheme="majorBidi" w:cstheme="majorBidi"/>
                <w:i/>
                <w:iCs/>
                <w:color w:val="000000"/>
                <w:sz w:val="22"/>
              </w:rPr>
              <w:t>per capita</w:t>
            </w:r>
            <w:r w:rsidRPr="00137F6F">
              <w:rPr>
                <w:rFonts w:asciiTheme="majorBidi" w:hAnsiTheme="majorBidi" w:cstheme="majorBidi"/>
                <w:color w:val="000000"/>
                <w:sz w:val="22"/>
              </w:rPr>
              <w:t xml:space="preserve"> </w:t>
            </w:r>
            <w:r>
              <w:rPr>
                <w:rFonts w:asciiTheme="majorBidi" w:hAnsiTheme="majorBidi" w:cstheme="majorBidi"/>
                <w:color w:val="000000"/>
                <w:sz w:val="22"/>
              </w:rPr>
              <w:t>baixas</w:t>
            </w:r>
          </w:p>
        </w:tc>
        <w:tc>
          <w:tcPr>
            <w:tcW w:w="1030" w:type="dxa"/>
            <w:tcBorders>
              <w:top w:val="single" w:sz="4" w:space="0" w:color="auto"/>
              <w:left w:val="nil"/>
              <w:bottom w:val="nil"/>
              <w:right w:val="nil"/>
            </w:tcBorders>
            <w:shd w:val="clear" w:color="auto" w:fill="FFFFFF"/>
            <w:hideMark/>
          </w:tcPr>
          <w:p w14:paraId="2C428A4A" w14:textId="5F3D7515" w:rsidR="00137F6F" w:rsidRDefault="00137F6F" w:rsidP="00137F6F">
            <w:pPr>
              <w:autoSpaceDE w:val="0"/>
              <w:autoSpaceDN w:val="0"/>
              <w:adjustRightInd w:val="0"/>
              <w:spacing w:after="0" w:line="320" w:lineRule="atLeast"/>
              <w:ind w:left="60" w:right="60"/>
              <w:jc w:val="right"/>
              <w:rPr>
                <w:rFonts w:asciiTheme="majorBidi" w:hAnsiTheme="majorBidi" w:cstheme="majorBidi"/>
                <w:color w:val="000000"/>
                <w:sz w:val="22"/>
                <w:lang w:val="en-US"/>
              </w:rPr>
            </w:pPr>
            <w:r w:rsidRPr="00137F6F">
              <w:rPr>
                <w:rFonts w:asciiTheme="majorBidi" w:hAnsiTheme="majorBidi" w:cstheme="majorBidi"/>
                <w:color w:val="000000"/>
                <w:sz w:val="22"/>
                <w:lang w:val="en-US"/>
              </w:rPr>
              <w:t>0,099</w:t>
            </w:r>
          </w:p>
        </w:tc>
        <w:tc>
          <w:tcPr>
            <w:tcW w:w="1024" w:type="dxa"/>
            <w:tcBorders>
              <w:top w:val="single" w:sz="4" w:space="0" w:color="auto"/>
              <w:left w:val="nil"/>
              <w:bottom w:val="nil"/>
              <w:right w:val="nil"/>
            </w:tcBorders>
            <w:shd w:val="clear" w:color="auto" w:fill="FFFFFF"/>
            <w:hideMark/>
          </w:tcPr>
          <w:p w14:paraId="0FBFF0B5" w14:textId="0A65910D" w:rsidR="00137F6F" w:rsidRDefault="00137F6F" w:rsidP="00137F6F">
            <w:pPr>
              <w:autoSpaceDE w:val="0"/>
              <w:autoSpaceDN w:val="0"/>
              <w:adjustRightInd w:val="0"/>
              <w:spacing w:after="0" w:line="320" w:lineRule="atLeast"/>
              <w:ind w:left="60" w:right="60"/>
              <w:jc w:val="right"/>
              <w:rPr>
                <w:rFonts w:asciiTheme="majorBidi" w:hAnsiTheme="majorBidi" w:cstheme="majorBidi"/>
                <w:color w:val="000000"/>
                <w:sz w:val="22"/>
                <w:lang w:val="en-US"/>
              </w:rPr>
            </w:pPr>
            <w:r w:rsidRPr="00137F6F">
              <w:rPr>
                <w:rFonts w:asciiTheme="majorBidi" w:hAnsiTheme="majorBidi" w:cstheme="majorBidi"/>
                <w:color w:val="000000"/>
                <w:sz w:val="22"/>
                <w:lang w:val="en-US"/>
              </w:rPr>
              <w:t>924</w:t>
            </w:r>
          </w:p>
        </w:tc>
        <w:tc>
          <w:tcPr>
            <w:tcW w:w="1030" w:type="dxa"/>
            <w:gridSpan w:val="2"/>
            <w:tcBorders>
              <w:top w:val="single" w:sz="4" w:space="0" w:color="auto"/>
              <w:left w:val="nil"/>
              <w:bottom w:val="nil"/>
              <w:right w:val="nil"/>
            </w:tcBorders>
            <w:shd w:val="clear" w:color="auto" w:fill="FFFFFF"/>
            <w:hideMark/>
          </w:tcPr>
          <w:p w14:paraId="51820F98" w14:textId="73B95BF6" w:rsidR="00137F6F" w:rsidRDefault="00137F6F" w:rsidP="00137F6F">
            <w:pPr>
              <w:autoSpaceDE w:val="0"/>
              <w:autoSpaceDN w:val="0"/>
              <w:adjustRightInd w:val="0"/>
              <w:spacing w:after="0" w:line="320" w:lineRule="atLeast"/>
              <w:ind w:left="60" w:right="60"/>
              <w:jc w:val="right"/>
              <w:rPr>
                <w:rFonts w:asciiTheme="majorBidi" w:hAnsiTheme="majorBidi" w:cstheme="majorBidi"/>
                <w:color w:val="000000"/>
                <w:sz w:val="22"/>
                <w:lang w:val="en-US"/>
              </w:rPr>
            </w:pPr>
            <w:r w:rsidRPr="00137F6F">
              <w:rPr>
                <w:rFonts w:asciiTheme="majorBidi" w:hAnsiTheme="majorBidi" w:cstheme="majorBidi"/>
                <w:color w:val="000000"/>
                <w:sz w:val="22"/>
                <w:lang w:val="en-US"/>
              </w:rPr>
              <w:t>,000</w:t>
            </w:r>
          </w:p>
        </w:tc>
      </w:tr>
      <w:tr w:rsidR="00137F6F" w14:paraId="38728C62" w14:textId="77777777" w:rsidTr="00137F6F">
        <w:trPr>
          <w:cantSplit/>
          <w:jc w:val="center"/>
        </w:trPr>
        <w:tc>
          <w:tcPr>
            <w:tcW w:w="4962" w:type="dxa"/>
            <w:tcBorders>
              <w:top w:val="nil"/>
              <w:left w:val="nil"/>
              <w:bottom w:val="double" w:sz="6" w:space="0" w:color="000000"/>
              <w:right w:val="nil"/>
            </w:tcBorders>
            <w:shd w:val="clear" w:color="auto" w:fill="E7E6E6" w:themeFill="background2"/>
            <w:hideMark/>
          </w:tcPr>
          <w:p w14:paraId="74B2E528" w14:textId="43E7ED1D" w:rsidR="00137F6F" w:rsidRPr="00137F6F" w:rsidRDefault="00137F6F" w:rsidP="00137F6F">
            <w:pPr>
              <w:autoSpaceDE w:val="0"/>
              <w:autoSpaceDN w:val="0"/>
              <w:adjustRightInd w:val="0"/>
              <w:spacing w:after="0" w:line="320" w:lineRule="atLeast"/>
              <w:ind w:left="60" w:right="60"/>
              <w:rPr>
                <w:rFonts w:asciiTheme="majorBidi" w:hAnsiTheme="majorBidi" w:cstheme="majorBidi"/>
                <w:color w:val="000000"/>
                <w:sz w:val="22"/>
              </w:rPr>
            </w:pPr>
            <w:r w:rsidRPr="00137F6F">
              <w:rPr>
                <w:rFonts w:asciiTheme="majorBidi" w:hAnsiTheme="majorBidi" w:cstheme="majorBidi"/>
                <w:color w:val="000000"/>
                <w:sz w:val="22"/>
              </w:rPr>
              <w:t xml:space="preserve">Municípios com despesas efetivas </w:t>
            </w:r>
            <w:r w:rsidRPr="00137F6F">
              <w:rPr>
                <w:rFonts w:asciiTheme="majorBidi" w:hAnsiTheme="majorBidi" w:cstheme="majorBidi"/>
                <w:i/>
                <w:iCs/>
                <w:color w:val="000000"/>
                <w:sz w:val="22"/>
              </w:rPr>
              <w:t>per capita</w:t>
            </w:r>
            <w:r w:rsidRPr="00137F6F">
              <w:rPr>
                <w:rFonts w:asciiTheme="majorBidi" w:hAnsiTheme="majorBidi" w:cstheme="majorBidi"/>
                <w:color w:val="000000"/>
                <w:sz w:val="22"/>
              </w:rPr>
              <w:t xml:space="preserve"> </w:t>
            </w:r>
            <w:r>
              <w:rPr>
                <w:rFonts w:asciiTheme="majorBidi" w:hAnsiTheme="majorBidi" w:cstheme="majorBidi"/>
                <w:color w:val="000000"/>
                <w:sz w:val="22"/>
              </w:rPr>
              <w:t>elevadas</w:t>
            </w:r>
          </w:p>
        </w:tc>
        <w:tc>
          <w:tcPr>
            <w:tcW w:w="1030" w:type="dxa"/>
            <w:tcBorders>
              <w:top w:val="nil"/>
              <w:left w:val="nil"/>
              <w:bottom w:val="double" w:sz="6" w:space="0" w:color="000000"/>
              <w:right w:val="nil"/>
            </w:tcBorders>
            <w:shd w:val="clear" w:color="auto" w:fill="E7E6E6" w:themeFill="background2"/>
            <w:hideMark/>
          </w:tcPr>
          <w:p w14:paraId="0E0E1536" w14:textId="53C17E72" w:rsidR="00137F6F" w:rsidRDefault="00137F6F" w:rsidP="00137F6F">
            <w:pPr>
              <w:autoSpaceDE w:val="0"/>
              <w:autoSpaceDN w:val="0"/>
              <w:adjustRightInd w:val="0"/>
              <w:spacing w:after="0" w:line="320" w:lineRule="atLeast"/>
              <w:ind w:left="60" w:right="60"/>
              <w:jc w:val="right"/>
              <w:rPr>
                <w:rFonts w:asciiTheme="majorBidi" w:hAnsiTheme="majorBidi" w:cstheme="majorBidi"/>
                <w:color w:val="000000"/>
                <w:sz w:val="22"/>
                <w:lang w:val="en-US"/>
              </w:rPr>
            </w:pPr>
            <w:r w:rsidRPr="00137F6F">
              <w:rPr>
                <w:rFonts w:asciiTheme="majorBidi" w:hAnsiTheme="majorBidi" w:cstheme="majorBidi"/>
                <w:color w:val="000000"/>
                <w:sz w:val="22"/>
                <w:lang w:val="en-US"/>
              </w:rPr>
              <w:t>0,114</w:t>
            </w:r>
          </w:p>
        </w:tc>
        <w:tc>
          <w:tcPr>
            <w:tcW w:w="1024" w:type="dxa"/>
            <w:tcBorders>
              <w:top w:val="nil"/>
              <w:left w:val="nil"/>
              <w:bottom w:val="double" w:sz="6" w:space="0" w:color="000000"/>
              <w:right w:val="nil"/>
            </w:tcBorders>
            <w:shd w:val="clear" w:color="auto" w:fill="E7E6E6" w:themeFill="background2"/>
            <w:hideMark/>
          </w:tcPr>
          <w:p w14:paraId="4D507ED3" w14:textId="149A546C" w:rsidR="00137F6F" w:rsidRDefault="00137F6F" w:rsidP="00137F6F">
            <w:pPr>
              <w:autoSpaceDE w:val="0"/>
              <w:autoSpaceDN w:val="0"/>
              <w:adjustRightInd w:val="0"/>
              <w:spacing w:after="0" w:line="320" w:lineRule="atLeast"/>
              <w:ind w:left="60" w:right="60"/>
              <w:jc w:val="right"/>
              <w:rPr>
                <w:rFonts w:asciiTheme="majorBidi" w:hAnsiTheme="majorBidi" w:cstheme="majorBidi"/>
                <w:color w:val="000000"/>
                <w:sz w:val="22"/>
                <w:lang w:val="en-US"/>
              </w:rPr>
            </w:pPr>
            <w:r w:rsidRPr="00137F6F">
              <w:rPr>
                <w:rFonts w:asciiTheme="majorBidi" w:hAnsiTheme="majorBidi" w:cstheme="majorBidi"/>
                <w:color w:val="000000"/>
                <w:sz w:val="22"/>
                <w:lang w:val="en-US"/>
              </w:rPr>
              <w:t>616</w:t>
            </w:r>
          </w:p>
        </w:tc>
        <w:tc>
          <w:tcPr>
            <w:tcW w:w="1030" w:type="dxa"/>
            <w:gridSpan w:val="2"/>
            <w:tcBorders>
              <w:top w:val="nil"/>
              <w:left w:val="nil"/>
              <w:bottom w:val="double" w:sz="6" w:space="0" w:color="000000"/>
              <w:right w:val="nil"/>
            </w:tcBorders>
            <w:shd w:val="clear" w:color="auto" w:fill="E7E6E6" w:themeFill="background2"/>
            <w:hideMark/>
          </w:tcPr>
          <w:p w14:paraId="241E4610" w14:textId="077644E3" w:rsidR="00137F6F" w:rsidRDefault="00137F6F" w:rsidP="00137F6F">
            <w:pPr>
              <w:autoSpaceDE w:val="0"/>
              <w:autoSpaceDN w:val="0"/>
              <w:adjustRightInd w:val="0"/>
              <w:spacing w:after="0" w:line="320" w:lineRule="atLeast"/>
              <w:ind w:left="60" w:right="60"/>
              <w:jc w:val="right"/>
              <w:rPr>
                <w:rFonts w:asciiTheme="majorBidi" w:hAnsiTheme="majorBidi" w:cstheme="majorBidi"/>
                <w:color w:val="000000"/>
                <w:sz w:val="22"/>
                <w:lang w:val="en-US"/>
              </w:rPr>
            </w:pPr>
            <w:r w:rsidRPr="00137F6F">
              <w:rPr>
                <w:rFonts w:asciiTheme="majorBidi" w:hAnsiTheme="majorBidi" w:cstheme="majorBidi"/>
                <w:color w:val="000000"/>
                <w:sz w:val="22"/>
                <w:lang w:val="en-US"/>
              </w:rPr>
              <w:t>,000</w:t>
            </w:r>
          </w:p>
        </w:tc>
      </w:tr>
      <w:tr w:rsidR="00137F6F" w14:paraId="628C888A" w14:textId="77777777" w:rsidTr="00137F6F">
        <w:trPr>
          <w:gridAfter w:val="1"/>
          <w:wAfter w:w="119" w:type="dxa"/>
          <w:cantSplit/>
          <w:jc w:val="center"/>
        </w:trPr>
        <w:tc>
          <w:tcPr>
            <w:tcW w:w="7927" w:type="dxa"/>
            <w:gridSpan w:val="4"/>
            <w:tcBorders>
              <w:top w:val="nil"/>
              <w:left w:val="nil"/>
              <w:bottom w:val="nil"/>
              <w:right w:val="nil"/>
            </w:tcBorders>
            <w:shd w:val="clear" w:color="auto" w:fill="FFFFFF"/>
            <w:hideMark/>
          </w:tcPr>
          <w:p w14:paraId="1D806AC3" w14:textId="77777777" w:rsidR="00137F6F" w:rsidRPr="00AA47DC" w:rsidRDefault="00137F6F" w:rsidP="00F90B4A">
            <w:pPr>
              <w:autoSpaceDE w:val="0"/>
              <w:autoSpaceDN w:val="0"/>
              <w:adjustRightInd w:val="0"/>
              <w:spacing w:after="0" w:line="320" w:lineRule="atLeast"/>
              <w:ind w:left="60" w:right="60"/>
              <w:rPr>
                <w:rFonts w:ascii="Arial" w:hAnsi="Arial" w:cs="Arial"/>
                <w:color w:val="000000"/>
                <w:sz w:val="18"/>
                <w:szCs w:val="18"/>
              </w:rPr>
            </w:pPr>
            <w:r w:rsidRPr="00AA47DC">
              <w:rPr>
                <w:rFonts w:asciiTheme="majorBidi" w:hAnsiTheme="majorBidi" w:cstheme="majorBidi"/>
                <w:color w:val="000000"/>
                <w:sz w:val="18"/>
                <w:szCs w:val="18"/>
              </w:rPr>
              <w:t xml:space="preserve">a. Correlação de Significância de </w:t>
            </w:r>
            <w:proofErr w:type="spellStart"/>
            <w:r w:rsidRPr="00AA47DC">
              <w:rPr>
                <w:rFonts w:asciiTheme="majorBidi" w:hAnsiTheme="majorBidi" w:cstheme="majorBidi"/>
                <w:color w:val="000000"/>
                <w:sz w:val="18"/>
                <w:szCs w:val="18"/>
              </w:rPr>
              <w:t>Lilliefors</w:t>
            </w:r>
            <w:proofErr w:type="spellEnd"/>
          </w:p>
        </w:tc>
      </w:tr>
    </w:tbl>
    <w:p w14:paraId="791872BC" w14:textId="6077BA00" w:rsidR="00137F6F" w:rsidRDefault="00137F6F" w:rsidP="00AA47DC">
      <w:pPr>
        <w:autoSpaceDE w:val="0"/>
        <w:autoSpaceDN w:val="0"/>
        <w:adjustRightInd w:val="0"/>
        <w:spacing w:after="0" w:line="240" w:lineRule="auto"/>
        <w:rPr>
          <w:rFonts w:cs="Times New Roman"/>
          <w:sz w:val="22"/>
        </w:rPr>
      </w:pPr>
    </w:p>
    <w:p w14:paraId="6C276F6F" w14:textId="3FEAE292" w:rsidR="002079A9" w:rsidRDefault="002079A9" w:rsidP="00AA47DC">
      <w:pPr>
        <w:autoSpaceDE w:val="0"/>
        <w:autoSpaceDN w:val="0"/>
        <w:adjustRightInd w:val="0"/>
        <w:spacing w:after="0" w:line="240" w:lineRule="auto"/>
        <w:rPr>
          <w:rFonts w:cs="Times New Roman"/>
          <w:sz w:val="22"/>
        </w:rPr>
      </w:pPr>
    </w:p>
    <w:p w14:paraId="3102CE96" w14:textId="53BC1846" w:rsidR="002079A9" w:rsidRDefault="002079A9" w:rsidP="00AA47DC">
      <w:pPr>
        <w:autoSpaceDE w:val="0"/>
        <w:autoSpaceDN w:val="0"/>
        <w:adjustRightInd w:val="0"/>
        <w:spacing w:after="0" w:line="240" w:lineRule="auto"/>
        <w:rPr>
          <w:rFonts w:cs="Times New Roman"/>
          <w:sz w:val="22"/>
        </w:rPr>
      </w:pPr>
    </w:p>
    <w:p w14:paraId="71FC0FB7" w14:textId="6DF3DAF6" w:rsidR="002079A9" w:rsidRDefault="002079A9" w:rsidP="00AA47DC">
      <w:pPr>
        <w:autoSpaceDE w:val="0"/>
        <w:autoSpaceDN w:val="0"/>
        <w:adjustRightInd w:val="0"/>
        <w:spacing w:after="0" w:line="240" w:lineRule="auto"/>
        <w:rPr>
          <w:rFonts w:cs="Times New Roman"/>
          <w:sz w:val="22"/>
        </w:rPr>
      </w:pPr>
    </w:p>
    <w:p w14:paraId="4429751D" w14:textId="77777777" w:rsidR="002079A9" w:rsidRDefault="002079A9" w:rsidP="00AA47DC">
      <w:pPr>
        <w:autoSpaceDE w:val="0"/>
        <w:autoSpaceDN w:val="0"/>
        <w:adjustRightInd w:val="0"/>
        <w:spacing w:after="0" w:line="240" w:lineRule="auto"/>
        <w:rPr>
          <w:rFonts w:cs="Times New Roman"/>
          <w:sz w:val="22"/>
        </w:rPr>
      </w:pPr>
    </w:p>
    <w:tbl>
      <w:tblPr>
        <w:tblW w:w="705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3966"/>
        <w:gridCol w:w="1030"/>
        <w:gridCol w:w="1024"/>
        <w:gridCol w:w="923"/>
        <w:gridCol w:w="107"/>
      </w:tblGrid>
      <w:tr w:rsidR="00AA47DC" w14:paraId="5D084592" w14:textId="77777777" w:rsidTr="00AA47DC">
        <w:trPr>
          <w:gridAfter w:val="1"/>
          <w:wAfter w:w="107" w:type="dxa"/>
          <w:cantSplit/>
          <w:jc w:val="center"/>
        </w:trPr>
        <w:tc>
          <w:tcPr>
            <w:tcW w:w="6946" w:type="dxa"/>
            <w:gridSpan w:val="4"/>
            <w:tcBorders>
              <w:top w:val="nil"/>
              <w:left w:val="nil"/>
              <w:bottom w:val="nil"/>
              <w:right w:val="nil"/>
            </w:tcBorders>
            <w:shd w:val="clear" w:color="auto" w:fill="FFFFFF"/>
            <w:vAlign w:val="center"/>
            <w:hideMark/>
          </w:tcPr>
          <w:p w14:paraId="426CA525" w14:textId="77777777" w:rsidR="00AA47DC" w:rsidRPr="00AA47DC" w:rsidRDefault="00AA47DC">
            <w:pPr>
              <w:autoSpaceDE w:val="0"/>
              <w:autoSpaceDN w:val="0"/>
              <w:adjustRightInd w:val="0"/>
              <w:spacing w:after="0" w:line="320" w:lineRule="atLeast"/>
              <w:ind w:left="60" w:right="60"/>
              <w:jc w:val="center"/>
              <w:rPr>
                <w:rFonts w:ascii="Arial" w:hAnsi="Arial" w:cs="Arial"/>
                <w:color w:val="000000"/>
                <w:sz w:val="18"/>
                <w:szCs w:val="18"/>
              </w:rPr>
            </w:pPr>
            <w:r w:rsidRPr="00AA47DC">
              <w:rPr>
                <w:rFonts w:asciiTheme="majorBidi" w:hAnsiTheme="majorBidi" w:cstheme="majorBidi"/>
                <w:b/>
                <w:bCs/>
                <w:color w:val="000000"/>
                <w:sz w:val="22"/>
              </w:rPr>
              <w:lastRenderedPageBreak/>
              <w:t xml:space="preserve">Testes de Normalidade </w:t>
            </w:r>
            <w:r w:rsidRPr="00AA47DC">
              <w:rPr>
                <w:rFonts w:asciiTheme="majorBidi" w:hAnsiTheme="majorBidi" w:cstheme="majorBidi"/>
                <w:color w:val="000000"/>
                <w:sz w:val="22"/>
              </w:rPr>
              <w:t xml:space="preserve">ITM por </w:t>
            </w:r>
            <w:proofErr w:type="spellStart"/>
            <w:r w:rsidRPr="00AA47DC">
              <w:rPr>
                <w:rFonts w:asciiTheme="majorBidi" w:hAnsiTheme="majorBidi" w:cstheme="majorBidi"/>
                <w:color w:val="000000"/>
                <w:sz w:val="22"/>
              </w:rPr>
              <w:t>MTxD</w:t>
            </w:r>
            <w:proofErr w:type="spellEnd"/>
          </w:p>
        </w:tc>
      </w:tr>
      <w:tr w:rsidR="00AA47DC" w14:paraId="489D4DCA" w14:textId="77777777" w:rsidTr="00AA47DC">
        <w:trPr>
          <w:cantSplit/>
          <w:jc w:val="center"/>
        </w:trPr>
        <w:tc>
          <w:tcPr>
            <w:tcW w:w="3969" w:type="dxa"/>
            <w:vMerge w:val="restart"/>
            <w:tcBorders>
              <w:top w:val="double" w:sz="6" w:space="0" w:color="000000"/>
              <w:left w:val="nil"/>
              <w:bottom w:val="nil"/>
              <w:right w:val="nil"/>
            </w:tcBorders>
            <w:shd w:val="clear" w:color="auto" w:fill="E7E6E6" w:themeFill="background2"/>
            <w:vAlign w:val="bottom"/>
            <w:hideMark/>
          </w:tcPr>
          <w:p w14:paraId="2161D6AC" w14:textId="77777777" w:rsidR="00AA47DC" w:rsidRDefault="00AA47DC">
            <w:pPr>
              <w:autoSpaceDE w:val="0"/>
              <w:autoSpaceDN w:val="0"/>
              <w:adjustRightInd w:val="0"/>
              <w:spacing w:after="0" w:line="320" w:lineRule="atLeast"/>
              <w:ind w:left="60" w:right="60"/>
              <w:rPr>
                <w:rFonts w:asciiTheme="majorBidi" w:hAnsiTheme="majorBidi" w:cstheme="majorBidi"/>
                <w:color w:val="000000"/>
                <w:sz w:val="22"/>
                <w:lang w:val="en-US"/>
              </w:rPr>
            </w:pPr>
            <w:r>
              <w:rPr>
                <w:rFonts w:asciiTheme="majorBidi" w:hAnsiTheme="majorBidi" w:cstheme="majorBidi"/>
                <w:color w:val="000000"/>
                <w:sz w:val="22"/>
                <w:lang w:val="en-US"/>
              </w:rPr>
              <w:t xml:space="preserve">Taxa de </w:t>
            </w:r>
            <w:proofErr w:type="spellStart"/>
            <w:r>
              <w:rPr>
                <w:rFonts w:asciiTheme="majorBidi" w:hAnsiTheme="majorBidi" w:cstheme="majorBidi"/>
                <w:color w:val="000000"/>
                <w:sz w:val="22"/>
                <w:lang w:val="en-US"/>
              </w:rPr>
              <w:t>desemprego</w:t>
            </w:r>
            <w:proofErr w:type="spellEnd"/>
          </w:p>
        </w:tc>
        <w:tc>
          <w:tcPr>
            <w:tcW w:w="3084" w:type="dxa"/>
            <w:gridSpan w:val="4"/>
            <w:tcBorders>
              <w:top w:val="double" w:sz="6" w:space="0" w:color="000000"/>
              <w:left w:val="nil"/>
              <w:bottom w:val="single" w:sz="8" w:space="0" w:color="000000"/>
              <w:right w:val="nil"/>
            </w:tcBorders>
            <w:shd w:val="clear" w:color="auto" w:fill="E7E6E6" w:themeFill="background2"/>
            <w:vAlign w:val="bottom"/>
            <w:hideMark/>
          </w:tcPr>
          <w:p w14:paraId="417535CA" w14:textId="01915C12" w:rsidR="00AA47DC" w:rsidRDefault="00177BD8">
            <w:pPr>
              <w:autoSpaceDE w:val="0"/>
              <w:autoSpaceDN w:val="0"/>
              <w:adjustRightInd w:val="0"/>
              <w:spacing w:after="0" w:line="320" w:lineRule="atLeast"/>
              <w:ind w:left="60" w:right="60"/>
              <w:jc w:val="center"/>
              <w:rPr>
                <w:rFonts w:asciiTheme="majorBidi" w:hAnsiTheme="majorBidi" w:cstheme="majorBidi"/>
                <w:color w:val="000000"/>
                <w:sz w:val="22"/>
                <w:lang w:val="en-US"/>
              </w:rPr>
            </w:pPr>
            <w:r>
              <w:rPr>
                <w:rFonts w:asciiTheme="majorBidi" w:hAnsiTheme="majorBidi" w:cstheme="majorBidi"/>
                <w:color w:val="000000"/>
                <w:sz w:val="22"/>
                <w:lang w:val="en-US"/>
              </w:rPr>
              <w:t>Kolmogorov-Smirnov</w:t>
            </w:r>
            <w:r>
              <w:rPr>
                <w:rFonts w:asciiTheme="majorBidi" w:hAnsiTheme="majorBidi" w:cstheme="majorBidi"/>
                <w:color w:val="000000"/>
                <w:sz w:val="22"/>
                <w:vertAlign w:val="superscript"/>
                <w:lang w:val="en-US"/>
              </w:rPr>
              <w:t>a</w:t>
            </w:r>
          </w:p>
        </w:tc>
      </w:tr>
      <w:tr w:rsidR="00AA47DC" w14:paraId="77375A87" w14:textId="77777777" w:rsidTr="00AA47DC">
        <w:trPr>
          <w:cantSplit/>
          <w:jc w:val="center"/>
        </w:trPr>
        <w:tc>
          <w:tcPr>
            <w:tcW w:w="6946" w:type="dxa"/>
            <w:vMerge/>
            <w:tcBorders>
              <w:top w:val="double" w:sz="6" w:space="0" w:color="000000"/>
              <w:left w:val="nil"/>
              <w:bottom w:val="single" w:sz="4" w:space="0" w:color="auto"/>
              <w:right w:val="nil"/>
            </w:tcBorders>
            <w:shd w:val="clear" w:color="auto" w:fill="E7E6E6" w:themeFill="background2"/>
            <w:vAlign w:val="center"/>
            <w:hideMark/>
          </w:tcPr>
          <w:p w14:paraId="55BE1C31" w14:textId="77777777" w:rsidR="00AA47DC" w:rsidRDefault="00AA47DC">
            <w:pPr>
              <w:spacing w:after="0"/>
              <w:rPr>
                <w:rFonts w:asciiTheme="majorBidi" w:hAnsiTheme="majorBidi" w:cstheme="majorBidi"/>
                <w:color w:val="000000"/>
                <w:sz w:val="22"/>
                <w:lang w:val="en-US"/>
              </w:rPr>
            </w:pPr>
          </w:p>
        </w:tc>
        <w:tc>
          <w:tcPr>
            <w:tcW w:w="1030" w:type="dxa"/>
            <w:tcBorders>
              <w:top w:val="single" w:sz="8" w:space="0" w:color="000000"/>
              <w:left w:val="nil"/>
              <w:bottom w:val="single" w:sz="4" w:space="0" w:color="auto"/>
              <w:right w:val="nil"/>
            </w:tcBorders>
            <w:shd w:val="clear" w:color="auto" w:fill="E7E6E6" w:themeFill="background2"/>
            <w:hideMark/>
          </w:tcPr>
          <w:p w14:paraId="794C6D85"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Estatística</w:t>
            </w:r>
            <w:proofErr w:type="spellEnd"/>
          </w:p>
        </w:tc>
        <w:tc>
          <w:tcPr>
            <w:tcW w:w="1024" w:type="dxa"/>
            <w:tcBorders>
              <w:top w:val="single" w:sz="8" w:space="0" w:color="000000"/>
              <w:left w:val="nil"/>
              <w:bottom w:val="single" w:sz="4" w:space="0" w:color="auto"/>
              <w:right w:val="nil"/>
            </w:tcBorders>
            <w:shd w:val="clear" w:color="auto" w:fill="E7E6E6" w:themeFill="background2"/>
            <w:hideMark/>
          </w:tcPr>
          <w:p w14:paraId="041292D6"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gl</w:t>
            </w:r>
            <w:proofErr w:type="spellEnd"/>
          </w:p>
        </w:tc>
        <w:tc>
          <w:tcPr>
            <w:tcW w:w="1030" w:type="dxa"/>
            <w:gridSpan w:val="2"/>
            <w:tcBorders>
              <w:top w:val="single" w:sz="8" w:space="0" w:color="000000"/>
              <w:left w:val="nil"/>
              <w:bottom w:val="single" w:sz="4" w:space="0" w:color="auto"/>
              <w:right w:val="nil"/>
            </w:tcBorders>
            <w:shd w:val="clear" w:color="auto" w:fill="E7E6E6" w:themeFill="background2"/>
            <w:hideMark/>
          </w:tcPr>
          <w:p w14:paraId="5797D79C"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r>
              <w:rPr>
                <w:rFonts w:asciiTheme="majorBidi" w:hAnsiTheme="majorBidi" w:cstheme="majorBidi"/>
                <w:color w:val="000000"/>
                <w:sz w:val="22"/>
                <w:lang w:val="en-US"/>
              </w:rPr>
              <w:t>Sig.</w:t>
            </w:r>
          </w:p>
        </w:tc>
      </w:tr>
      <w:tr w:rsidR="00AA47DC" w14:paraId="367C3D38" w14:textId="77777777" w:rsidTr="00AA47DC">
        <w:trPr>
          <w:cantSplit/>
          <w:jc w:val="center"/>
        </w:trPr>
        <w:tc>
          <w:tcPr>
            <w:tcW w:w="3969" w:type="dxa"/>
            <w:tcBorders>
              <w:top w:val="single" w:sz="4" w:space="0" w:color="auto"/>
              <w:left w:val="nil"/>
              <w:bottom w:val="nil"/>
              <w:right w:val="nil"/>
            </w:tcBorders>
            <w:shd w:val="clear" w:color="auto" w:fill="FFFFFF"/>
            <w:hideMark/>
          </w:tcPr>
          <w:p w14:paraId="2198EB99" w14:textId="63226398" w:rsidR="00AA47DC" w:rsidRPr="00AA47DC" w:rsidRDefault="00AA47DC">
            <w:pPr>
              <w:autoSpaceDE w:val="0"/>
              <w:autoSpaceDN w:val="0"/>
              <w:adjustRightInd w:val="0"/>
              <w:spacing w:after="0" w:line="320" w:lineRule="atLeast"/>
              <w:ind w:left="60" w:right="60"/>
              <w:rPr>
                <w:rFonts w:asciiTheme="majorBidi" w:hAnsiTheme="majorBidi" w:cstheme="majorBidi"/>
                <w:color w:val="000000"/>
                <w:sz w:val="22"/>
              </w:rPr>
            </w:pPr>
            <w:proofErr w:type="spellStart"/>
            <w:r w:rsidRPr="00AA47DC">
              <w:rPr>
                <w:rFonts w:asciiTheme="majorBidi" w:hAnsiTheme="majorBidi" w:cstheme="majorBidi"/>
                <w:color w:val="000000"/>
                <w:sz w:val="22"/>
              </w:rPr>
              <w:t>Municipíos</w:t>
            </w:r>
            <w:proofErr w:type="spellEnd"/>
            <w:r w:rsidRPr="00AA47DC">
              <w:rPr>
                <w:rFonts w:asciiTheme="majorBidi" w:hAnsiTheme="majorBidi" w:cstheme="majorBidi"/>
                <w:color w:val="000000"/>
                <w:sz w:val="22"/>
              </w:rPr>
              <w:t xml:space="preserve"> c/ menor taxa de desemprego</w:t>
            </w:r>
          </w:p>
        </w:tc>
        <w:tc>
          <w:tcPr>
            <w:tcW w:w="1030" w:type="dxa"/>
            <w:tcBorders>
              <w:top w:val="single" w:sz="4" w:space="0" w:color="auto"/>
              <w:left w:val="nil"/>
              <w:bottom w:val="nil"/>
              <w:right w:val="nil"/>
            </w:tcBorders>
            <w:shd w:val="clear" w:color="auto" w:fill="FFFFFF"/>
            <w:hideMark/>
          </w:tcPr>
          <w:p w14:paraId="02931E7C"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0,106</w:t>
            </w:r>
          </w:p>
        </w:tc>
        <w:tc>
          <w:tcPr>
            <w:tcW w:w="1024" w:type="dxa"/>
            <w:tcBorders>
              <w:top w:val="single" w:sz="4" w:space="0" w:color="auto"/>
              <w:left w:val="nil"/>
              <w:bottom w:val="nil"/>
              <w:right w:val="nil"/>
            </w:tcBorders>
            <w:shd w:val="clear" w:color="auto" w:fill="FFFFFF"/>
            <w:hideMark/>
          </w:tcPr>
          <w:p w14:paraId="61051C9D"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1200</w:t>
            </w:r>
          </w:p>
        </w:tc>
        <w:tc>
          <w:tcPr>
            <w:tcW w:w="1030" w:type="dxa"/>
            <w:gridSpan w:val="2"/>
            <w:tcBorders>
              <w:top w:val="single" w:sz="4" w:space="0" w:color="auto"/>
              <w:left w:val="nil"/>
              <w:bottom w:val="nil"/>
              <w:right w:val="nil"/>
            </w:tcBorders>
            <w:shd w:val="clear" w:color="auto" w:fill="FFFFFF"/>
            <w:hideMark/>
          </w:tcPr>
          <w:p w14:paraId="1C279B44"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0,000</w:t>
            </w:r>
          </w:p>
        </w:tc>
      </w:tr>
      <w:tr w:rsidR="00AA47DC" w14:paraId="60B82420" w14:textId="77777777" w:rsidTr="00AA47DC">
        <w:trPr>
          <w:cantSplit/>
          <w:jc w:val="center"/>
        </w:trPr>
        <w:tc>
          <w:tcPr>
            <w:tcW w:w="3969" w:type="dxa"/>
            <w:tcBorders>
              <w:top w:val="nil"/>
              <w:left w:val="nil"/>
              <w:bottom w:val="double" w:sz="6" w:space="0" w:color="000000"/>
              <w:right w:val="nil"/>
            </w:tcBorders>
            <w:shd w:val="clear" w:color="auto" w:fill="E7E6E6" w:themeFill="background2"/>
            <w:hideMark/>
          </w:tcPr>
          <w:p w14:paraId="57456C0D" w14:textId="395396DC" w:rsidR="00AA47DC" w:rsidRPr="00AA47DC" w:rsidRDefault="00AA47DC">
            <w:pPr>
              <w:autoSpaceDE w:val="0"/>
              <w:autoSpaceDN w:val="0"/>
              <w:adjustRightInd w:val="0"/>
              <w:spacing w:after="0" w:line="320" w:lineRule="atLeast"/>
              <w:ind w:left="60" w:right="60"/>
              <w:rPr>
                <w:rFonts w:asciiTheme="majorBidi" w:hAnsiTheme="majorBidi" w:cstheme="majorBidi"/>
                <w:color w:val="000000"/>
                <w:sz w:val="22"/>
              </w:rPr>
            </w:pPr>
            <w:proofErr w:type="spellStart"/>
            <w:r w:rsidRPr="00AA47DC">
              <w:rPr>
                <w:rFonts w:asciiTheme="majorBidi" w:hAnsiTheme="majorBidi" w:cstheme="majorBidi"/>
                <w:color w:val="000000"/>
                <w:sz w:val="22"/>
              </w:rPr>
              <w:t>Municipíos</w:t>
            </w:r>
            <w:proofErr w:type="spellEnd"/>
            <w:r w:rsidRPr="00AA47DC">
              <w:rPr>
                <w:rFonts w:asciiTheme="majorBidi" w:hAnsiTheme="majorBidi" w:cstheme="majorBidi"/>
                <w:color w:val="000000"/>
                <w:sz w:val="22"/>
              </w:rPr>
              <w:t xml:space="preserve"> c/ maior taxa de desemprego</w:t>
            </w:r>
          </w:p>
        </w:tc>
        <w:tc>
          <w:tcPr>
            <w:tcW w:w="1030" w:type="dxa"/>
            <w:tcBorders>
              <w:top w:val="nil"/>
              <w:left w:val="nil"/>
              <w:bottom w:val="double" w:sz="6" w:space="0" w:color="000000"/>
              <w:right w:val="nil"/>
            </w:tcBorders>
            <w:shd w:val="clear" w:color="auto" w:fill="E7E6E6" w:themeFill="background2"/>
            <w:hideMark/>
          </w:tcPr>
          <w:p w14:paraId="1D4F1F58"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0,097</w:t>
            </w:r>
          </w:p>
        </w:tc>
        <w:tc>
          <w:tcPr>
            <w:tcW w:w="1024" w:type="dxa"/>
            <w:tcBorders>
              <w:top w:val="nil"/>
              <w:left w:val="nil"/>
              <w:bottom w:val="double" w:sz="6" w:space="0" w:color="000000"/>
              <w:right w:val="nil"/>
            </w:tcBorders>
            <w:shd w:val="clear" w:color="auto" w:fill="E7E6E6" w:themeFill="background2"/>
            <w:hideMark/>
          </w:tcPr>
          <w:p w14:paraId="7F7226AA"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340</w:t>
            </w:r>
          </w:p>
        </w:tc>
        <w:tc>
          <w:tcPr>
            <w:tcW w:w="1030" w:type="dxa"/>
            <w:gridSpan w:val="2"/>
            <w:tcBorders>
              <w:top w:val="nil"/>
              <w:left w:val="nil"/>
              <w:bottom w:val="double" w:sz="6" w:space="0" w:color="000000"/>
              <w:right w:val="nil"/>
            </w:tcBorders>
            <w:shd w:val="clear" w:color="auto" w:fill="E7E6E6" w:themeFill="background2"/>
            <w:hideMark/>
          </w:tcPr>
          <w:p w14:paraId="594254B2"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0,000</w:t>
            </w:r>
          </w:p>
        </w:tc>
      </w:tr>
      <w:tr w:rsidR="00AA47DC" w14:paraId="53667FC4" w14:textId="77777777" w:rsidTr="00AA47DC">
        <w:trPr>
          <w:gridAfter w:val="1"/>
          <w:wAfter w:w="107" w:type="dxa"/>
          <w:cantSplit/>
          <w:jc w:val="center"/>
        </w:trPr>
        <w:tc>
          <w:tcPr>
            <w:tcW w:w="6946" w:type="dxa"/>
            <w:gridSpan w:val="4"/>
            <w:tcBorders>
              <w:top w:val="nil"/>
              <w:left w:val="nil"/>
              <w:bottom w:val="nil"/>
              <w:right w:val="nil"/>
            </w:tcBorders>
            <w:shd w:val="clear" w:color="auto" w:fill="FFFFFF"/>
            <w:hideMark/>
          </w:tcPr>
          <w:p w14:paraId="134EDC4F" w14:textId="77777777" w:rsidR="00AA47DC" w:rsidRPr="00AA47DC" w:rsidRDefault="00AA47DC">
            <w:pPr>
              <w:autoSpaceDE w:val="0"/>
              <w:autoSpaceDN w:val="0"/>
              <w:adjustRightInd w:val="0"/>
              <w:spacing w:after="0" w:line="320" w:lineRule="atLeast"/>
              <w:ind w:left="60" w:right="60"/>
              <w:rPr>
                <w:rFonts w:ascii="Arial" w:hAnsi="Arial" w:cs="Arial"/>
                <w:color w:val="000000"/>
                <w:sz w:val="18"/>
                <w:szCs w:val="18"/>
              </w:rPr>
            </w:pPr>
            <w:r w:rsidRPr="00AA47DC">
              <w:rPr>
                <w:rFonts w:asciiTheme="majorBidi" w:hAnsiTheme="majorBidi" w:cstheme="majorBidi"/>
                <w:color w:val="000000"/>
                <w:sz w:val="18"/>
                <w:szCs w:val="18"/>
              </w:rPr>
              <w:t xml:space="preserve">a. Correlação de Significância de </w:t>
            </w:r>
            <w:proofErr w:type="spellStart"/>
            <w:r w:rsidRPr="00AA47DC">
              <w:rPr>
                <w:rFonts w:asciiTheme="majorBidi" w:hAnsiTheme="majorBidi" w:cstheme="majorBidi"/>
                <w:color w:val="000000"/>
                <w:sz w:val="18"/>
                <w:szCs w:val="18"/>
              </w:rPr>
              <w:t>Lilliefors</w:t>
            </w:r>
            <w:proofErr w:type="spellEnd"/>
          </w:p>
        </w:tc>
      </w:tr>
    </w:tbl>
    <w:p w14:paraId="2CBFCC6F" w14:textId="77777777" w:rsidR="00AA47DC" w:rsidRDefault="00AA47DC" w:rsidP="00AA47DC">
      <w:pPr>
        <w:autoSpaceDE w:val="0"/>
        <w:autoSpaceDN w:val="0"/>
        <w:adjustRightInd w:val="0"/>
        <w:spacing w:after="0" w:line="240" w:lineRule="auto"/>
        <w:rPr>
          <w:rFonts w:cs="Times New Roman"/>
          <w:sz w:val="22"/>
        </w:rPr>
      </w:pPr>
    </w:p>
    <w:tbl>
      <w:tblPr>
        <w:tblW w:w="705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3966"/>
        <w:gridCol w:w="1030"/>
        <w:gridCol w:w="1024"/>
        <w:gridCol w:w="923"/>
        <w:gridCol w:w="107"/>
      </w:tblGrid>
      <w:tr w:rsidR="00AA47DC" w14:paraId="44B7DCB0" w14:textId="77777777" w:rsidTr="00AA47DC">
        <w:trPr>
          <w:gridAfter w:val="1"/>
          <w:wAfter w:w="107" w:type="dxa"/>
          <w:cantSplit/>
          <w:jc w:val="center"/>
        </w:trPr>
        <w:tc>
          <w:tcPr>
            <w:tcW w:w="6946" w:type="dxa"/>
            <w:gridSpan w:val="4"/>
            <w:tcBorders>
              <w:top w:val="nil"/>
              <w:left w:val="nil"/>
              <w:bottom w:val="nil"/>
              <w:right w:val="nil"/>
            </w:tcBorders>
            <w:shd w:val="clear" w:color="auto" w:fill="FFFFFF"/>
            <w:vAlign w:val="center"/>
            <w:hideMark/>
          </w:tcPr>
          <w:p w14:paraId="551293AB" w14:textId="77777777" w:rsidR="00AA47DC" w:rsidRPr="00AA47DC" w:rsidRDefault="00AA47DC">
            <w:pPr>
              <w:autoSpaceDE w:val="0"/>
              <w:autoSpaceDN w:val="0"/>
              <w:adjustRightInd w:val="0"/>
              <w:spacing w:after="0" w:line="320" w:lineRule="atLeast"/>
              <w:ind w:left="60" w:right="60"/>
              <w:jc w:val="center"/>
              <w:rPr>
                <w:rFonts w:ascii="Arial" w:hAnsi="Arial" w:cs="Arial"/>
                <w:color w:val="000000"/>
                <w:sz w:val="18"/>
                <w:szCs w:val="18"/>
              </w:rPr>
            </w:pPr>
            <w:r w:rsidRPr="00AA47DC">
              <w:rPr>
                <w:rFonts w:asciiTheme="majorBidi" w:hAnsiTheme="majorBidi" w:cstheme="majorBidi"/>
                <w:b/>
                <w:bCs/>
                <w:color w:val="000000"/>
                <w:sz w:val="22"/>
              </w:rPr>
              <w:t xml:space="preserve">Testes de Normalidade </w:t>
            </w:r>
            <w:r w:rsidRPr="00AA47DC">
              <w:rPr>
                <w:rFonts w:asciiTheme="majorBidi" w:hAnsiTheme="majorBidi" w:cstheme="majorBidi"/>
                <w:color w:val="000000"/>
                <w:sz w:val="22"/>
              </w:rPr>
              <w:t xml:space="preserve">ITM por </w:t>
            </w:r>
            <w:proofErr w:type="spellStart"/>
            <w:r w:rsidRPr="00AA47DC">
              <w:rPr>
                <w:rFonts w:asciiTheme="majorBidi" w:hAnsiTheme="majorBidi" w:cstheme="majorBidi"/>
                <w:color w:val="000000"/>
                <w:sz w:val="22"/>
              </w:rPr>
              <w:t>MTxPI</w:t>
            </w:r>
            <w:proofErr w:type="spellEnd"/>
          </w:p>
        </w:tc>
      </w:tr>
      <w:tr w:rsidR="00AA47DC" w14:paraId="0C48F4DA" w14:textId="77777777" w:rsidTr="00AA47DC">
        <w:trPr>
          <w:cantSplit/>
          <w:jc w:val="center"/>
        </w:trPr>
        <w:tc>
          <w:tcPr>
            <w:tcW w:w="3969" w:type="dxa"/>
            <w:vMerge w:val="restart"/>
            <w:tcBorders>
              <w:top w:val="double" w:sz="6" w:space="0" w:color="000000"/>
              <w:left w:val="nil"/>
              <w:bottom w:val="nil"/>
              <w:right w:val="nil"/>
            </w:tcBorders>
            <w:shd w:val="clear" w:color="auto" w:fill="E7E6E6" w:themeFill="background2"/>
            <w:vAlign w:val="bottom"/>
            <w:hideMark/>
          </w:tcPr>
          <w:p w14:paraId="5C9A3669" w14:textId="77777777" w:rsidR="00AA47DC" w:rsidRDefault="00AA47DC">
            <w:pPr>
              <w:autoSpaceDE w:val="0"/>
              <w:autoSpaceDN w:val="0"/>
              <w:adjustRightInd w:val="0"/>
              <w:spacing w:after="0" w:line="320" w:lineRule="atLeast"/>
              <w:ind w:left="60" w:right="60"/>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População</w:t>
            </w:r>
            <w:proofErr w:type="spellEnd"/>
            <w:r>
              <w:rPr>
                <w:rFonts w:asciiTheme="majorBidi" w:hAnsiTheme="majorBidi" w:cstheme="majorBidi"/>
                <w:color w:val="000000"/>
                <w:sz w:val="22"/>
                <w:lang w:val="en-US"/>
              </w:rPr>
              <w:t xml:space="preserve"> </w:t>
            </w:r>
            <w:proofErr w:type="spellStart"/>
            <w:r>
              <w:rPr>
                <w:rFonts w:asciiTheme="majorBidi" w:hAnsiTheme="majorBidi" w:cstheme="majorBidi"/>
                <w:color w:val="000000"/>
                <w:sz w:val="22"/>
                <w:lang w:val="en-US"/>
              </w:rPr>
              <w:t>Idosa</w:t>
            </w:r>
            <w:proofErr w:type="spellEnd"/>
          </w:p>
        </w:tc>
        <w:tc>
          <w:tcPr>
            <w:tcW w:w="3084" w:type="dxa"/>
            <w:gridSpan w:val="4"/>
            <w:tcBorders>
              <w:top w:val="double" w:sz="6" w:space="0" w:color="000000"/>
              <w:left w:val="nil"/>
              <w:bottom w:val="single" w:sz="8" w:space="0" w:color="000000"/>
              <w:right w:val="nil"/>
            </w:tcBorders>
            <w:shd w:val="clear" w:color="auto" w:fill="E7E6E6" w:themeFill="background2"/>
            <w:vAlign w:val="bottom"/>
            <w:hideMark/>
          </w:tcPr>
          <w:p w14:paraId="23263842" w14:textId="69832D5D" w:rsidR="00AA47DC" w:rsidRDefault="00177BD8">
            <w:pPr>
              <w:autoSpaceDE w:val="0"/>
              <w:autoSpaceDN w:val="0"/>
              <w:adjustRightInd w:val="0"/>
              <w:spacing w:after="0" w:line="320" w:lineRule="atLeast"/>
              <w:ind w:left="60" w:right="60"/>
              <w:jc w:val="center"/>
              <w:rPr>
                <w:rFonts w:asciiTheme="majorBidi" w:hAnsiTheme="majorBidi" w:cstheme="majorBidi"/>
                <w:color w:val="000000"/>
                <w:sz w:val="22"/>
                <w:lang w:val="en-US"/>
              </w:rPr>
            </w:pPr>
            <w:r>
              <w:rPr>
                <w:rFonts w:asciiTheme="majorBidi" w:hAnsiTheme="majorBidi" w:cstheme="majorBidi"/>
                <w:color w:val="000000"/>
                <w:sz w:val="22"/>
                <w:lang w:val="en-US"/>
              </w:rPr>
              <w:t>Kolmogorov-Smirnov</w:t>
            </w:r>
            <w:r>
              <w:rPr>
                <w:rFonts w:asciiTheme="majorBidi" w:hAnsiTheme="majorBidi" w:cstheme="majorBidi"/>
                <w:color w:val="000000"/>
                <w:sz w:val="22"/>
                <w:vertAlign w:val="superscript"/>
                <w:lang w:val="en-US"/>
              </w:rPr>
              <w:t>a</w:t>
            </w:r>
          </w:p>
        </w:tc>
      </w:tr>
      <w:tr w:rsidR="00AA47DC" w14:paraId="5E55A4A8" w14:textId="77777777" w:rsidTr="00AA47DC">
        <w:trPr>
          <w:cantSplit/>
          <w:jc w:val="center"/>
        </w:trPr>
        <w:tc>
          <w:tcPr>
            <w:tcW w:w="6946" w:type="dxa"/>
            <w:vMerge/>
            <w:tcBorders>
              <w:top w:val="double" w:sz="6" w:space="0" w:color="000000"/>
              <w:left w:val="nil"/>
              <w:bottom w:val="single" w:sz="4" w:space="0" w:color="auto"/>
              <w:right w:val="nil"/>
            </w:tcBorders>
            <w:shd w:val="clear" w:color="auto" w:fill="E7E6E6" w:themeFill="background2"/>
            <w:vAlign w:val="center"/>
            <w:hideMark/>
          </w:tcPr>
          <w:p w14:paraId="65E5FD80" w14:textId="77777777" w:rsidR="00AA47DC" w:rsidRDefault="00AA47DC">
            <w:pPr>
              <w:spacing w:after="0"/>
              <w:rPr>
                <w:rFonts w:asciiTheme="majorBidi" w:hAnsiTheme="majorBidi" w:cstheme="majorBidi"/>
                <w:color w:val="000000"/>
                <w:sz w:val="22"/>
                <w:lang w:val="en-US"/>
              </w:rPr>
            </w:pPr>
          </w:p>
        </w:tc>
        <w:tc>
          <w:tcPr>
            <w:tcW w:w="1030" w:type="dxa"/>
            <w:tcBorders>
              <w:top w:val="single" w:sz="8" w:space="0" w:color="000000"/>
              <w:left w:val="nil"/>
              <w:bottom w:val="single" w:sz="4" w:space="0" w:color="auto"/>
              <w:right w:val="nil"/>
            </w:tcBorders>
            <w:shd w:val="clear" w:color="auto" w:fill="E7E6E6" w:themeFill="background2"/>
            <w:hideMark/>
          </w:tcPr>
          <w:p w14:paraId="433AFB14"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Estatística</w:t>
            </w:r>
            <w:proofErr w:type="spellEnd"/>
          </w:p>
        </w:tc>
        <w:tc>
          <w:tcPr>
            <w:tcW w:w="1024" w:type="dxa"/>
            <w:tcBorders>
              <w:top w:val="single" w:sz="8" w:space="0" w:color="000000"/>
              <w:left w:val="nil"/>
              <w:bottom w:val="single" w:sz="4" w:space="0" w:color="auto"/>
              <w:right w:val="nil"/>
            </w:tcBorders>
            <w:shd w:val="clear" w:color="auto" w:fill="E7E6E6" w:themeFill="background2"/>
            <w:hideMark/>
          </w:tcPr>
          <w:p w14:paraId="48BF1777"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gl</w:t>
            </w:r>
            <w:proofErr w:type="spellEnd"/>
          </w:p>
        </w:tc>
        <w:tc>
          <w:tcPr>
            <w:tcW w:w="1030" w:type="dxa"/>
            <w:gridSpan w:val="2"/>
            <w:tcBorders>
              <w:top w:val="single" w:sz="8" w:space="0" w:color="000000"/>
              <w:left w:val="nil"/>
              <w:bottom w:val="single" w:sz="4" w:space="0" w:color="auto"/>
              <w:right w:val="nil"/>
            </w:tcBorders>
            <w:shd w:val="clear" w:color="auto" w:fill="E7E6E6" w:themeFill="background2"/>
            <w:hideMark/>
          </w:tcPr>
          <w:p w14:paraId="65F40AF7"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r>
              <w:rPr>
                <w:rFonts w:asciiTheme="majorBidi" w:hAnsiTheme="majorBidi" w:cstheme="majorBidi"/>
                <w:color w:val="000000"/>
                <w:sz w:val="22"/>
                <w:lang w:val="en-US"/>
              </w:rPr>
              <w:t>Sig.</w:t>
            </w:r>
          </w:p>
        </w:tc>
      </w:tr>
      <w:tr w:rsidR="00AA47DC" w14:paraId="4129A5DB" w14:textId="77777777" w:rsidTr="00AA47DC">
        <w:trPr>
          <w:cantSplit/>
          <w:jc w:val="center"/>
        </w:trPr>
        <w:tc>
          <w:tcPr>
            <w:tcW w:w="3969" w:type="dxa"/>
            <w:tcBorders>
              <w:top w:val="single" w:sz="4" w:space="0" w:color="auto"/>
              <w:left w:val="nil"/>
              <w:bottom w:val="nil"/>
              <w:right w:val="nil"/>
            </w:tcBorders>
            <w:shd w:val="clear" w:color="auto" w:fill="FFFFFF"/>
            <w:hideMark/>
          </w:tcPr>
          <w:p w14:paraId="169AB5B3" w14:textId="56CF5993" w:rsidR="00AA47DC" w:rsidRPr="00AA47DC" w:rsidRDefault="00AA47DC">
            <w:pPr>
              <w:autoSpaceDE w:val="0"/>
              <w:autoSpaceDN w:val="0"/>
              <w:adjustRightInd w:val="0"/>
              <w:spacing w:after="0" w:line="320" w:lineRule="atLeast"/>
              <w:ind w:left="60" w:right="60"/>
              <w:rPr>
                <w:rFonts w:asciiTheme="majorBidi" w:hAnsiTheme="majorBidi" w:cstheme="majorBidi"/>
                <w:color w:val="000000"/>
                <w:sz w:val="22"/>
              </w:rPr>
            </w:pPr>
            <w:proofErr w:type="spellStart"/>
            <w:r w:rsidRPr="00AA47DC">
              <w:rPr>
                <w:rFonts w:asciiTheme="majorBidi" w:hAnsiTheme="majorBidi" w:cstheme="majorBidi"/>
                <w:color w:val="000000"/>
                <w:sz w:val="22"/>
              </w:rPr>
              <w:t>Municipíos</w:t>
            </w:r>
            <w:proofErr w:type="spellEnd"/>
            <w:r w:rsidRPr="00AA47DC">
              <w:rPr>
                <w:rFonts w:asciiTheme="majorBidi" w:hAnsiTheme="majorBidi" w:cstheme="majorBidi"/>
                <w:color w:val="000000"/>
                <w:sz w:val="22"/>
              </w:rPr>
              <w:t xml:space="preserve"> c/ menor taxa de idosos</w:t>
            </w:r>
          </w:p>
        </w:tc>
        <w:tc>
          <w:tcPr>
            <w:tcW w:w="1030" w:type="dxa"/>
            <w:tcBorders>
              <w:top w:val="single" w:sz="4" w:space="0" w:color="auto"/>
              <w:left w:val="nil"/>
              <w:bottom w:val="nil"/>
              <w:right w:val="nil"/>
            </w:tcBorders>
            <w:shd w:val="clear" w:color="auto" w:fill="FFFFFF"/>
            <w:hideMark/>
          </w:tcPr>
          <w:p w14:paraId="48394062"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0,090</w:t>
            </w:r>
          </w:p>
        </w:tc>
        <w:tc>
          <w:tcPr>
            <w:tcW w:w="1024" w:type="dxa"/>
            <w:tcBorders>
              <w:top w:val="single" w:sz="4" w:space="0" w:color="auto"/>
              <w:left w:val="nil"/>
              <w:bottom w:val="nil"/>
              <w:right w:val="nil"/>
            </w:tcBorders>
            <w:shd w:val="clear" w:color="auto" w:fill="FFFFFF"/>
            <w:hideMark/>
          </w:tcPr>
          <w:p w14:paraId="5767DDD2"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814</w:t>
            </w:r>
          </w:p>
        </w:tc>
        <w:tc>
          <w:tcPr>
            <w:tcW w:w="1030" w:type="dxa"/>
            <w:gridSpan w:val="2"/>
            <w:tcBorders>
              <w:top w:val="single" w:sz="4" w:space="0" w:color="auto"/>
              <w:left w:val="nil"/>
              <w:bottom w:val="nil"/>
              <w:right w:val="nil"/>
            </w:tcBorders>
            <w:shd w:val="clear" w:color="auto" w:fill="FFFFFF"/>
            <w:hideMark/>
          </w:tcPr>
          <w:p w14:paraId="46B5A28C"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0,000</w:t>
            </w:r>
          </w:p>
        </w:tc>
      </w:tr>
      <w:tr w:rsidR="00AA47DC" w14:paraId="0D0BB7A7" w14:textId="77777777" w:rsidTr="00AA47DC">
        <w:trPr>
          <w:cantSplit/>
          <w:jc w:val="center"/>
        </w:trPr>
        <w:tc>
          <w:tcPr>
            <w:tcW w:w="3969" w:type="dxa"/>
            <w:tcBorders>
              <w:top w:val="nil"/>
              <w:left w:val="nil"/>
              <w:bottom w:val="double" w:sz="6" w:space="0" w:color="000000"/>
              <w:right w:val="nil"/>
            </w:tcBorders>
            <w:shd w:val="clear" w:color="auto" w:fill="E7E6E6" w:themeFill="background2"/>
            <w:hideMark/>
          </w:tcPr>
          <w:p w14:paraId="75CCA9F5" w14:textId="6BAC4C91" w:rsidR="00AA47DC" w:rsidRPr="00AA47DC" w:rsidRDefault="00AA47DC">
            <w:pPr>
              <w:autoSpaceDE w:val="0"/>
              <w:autoSpaceDN w:val="0"/>
              <w:adjustRightInd w:val="0"/>
              <w:spacing w:after="0" w:line="320" w:lineRule="atLeast"/>
              <w:ind w:left="60" w:right="60"/>
              <w:rPr>
                <w:rFonts w:asciiTheme="majorBidi" w:hAnsiTheme="majorBidi" w:cstheme="majorBidi"/>
                <w:color w:val="000000"/>
                <w:sz w:val="22"/>
              </w:rPr>
            </w:pPr>
            <w:proofErr w:type="spellStart"/>
            <w:r w:rsidRPr="00AA47DC">
              <w:rPr>
                <w:rFonts w:asciiTheme="majorBidi" w:hAnsiTheme="majorBidi" w:cstheme="majorBidi"/>
                <w:color w:val="000000"/>
                <w:sz w:val="22"/>
              </w:rPr>
              <w:t>Municipíos</w:t>
            </w:r>
            <w:proofErr w:type="spellEnd"/>
            <w:r w:rsidRPr="00AA47DC">
              <w:rPr>
                <w:rFonts w:asciiTheme="majorBidi" w:hAnsiTheme="majorBidi" w:cstheme="majorBidi"/>
                <w:color w:val="000000"/>
                <w:sz w:val="22"/>
              </w:rPr>
              <w:t xml:space="preserve"> c/ maior taxa de idosos</w:t>
            </w:r>
          </w:p>
        </w:tc>
        <w:tc>
          <w:tcPr>
            <w:tcW w:w="1030" w:type="dxa"/>
            <w:tcBorders>
              <w:top w:val="nil"/>
              <w:left w:val="nil"/>
              <w:bottom w:val="double" w:sz="6" w:space="0" w:color="000000"/>
              <w:right w:val="nil"/>
            </w:tcBorders>
            <w:shd w:val="clear" w:color="auto" w:fill="E7E6E6" w:themeFill="background2"/>
            <w:hideMark/>
          </w:tcPr>
          <w:p w14:paraId="47A10F52"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0,118</w:t>
            </w:r>
          </w:p>
        </w:tc>
        <w:tc>
          <w:tcPr>
            <w:tcW w:w="1024" w:type="dxa"/>
            <w:tcBorders>
              <w:top w:val="nil"/>
              <w:left w:val="nil"/>
              <w:bottom w:val="double" w:sz="6" w:space="0" w:color="000000"/>
              <w:right w:val="nil"/>
            </w:tcBorders>
            <w:shd w:val="clear" w:color="auto" w:fill="E7E6E6" w:themeFill="background2"/>
            <w:hideMark/>
          </w:tcPr>
          <w:p w14:paraId="08D58540"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726</w:t>
            </w:r>
          </w:p>
        </w:tc>
        <w:tc>
          <w:tcPr>
            <w:tcW w:w="1030" w:type="dxa"/>
            <w:gridSpan w:val="2"/>
            <w:tcBorders>
              <w:top w:val="nil"/>
              <w:left w:val="nil"/>
              <w:bottom w:val="double" w:sz="6" w:space="0" w:color="000000"/>
              <w:right w:val="nil"/>
            </w:tcBorders>
            <w:shd w:val="clear" w:color="auto" w:fill="E7E6E6" w:themeFill="background2"/>
            <w:hideMark/>
          </w:tcPr>
          <w:p w14:paraId="02658E2B"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0,000</w:t>
            </w:r>
          </w:p>
        </w:tc>
      </w:tr>
      <w:tr w:rsidR="00AA47DC" w14:paraId="012BF888" w14:textId="77777777" w:rsidTr="00AA47DC">
        <w:trPr>
          <w:gridAfter w:val="1"/>
          <w:wAfter w:w="107" w:type="dxa"/>
          <w:cantSplit/>
          <w:jc w:val="center"/>
        </w:trPr>
        <w:tc>
          <w:tcPr>
            <w:tcW w:w="6946" w:type="dxa"/>
            <w:gridSpan w:val="4"/>
            <w:tcBorders>
              <w:top w:val="nil"/>
              <w:left w:val="nil"/>
              <w:bottom w:val="nil"/>
              <w:right w:val="nil"/>
            </w:tcBorders>
            <w:shd w:val="clear" w:color="auto" w:fill="FFFFFF"/>
            <w:hideMark/>
          </w:tcPr>
          <w:p w14:paraId="159145B5" w14:textId="77777777" w:rsidR="00AA47DC" w:rsidRPr="00AA47DC" w:rsidRDefault="00AA47DC">
            <w:pPr>
              <w:autoSpaceDE w:val="0"/>
              <w:autoSpaceDN w:val="0"/>
              <w:adjustRightInd w:val="0"/>
              <w:spacing w:after="0" w:line="320" w:lineRule="atLeast"/>
              <w:ind w:left="60" w:right="60"/>
              <w:rPr>
                <w:rFonts w:asciiTheme="majorBidi" w:hAnsiTheme="majorBidi" w:cstheme="majorBidi"/>
                <w:color w:val="000000"/>
                <w:sz w:val="18"/>
                <w:szCs w:val="18"/>
              </w:rPr>
            </w:pPr>
            <w:r w:rsidRPr="00AA47DC">
              <w:rPr>
                <w:rFonts w:asciiTheme="majorBidi" w:hAnsiTheme="majorBidi" w:cstheme="majorBidi"/>
                <w:color w:val="000000"/>
                <w:sz w:val="18"/>
                <w:szCs w:val="18"/>
              </w:rPr>
              <w:t xml:space="preserve">a. Correlação de Significância de </w:t>
            </w:r>
            <w:proofErr w:type="spellStart"/>
            <w:r w:rsidRPr="00AA47DC">
              <w:rPr>
                <w:rFonts w:asciiTheme="majorBidi" w:hAnsiTheme="majorBidi" w:cstheme="majorBidi"/>
                <w:color w:val="000000"/>
                <w:sz w:val="18"/>
                <w:szCs w:val="18"/>
              </w:rPr>
              <w:t>Lilliefors</w:t>
            </w:r>
            <w:proofErr w:type="spellEnd"/>
          </w:p>
        </w:tc>
      </w:tr>
    </w:tbl>
    <w:p w14:paraId="0EEA1E16" w14:textId="77777777" w:rsidR="00AA47DC" w:rsidRDefault="00AA47DC" w:rsidP="00AA47DC">
      <w:pPr>
        <w:autoSpaceDE w:val="0"/>
        <w:autoSpaceDN w:val="0"/>
        <w:adjustRightInd w:val="0"/>
        <w:spacing w:after="0" w:line="240" w:lineRule="auto"/>
        <w:rPr>
          <w:rFonts w:cs="Times New Roman"/>
          <w:sz w:val="16"/>
          <w:szCs w:val="16"/>
        </w:rPr>
      </w:pPr>
    </w:p>
    <w:tbl>
      <w:tblPr>
        <w:tblW w:w="705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3966"/>
        <w:gridCol w:w="1030"/>
        <w:gridCol w:w="1024"/>
        <w:gridCol w:w="923"/>
        <w:gridCol w:w="107"/>
      </w:tblGrid>
      <w:tr w:rsidR="00AA47DC" w14:paraId="421FFE6A" w14:textId="77777777" w:rsidTr="00AA47DC">
        <w:trPr>
          <w:gridAfter w:val="1"/>
          <w:wAfter w:w="107" w:type="dxa"/>
          <w:cantSplit/>
          <w:jc w:val="center"/>
        </w:trPr>
        <w:tc>
          <w:tcPr>
            <w:tcW w:w="6946" w:type="dxa"/>
            <w:gridSpan w:val="4"/>
            <w:tcBorders>
              <w:top w:val="nil"/>
              <w:left w:val="nil"/>
              <w:bottom w:val="double" w:sz="4" w:space="0" w:color="auto"/>
              <w:right w:val="nil"/>
            </w:tcBorders>
            <w:shd w:val="clear" w:color="auto" w:fill="FFFFFF"/>
            <w:vAlign w:val="center"/>
            <w:hideMark/>
          </w:tcPr>
          <w:p w14:paraId="4690F551" w14:textId="66444DC7" w:rsidR="00AA47DC" w:rsidRP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rPr>
            </w:pPr>
            <w:r w:rsidRPr="00AA47DC">
              <w:rPr>
                <w:rFonts w:asciiTheme="majorBidi" w:hAnsiTheme="majorBidi" w:cstheme="majorBidi"/>
                <w:b/>
                <w:bCs/>
                <w:color w:val="000000"/>
                <w:sz w:val="22"/>
              </w:rPr>
              <w:t xml:space="preserve">Testes de Normalidade </w:t>
            </w:r>
            <w:r w:rsidRPr="00AA47DC">
              <w:rPr>
                <w:rFonts w:asciiTheme="majorBidi" w:hAnsiTheme="majorBidi" w:cstheme="majorBidi"/>
                <w:color w:val="000000"/>
                <w:sz w:val="22"/>
              </w:rPr>
              <w:t>ITM por M</w:t>
            </w:r>
            <w:r>
              <w:rPr>
                <w:rFonts w:asciiTheme="majorBidi" w:hAnsiTheme="majorBidi" w:cstheme="majorBidi"/>
                <w:color w:val="000000"/>
                <w:sz w:val="22"/>
              </w:rPr>
              <w:t>PA</w:t>
            </w:r>
          </w:p>
        </w:tc>
      </w:tr>
      <w:tr w:rsidR="00AA47DC" w14:paraId="6816F355" w14:textId="77777777" w:rsidTr="00AA47DC">
        <w:trPr>
          <w:cantSplit/>
          <w:jc w:val="center"/>
        </w:trPr>
        <w:tc>
          <w:tcPr>
            <w:tcW w:w="3969" w:type="dxa"/>
            <w:vMerge w:val="restart"/>
            <w:tcBorders>
              <w:top w:val="double" w:sz="4" w:space="0" w:color="auto"/>
              <w:left w:val="nil"/>
              <w:bottom w:val="nil"/>
              <w:right w:val="nil"/>
            </w:tcBorders>
            <w:shd w:val="clear" w:color="auto" w:fill="E7E6E6" w:themeFill="background2"/>
            <w:vAlign w:val="bottom"/>
            <w:hideMark/>
          </w:tcPr>
          <w:p w14:paraId="6070081D" w14:textId="18368296" w:rsidR="00AA47DC" w:rsidRDefault="00AA47DC">
            <w:pPr>
              <w:autoSpaceDE w:val="0"/>
              <w:autoSpaceDN w:val="0"/>
              <w:adjustRightInd w:val="0"/>
              <w:spacing w:after="0" w:line="320" w:lineRule="atLeast"/>
              <w:ind w:left="60" w:right="60"/>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Perce</w:t>
            </w:r>
            <w:r w:rsidR="00850591">
              <w:rPr>
                <w:rFonts w:asciiTheme="majorBidi" w:hAnsiTheme="majorBidi" w:cstheme="majorBidi"/>
                <w:color w:val="000000"/>
                <w:sz w:val="22"/>
                <w:lang w:val="en-US"/>
              </w:rPr>
              <w:t>n</w:t>
            </w:r>
            <w:r>
              <w:rPr>
                <w:rFonts w:asciiTheme="majorBidi" w:hAnsiTheme="majorBidi" w:cstheme="majorBidi"/>
                <w:color w:val="000000"/>
                <w:sz w:val="22"/>
                <w:lang w:val="en-US"/>
              </w:rPr>
              <w:t>tagem</w:t>
            </w:r>
            <w:proofErr w:type="spellEnd"/>
            <w:r>
              <w:rPr>
                <w:rFonts w:asciiTheme="majorBidi" w:hAnsiTheme="majorBidi" w:cstheme="majorBidi"/>
                <w:color w:val="000000"/>
                <w:sz w:val="22"/>
                <w:lang w:val="en-US"/>
              </w:rPr>
              <w:t xml:space="preserve"> de </w:t>
            </w:r>
            <w:proofErr w:type="spellStart"/>
            <w:r>
              <w:rPr>
                <w:rFonts w:asciiTheme="majorBidi" w:hAnsiTheme="majorBidi" w:cstheme="majorBidi"/>
                <w:color w:val="000000"/>
                <w:sz w:val="22"/>
                <w:lang w:val="en-US"/>
              </w:rPr>
              <w:t>abstenção</w:t>
            </w:r>
            <w:proofErr w:type="spellEnd"/>
          </w:p>
        </w:tc>
        <w:tc>
          <w:tcPr>
            <w:tcW w:w="3084" w:type="dxa"/>
            <w:gridSpan w:val="4"/>
            <w:tcBorders>
              <w:top w:val="double" w:sz="6" w:space="0" w:color="000000"/>
              <w:left w:val="nil"/>
              <w:bottom w:val="single" w:sz="8" w:space="0" w:color="000000"/>
              <w:right w:val="nil"/>
            </w:tcBorders>
            <w:shd w:val="clear" w:color="auto" w:fill="E7E6E6" w:themeFill="background2"/>
            <w:vAlign w:val="bottom"/>
            <w:hideMark/>
          </w:tcPr>
          <w:p w14:paraId="44F4380C" w14:textId="35C40E0F" w:rsidR="00AA47DC" w:rsidRDefault="00177BD8">
            <w:pPr>
              <w:autoSpaceDE w:val="0"/>
              <w:autoSpaceDN w:val="0"/>
              <w:adjustRightInd w:val="0"/>
              <w:spacing w:after="0" w:line="320" w:lineRule="atLeast"/>
              <w:ind w:left="60" w:right="60"/>
              <w:jc w:val="center"/>
              <w:rPr>
                <w:rFonts w:asciiTheme="majorBidi" w:hAnsiTheme="majorBidi" w:cstheme="majorBidi"/>
                <w:color w:val="000000"/>
                <w:sz w:val="22"/>
                <w:lang w:val="en-US"/>
              </w:rPr>
            </w:pPr>
            <w:r>
              <w:rPr>
                <w:rFonts w:asciiTheme="majorBidi" w:hAnsiTheme="majorBidi" w:cstheme="majorBidi"/>
                <w:color w:val="000000"/>
                <w:sz w:val="22"/>
                <w:lang w:val="en-US"/>
              </w:rPr>
              <w:t>Kolmogorov-Smirnov</w:t>
            </w:r>
            <w:r>
              <w:rPr>
                <w:rFonts w:asciiTheme="majorBidi" w:hAnsiTheme="majorBidi" w:cstheme="majorBidi"/>
                <w:color w:val="000000"/>
                <w:sz w:val="22"/>
                <w:vertAlign w:val="superscript"/>
                <w:lang w:val="en-US"/>
              </w:rPr>
              <w:t>a</w:t>
            </w:r>
          </w:p>
        </w:tc>
      </w:tr>
      <w:tr w:rsidR="00AA47DC" w14:paraId="5510D8C9" w14:textId="77777777" w:rsidTr="00AA47DC">
        <w:trPr>
          <w:cantSplit/>
          <w:jc w:val="center"/>
        </w:trPr>
        <w:tc>
          <w:tcPr>
            <w:tcW w:w="6946" w:type="dxa"/>
            <w:vMerge/>
            <w:tcBorders>
              <w:top w:val="nil"/>
              <w:left w:val="nil"/>
              <w:bottom w:val="single" w:sz="4" w:space="0" w:color="auto"/>
              <w:right w:val="nil"/>
            </w:tcBorders>
            <w:shd w:val="clear" w:color="auto" w:fill="E7E6E6" w:themeFill="background2"/>
            <w:vAlign w:val="center"/>
            <w:hideMark/>
          </w:tcPr>
          <w:p w14:paraId="5381EEF3" w14:textId="77777777" w:rsidR="00AA47DC" w:rsidRDefault="00AA47DC">
            <w:pPr>
              <w:spacing w:after="0"/>
              <w:rPr>
                <w:rFonts w:asciiTheme="majorBidi" w:hAnsiTheme="majorBidi" w:cstheme="majorBidi"/>
                <w:color w:val="000000"/>
                <w:sz w:val="22"/>
                <w:lang w:val="en-US"/>
              </w:rPr>
            </w:pPr>
          </w:p>
        </w:tc>
        <w:tc>
          <w:tcPr>
            <w:tcW w:w="1030" w:type="dxa"/>
            <w:tcBorders>
              <w:top w:val="single" w:sz="8" w:space="0" w:color="000000"/>
              <w:left w:val="nil"/>
              <w:bottom w:val="single" w:sz="4" w:space="0" w:color="auto"/>
              <w:right w:val="nil"/>
            </w:tcBorders>
            <w:shd w:val="clear" w:color="auto" w:fill="E7E6E6" w:themeFill="background2"/>
            <w:hideMark/>
          </w:tcPr>
          <w:p w14:paraId="3AB8CFC5"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Estatística</w:t>
            </w:r>
            <w:proofErr w:type="spellEnd"/>
          </w:p>
        </w:tc>
        <w:tc>
          <w:tcPr>
            <w:tcW w:w="1024" w:type="dxa"/>
            <w:tcBorders>
              <w:top w:val="single" w:sz="8" w:space="0" w:color="000000"/>
              <w:left w:val="nil"/>
              <w:bottom w:val="single" w:sz="4" w:space="0" w:color="auto"/>
              <w:right w:val="nil"/>
            </w:tcBorders>
            <w:shd w:val="clear" w:color="auto" w:fill="E7E6E6" w:themeFill="background2"/>
            <w:hideMark/>
          </w:tcPr>
          <w:p w14:paraId="5F079D32"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gl</w:t>
            </w:r>
            <w:proofErr w:type="spellEnd"/>
          </w:p>
        </w:tc>
        <w:tc>
          <w:tcPr>
            <w:tcW w:w="1030" w:type="dxa"/>
            <w:gridSpan w:val="2"/>
            <w:tcBorders>
              <w:top w:val="single" w:sz="8" w:space="0" w:color="000000"/>
              <w:left w:val="nil"/>
              <w:bottom w:val="single" w:sz="4" w:space="0" w:color="auto"/>
              <w:right w:val="nil"/>
            </w:tcBorders>
            <w:shd w:val="clear" w:color="auto" w:fill="E7E6E6" w:themeFill="background2"/>
            <w:hideMark/>
          </w:tcPr>
          <w:p w14:paraId="42265ED5"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r>
              <w:rPr>
                <w:rFonts w:asciiTheme="majorBidi" w:hAnsiTheme="majorBidi" w:cstheme="majorBidi"/>
                <w:color w:val="000000"/>
                <w:sz w:val="22"/>
                <w:lang w:val="en-US"/>
              </w:rPr>
              <w:t>Sig.</w:t>
            </w:r>
          </w:p>
        </w:tc>
      </w:tr>
      <w:tr w:rsidR="00AA47DC" w14:paraId="1401052A" w14:textId="77777777" w:rsidTr="00AA47DC">
        <w:trPr>
          <w:cantSplit/>
          <w:jc w:val="center"/>
        </w:trPr>
        <w:tc>
          <w:tcPr>
            <w:tcW w:w="3969" w:type="dxa"/>
            <w:tcBorders>
              <w:top w:val="single" w:sz="4" w:space="0" w:color="auto"/>
              <w:left w:val="nil"/>
              <w:bottom w:val="nil"/>
              <w:right w:val="nil"/>
            </w:tcBorders>
            <w:shd w:val="clear" w:color="auto" w:fill="FFFFFF"/>
            <w:hideMark/>
          </w:tcPr>
          <w:p w14:paraId="025974D5" w14:textId="722C7A42" w:rsidR="00AA47DC" w:rsidRPr="00AA47DC" w:rsidRDefault="00AA47DC">
            <w:pPr>
              <w:autoSpaceDE w:val="0"/>
              <w:autoSpaceDN w:val="0"/>
              <w:adjustRightInd w:val="0"/>
              <w:spacing w:after="0" w:line="320" w:lineRule="atLeast"/>
              <w:ind w:left="60" w:right="60"/>
              <w:rPr>
                <w:rFonts w:asciiTheme="majorBidi" w:hAnsiTheme="majorBidi" w:cstheme="majorBidi"/>
                <w:color w:val="000000"/>
                <w:sz w:val="22"/>
              </w:rPr>
            </w:pPr>
            <w:proofErr w:type="spellStart"/>
            <w:r w:rsidRPr="00AA47DC">
              <w:rPr>
                <w:rFonts w:asciiTheme="majorBidi" w:hAnsiTheme="majorBidi" w:cstheme="majorBidi"/>
                <w:color w:val="000000"/>
                <w:sz w:val="22"/>
              </w:rPr>
              <w:t>Municipíos</w:t>
            </w:r>
            <w:proofErr w:type="spellEnd"/>
            <w:r w:rsidRPr="00AA47DC">
              <w:rPr>
                <w:rFonts w:asciiTheme="majorBidi" w:hAnsiTheme="majorBidi" w:cstheme="majorBidi"/>
                <w:color w:val="000000"/>
                <w:sz w:val="22"/>
              </w:rPr>
              <w:t xml:space="preserve"> c/ menor taxa de abstenção</w:t>
            </w:r>
          </w:p>
        </w:tc>
        <w:tc>
          <w:tcPr>
            <w:tcW w:w="1030" w:type="dxa"/>
            <w:tcBorders>
              <w:top w:val="single" w:sz="4" w:space="0" w:color="auto"/>
              <w:left w:val="nil"/>
              <w:bottom w:val="nil"/>
              <w:right w:val="nil"/>
            </w:tcBorders>
            <w:shd w:val="clear" w:color="auto" w:fill="FFFFFF"/>
            <w:hideMark/>
          </w:tcPr>
          <w:p w14:paraId="3CE3D2BD"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0,121</w:t>
            </w:r>
          </w:p>
        </w:tc>
        <w:tc>
          <w:tcPr>
            <w:tcW w:w="1024" w:type="dxa"/>
            <w:tcBorders>
              <w:top w:val="single" w:sz="4" w:space="0" w:color="auto"/>
              <w:left w:val="nil"/>
              <w:bottom w:val="nil"/>
              <w:right w:val="nil"/>
            </w:tcBorders>
            <w:shd w:val="clear" w:color="auto" w:fill="FFFFFF"/>
            <w:hideMark/>
          </w:tcPr>
          <w:p w14:paraId="0B1881D2"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806</w:t>
            </w:r>
          </w:p>
        </w:tc>
        <w:tc>
          <w:tcPr>
            <w:tcW w:w="1030" w:type="dxa"/>
            <w:gridSpan w:val="2"/>
            <w:tcBorders>
              <w:top w:val="single" w:sz="4" w:space="0" w:color="auto"/>
              <w:left w:val="nil"/>
              <w:bottom w:val="nil"/>
              <w:right w:val="nil"/>
            </w:tcBorders>
            <w:shd w:val="clear" w:color="auto" w:fill="FFFFFF"/>
            <w:hideMark/>
          </w:tcPr>
          <w:p w14:paraId="463901A6"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0,000</w:t>
            </w:r>
          </w:p>
        </w:tc>
      </w:tr>
      <w:tr w:rsidR="00AA47DC" w14:paraId="6FA4D4B6" w14:textId="77777777" w:rsidTr="00AA47DC">
        <w:trPr>
          <w:cantSplit/>
          <w:jc w:val="center"/>
        </w:trPr>
        <w:tc>
          <w:tcPr>
            <w:tcW w:w="3969" w:type="dxa"/>
            <w:tcBorders>
              <w:top w:val="nil"/>
              <w:left w:val="nil"/>
              <w:bottom w:val="double" w:sz="4" w:space="0" w:color="auto"/>
              <w:right w:val="nil"/>
            </w:tcBorders>
            <w:shd w:val="clear" w:color="auto" w:fill="E7E6E6" w:themeFill="background2"/>
            <w:hideMark/>
          </w:tcPr>
          <w:p w14:paraId="062FD728" w14:textId="2F5B19C8" w:rsidR="00AA47DC" w:rsidRPr="00AA47DC" w:rsidRDefault="00AA47DC">
            <w:pPr>
              <w:autoSpaceDE w:val="0"/>
              <w:autoSpaceDN w:val="0"/>
              <w:adjustRightInd w:val="0"/>
              <w:spacing w:after="0" w:line="320" w:lineRule="atLeast"/>
              <w:ind w:left="60" w:right="60"/>
              <w:rPr>
                <w:rFonts w:asciiTheme="majorBidi" w:hAnsiTheme="majorBidi" w:cstheme="majorBidi"/>
                <w:color w:val="000000"/>
                <w:sz w:val="22"/>
              </w:rPr>
            </w:pPr>
            <w:proofErr w:type="spellStart"/>
            <w:r w:rsidRPr="00AA47DC">
              <w:rPr>
                <w:rFonts w:asciiTheme="majorBidi" w:hAnsiTheme="majorBidi" w:cstheme="majorBidi"/>
                <w:color w:val="000000"/>
                <w:sz w:val="22"/>
              </w:rPr>
              <w:t>Municipíos</w:t>
            </w:r>
            <w:proofErr w:type="spellEnd"/>
            <w:r w:rsidRPr="00AA47DC">
              <w:rPr>
                <w:rFonts w:asciiTheme="majorBidi" w:hAnsiTheme="majorBidi" w:cstheme="majorBidi"/>
                <w:color w:val="000000"/>
                <w:sz w:val="22"/>
              </w:rPr>
              <w:t xml:space="preserve"> c/ maior taxa de abstenção</w:t>
            </w:r>
          </w:p>
        </w:tc>
        <w:tc>
          <w:tcPr>
            <w:tcW w:w="1030" w:type="dxa"/>
            <w:tcBorders>
              <w:top w:val="nil"/>
              <w:left w:val="nil"/>
              <w:bottom w:val="double" w:sz="6" w:space="0" w:color="000000"/>
              <w:right w:val="nil"/>
            </w:tcBorders>
            <w:shd w:val="clear" w:color="auto" w:fill="E7E6E6" w:themeFill="background2"/>
            <w:hideMark/>
          </w:tcPr>
          <w:p w14:paraId="745DC42A"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0,087</w:t>
            </w:r>
          </w:p>
        </w:tc>
        <w:tc>
          <w:tcPr>
            <w:tcW w:w="1024" w:type="dxa"/>
            <w:tcBorders>
              <w:top w:val="nil"/>
              <w:left w:val="nil"/>
              <w:bottom w:val="double" w:sz="6" w:space="0" w:color="000000"/>
              <w:right w:val="nil"/>
            </w:tcBorders>
            <w:shd w:val="clear" w:color="auto" w:fill="E7E6E6" w:themeFill="background2"/>
            <w:hideMark/>
          </w:tcPr>
          <w:p w14:paraId="4C3B66A9"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734</w:t>
            </w:r>
          </w:p>
        </w:tc>
        <w:tc>
          <w:tcPr>
            <w:tcW w:w="1030" w:type="dxa"/>
            <w:gridSpan w:val="2"/>
            <w:tcBorders>
              <w:top w:val="nil"/>
              <w:left w:val="nil"/>
              <w:bottom w:val="double" w:sz="6" w:space="0" w:color="000000"/>
              <w:right w:val="nil"/>
            </w:tcBorders>
            <w:shd w:val="clear" w:color="auto" w:fill="E7E6E6" w:themeFill="background2"/>
            <w:hideMark/>
          </w:tcPr>
          <w:p w14:paraId="1DDE2E59"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0,000</w:t>
            </w:r>
          </w:p>
        </w:tc>
      </w:tr>
      <w:tr w:rsidR="00AA47DC" w14:paraId="74F960F8" w14:textId="77777777" w:rsidTr="00AA47DC">
        <w:trPr>
          <w:gridAfter w:val="1"/>
          <w:wAfter w:w="107" w:type="dxa"/>
          <w:cantSplit/>
          <w:jc w:val="center"/>
        </w:trPr>
        <w:tc>
          <w:tcPr>
            <w:tcW w:w="6946" w:type="dxa"/>
            <w:gridSpan w:val="4"/>
            <w:tcBorders>
              <w:top w:val="nil"/>
              <w:left w:val="nil"/>
              <w:bottom w:val="nil"/>
              <w:right w:val="nil"/>
            </w:tcBorders>
            <w:shd w:val="clear" w:color="auto" w:fill="FFFFFF"/>
            <w:hideMark/>
          </w:tcPr>
          <w:p w14:paraId="218135CB" w14:textId="77777777" w:rsidR="00AA47DC" w:rsidRPr="00AA47DC" w:rsidRDefault="00AA47DC">
            <w:pPr>
              <w:autoSpaceDE w:val="0"/>
              <w:autoSpaceDN w:val="0"/>
              <w:adjustRightInd w:val="0"/>
              <w:spacing w:after="0" w:line="320" w:lineRule="atLeast"/>
              <w:ind w:left="60" w:right="60"/>
              <w:rPr>
                <w:rFonts w:asciiTheme="majorBidi" w:hAnsiTheme="majorBidi" w:cstheme="majorBidi"/>
                <w:color w:val="000000"/>
                <w:sz w:val="18"/>
                <w:szCs w:val="18"/>
              </w:rPr>
            </w:pPr>
            <w:r w:rsidRPr="00AA47DC">
              <w:rPr>
                <w:rFonts w:asciiTheme="majorBidi" w:hAnsiTheme="majorBidi" w:cstheme="majorBidi"/>
                <w:color w:val="000000"/>
                <w:sz w:val="18"/>
                <w:szCs w:val="18"/>
              </w:rPr>
              <w:t xml:space="preserve">a. Correlação de Significância de </w:t>
            </w:r>
            <w:proofErr w:type="spellStart"/>
            <w:r w:rsidRPr="00AA47DC">
              <w:rPr>
                <w:rFonts w:asciiTheme="majorBidi" w:hAnsiTheme="majorBidi" w:cstheme="majorBidi"/>
                <w:color w:val="000000"/>
                <w:sz w:val="18"/>
                <w:szCs w:val="18"/>
              </w:rPr>
              <w:t>Lilliefors</w:t>
            </w:r>
            <w:proofErr w:type="spellEnd"/>
          </w:p>
        </w:tc>
      </w:tr>
    </w:tbl>
    <w:p w14:paraId="1E09FB17" w14:textId="77777777" w:rsidR="00AA47DC" w:rsidRDefault="00AA47DC" w:rsidP="00AA47DC">
      <w:pPr>
        <w:autoSpaceDE w:val="0"/>
        <w:autoSpaceDN w:val="0"/>
        <w:adjustRightInd w:val="0"/>
        <w:spacing w:after="0" w:line="240" w:lineRule="auto"/>
        <w:rPr>
          <w:rFonts w:asciiTheme="majorBidi" w:hAnsiTheme="majorBidi" w:cstheme="majorBidi"/>
          <w:szCs w:val="24"/>
        </w:rPr>
      </w:pPr>
    </w:p>
    <w:tbl>
      <w:tblPr>
        <w:tblW w:w="538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135"/>
        <w:gridCol w:w="1169"/>
        <w:gridCol w:w="1030"/>
        <w:gridCol w:w="1030"/>
        <w:gridCol w:w="21"/>
      </w:tblGrid>
      <w:tr w:rsidR="00AA47DC" w14:paraId="0E2EC6BF" w14:textId="77777777" w:rsidTr="00AA47DC">
        <w:trPr>
          <w:cantSplit/>
          <w:jc w:val="center"/>
        </w:trPr>
        <w:tc>
          <w:tcPr>
            <w:tcW w:w="5387" w:type="dxa"/>
            <w:gridSpan w:val="5"/>
            <w:tcBorders>
              <w:top w:val="nil"/>
              <w:left w:val="nil"/>
              <w:bottom w:val="nil"/>
              <w:right w:val="nil"/>
            </w:tcBorders>
            <w:shd w:val="clear" w:color="auto" w:fill="FFFFFF"/>
            <w:vAlign w:val="center"/>
            <w:hideMark/>
          </w:tcPr>
          <w:p w14:paraId="7FF25188" w14:textId="515242BB" w:rsidR="00AA47DC" w:rsidRP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rPr>
            </w:pPr>
            <w:r w:rsidRPr="00AA47DC">
              <w:rPr>
                <w:rFonts w:asciiTheme="majorBidi" w:hAnsiTheme="majorBidi" w:cstheme="majorBidi"/>
                <w:b/>
                <w:bCs/>
                <w:color w:val="000000"/>
                <w:sz w:val="22"/>
              </w:rPr>
              <w:t xml:space="preserve">Testes de Normalidade </w:t>
            </w:r>
            <w:r w:rsidRPr="00AA47DC">
              <w:rPr>
                <w:rFonts w:asciiTheme="majorBidi" w:hAnsiTheme="majorBidi" w:cstheme="majorBidi"/>
                <w:color w:val="000000"/>
                <w:sz w:val="22"/>
              </w:rPr>
              <w:t>ITM por PR</w:t>
            </w:r>
          </w:p>
        </w:tc>
      </w:tr>
      <w:tr w:rsidR="00AA47DC" w14:paraId="4B551323" w14:textId="77777777" w:rsidTr="00AA47DC">
        <w:trPr>
          <w:gridAfter w:val="1"/>
          <w:wAfter w:w="21" w:type="dxa"/>
          <w:cantSplit/>
          <w:jc w:val="center"/>
        </w:trPr>
        <w:tc>
          <w:tcPr>
            <w:tcW w:w="2137" w:type="dxa"/>
            <w:vMerge w:val="restart"/>
            <w:tcBorders>
              <w:top w:val="double" w:sz="6" w:space="0" w:color="000000"/>
              <w:left w:val="nil"/>
              <w:bottom w:val="nil"/>
              <w:right w:val="nil"/>
            </w:tcBorders>
            <w:shd w:val="clear" w:color="auto" w:fill="E7E6E6" w:themeFill="background2"/>
            <w:vAlign w:val="bottom"/>
            <w:hideMark/>
          </w:tcPr>
          <w:p w14:paraId="338B3613" w14:textId="467793BC" w:rsidR="00AA47DC" w:rsidRDefault="00AA47DC">
            <w:pPr>
              <w:autoSpaceDE w:val="0"/>
              <w:autoSpaceDN w:val="0"/>
              <w:adjustRightInd w:val="0"/>
              <w:spacing w:after="0" w:line="320" w:lineRule="atLeast"/>
              <w:ind w:left="60" w:right="60"/>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População</w:t>
            </w:r>
            <w:proofErr w:type="spellEnd"/>
            <w:r>
              <w:rPr>
                <w:rFonts w:asciiTheme="majorBidi" w:hAnsiTheme="majorBidi" w:cstheme="majorBidi"/>
                <w:color w:val="000000"/>
                <w:sz w:val="22"/>
                <w:lang w:val="en-US"/>
              </w:rPr>
              <w:t xml:space="preserve"> </w:t>
            </w:r>
            <w:proofErr w:type="spellStart"/>
            <w:r>
              <w:rPr>
                <w:rFonts w:asciiTheme="majorBidi" w:hAnsiTheme="majorBidi" w:cstheme="majorBidi"/>
                <w:color w:val="000000"/>
                <w:sz w:val="22"/>
                <w:lang w:val="en-US"/>
              </w:rPr>
              <w:t>Residente</w:t>
            </w:r>
            <w:proofErr w:type="spellEnd"/>
          </w:p>
        </w:tc>
        <w:tc>
          <w:tcPr>
            <w:tcW w:w="3229" w:type="dxa"/>
            <w:gridSpan w:val="3"/>
            <w:tcBorders>
              <w:top w:val="double" w:sz="6" w:space="0" w:color="000000"/>
              <w:left w:val="nil"/>
              <w:bottom w:val="single" w:sz="8" w:space="0" w:color="000000"/>
              <w:right w:val="nil"/>
            </w:tcBorders>
            <w:shd w:val="clear" w:color="auto" w:fill="E7E6E6" w:themeFill="background2"/>
            <w:vAlign w:val="bottom"/>
            <w:hideMark/>
          </w:tcPr>
          <w:p w14:paraId="7EA64294" w14:textId="12C5F01F" w:rsidR="00AA47DC" w:rsidRDefault="00177BD8">
            <w:pPr>
              <w:autoSpaceDE w:val="0"/>
              <w:autoSpaceDN w:val="0"/>
              <w:adjustRightInd w:val="0"/>
              <w:spacing w:after="0" w:line="320" w:lineRule="atLeast"/>
              <w:ind w:left="60" w:right="60"/>
              <w:jc w:val="center"/>
              <w:rPr>
                <w:rFonts w:asciiTheme="majorBidi" w:hAnsiTheme="majorBidi" w:cstheme="majorBidi"/>
                <w:color w:val="000000"/>
                <w:sz w:val="22"/>
                <w:lang w:val="en-US"/>
              </w:rPr>
            </w:pPr>
            <w:r>
              <w:rPr>
                <w:rFonts w:asciiTheme="majorBidi" w:hAnsiTheme="majorBidi" w:cstheme="majorBidi"/>
                <w:color w:val="000000"/>
                <w:sz w:val="22"/>
                <w:lang w:val="en-US"/>
              </w:rPr>
              <w:t>Kolmogorov-Smirnov</w:t>
            </w:r>
            <w:r>
              <w:rPr>
                <w:rFonts w:asciiTheme="majorBidi" w:hAnsiTheme="majorBidi" w:cstheme="majorBidi"/>
                <w:color w:val="000000"/>
                <w:sz w:val="22"/>
                <w:vertAlign w:val="superscript"/>
                <w:lang w:val="en-US"/>
              </w:rPr>
              <w:t>a</w:t>
            </w:r>
          </w:p>
        </w:tc>
      </w:tr>
      <w:tr w:rsidR="00AA47DC" w14:paraId="2EB044FA" w14:textId="77777777" w:rsidTr="00AA47DC">
        <w:trPr>
          <w:gridAfter w:val="1"/>
          <w:wAfter w:w="21" w:type="dxa"/>
          <w:cantSplit/>
          <w:jc w:val="center"/>
        </w:trPr>
        <w:tc>
          <w:tcPr>
            <w:tcW w:w="5387" w:type="dxa"/>
            <w:vMerge/>
            <w:tcBorders>
              <w:top w:val="double" w:sz="6" w:space="0" w:color="000000"/>
              <w:left w:val="nil"/>
              <w:bottom w:val="single" w:sz="4" w:space="0" w:color="auto"/>
              <w:right w:val="nil"/>
            </w:tcBorders>
            <w:shd w:val="clear" w:color="auto" w:fill="E7E6E6" w:themeFill="background2"/>
            <w:vAlign w:val="center"/>
            <w:hideMark/>
          </w:tcPr>
          <w:p w14:paraId="19CC0ACC" w14:textId="77777777" w:rsidR="00AA47DC" w:rsidRDefault="00AA47DC">
            <w:pPr>
              <w:spacing w:after="0"/>
              <w:rPr>
                <w:rFonts w:asciiTheme="majorBidi" w:hAnsiTheme="majorBidi" w:cstheme="majorBidi"/>
                <w:color w:val="000000"/>
                <w:sz w:val="22"/>
                <w:lang w:val="en-US"/>
              </w:rPr>
            </w:pPr>
          </w:p>
        </w:tc>
        <w:tc>
          <w:tcPr>
            <w:tcW w:w="1169" w:type="dxa"/>
            <w:tcBorders>
              <w:top w:val="single" w:sz="8" w:space="0" w:color="000000"/>
              <w:left w:val="nil"/>
              <w:bottom w:val="single" w:sz="4" w:space="0" w:color="auto"/>
              <w:right w:val="nil"/>
            </w:tcBorders>
            <w:shd w:val="clear" w:color="auto" w:fill="E7E6E6" w:themeFill="background2"/>
            <w:vAlign w:val="bottom"/>
            <w:hideMark/>
          </w:tcPr>
          <w:p w14:paraId="43C6E8DC"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Estatística</w:t>
            </w:r>
            <w:proofErr w:type="spellEnd"/>
          </w:p>
        </w:tc>
        <w:tc>
          <w:tcPr>
            <w:tcW w:w="1030" w:type="dxa"/>
            <w:tcBorders>
              <w:top w:val="single" w:sz="8" w:space="0" w:color="000000"/>
              <w:left w:val="nil"/>
              <w:bottom w:val="single" w:sz="4" w:space="0" w:color="auto"/>
              <w:right w:val="nil"/>
            </w:tcBorders>
            <w:shd w:val="clear" w:color="auto" w:fill="E7E6E6" w:themeFill="background2"/>
            <w:vAlign w:val="bottom"/>
            <w:hideMark/>
          </w:tcPr>
          <w:p w14:paraId="40E014F7"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gl</w:t>
            </w:r>
            <w:proofErr w:type="spellEnd"/>
          </w:p>
        </w:tc>
        <w:tc>
          <w:tcPr>
            <w:tcW w:w="1030" w:type="dxa"/>
            <w:tcBorders>
              <w:top w:val="single" w:sz="8" w:space="0" w:color="000000"/>
              <w:left w:val="nil"/>
              <w:bottom w:val="single" w:sz="4" w:space="0" w:color="auto"/>
              <w:right w:val="nil"/>
            </w:tcBorders>
            <w:shd w:val="clear" w:color="auto" w:fill="E7E6E6" w:themeFill="background2"/>
            <w:vAlign w:val="bottom"/>
            <w:hideMark/>
          </w:tcPr>
          <w:p w14:paraId="6F9127C9"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r>
              <w:rPr>
                <w:rFonts w:asciiTheme="majorBidi" w:hAnsiTheme="majorBidi" w:cstheme="majorBidi"/>
                <w:color w:val="000000"/>
                <w:sz w:val="22"/>
                <w:lang w:val="en-US"/>
              </w:rPr>
              <w:t>Sig.</w:t>
            </w:r>
          </w:p>
        </w:tc>
      </w:tr>
      <w:tr w:rsidR="00AA47DC" w14:paraId="337DF390" w14:textId="77777777" w:rsidTr="00AA47DC">
        <w:trPr>
          <w:gridAfter w:val="1"/>
          <w:wAfter w:w="21" w:type="dxa"/>
          <w:cantSplit/>
          <w:jc w:val="center"/>
        </w:trPr>
        <w:tc>
          <w:tcPr>
            <w:tcW w:w="2137" w:type="dxa"/>
            <w:tcBorders>
              <w:top w:val="single" w:sz="4" w:space="0" w:color="auto"/>
              <w:left w:val="nil"/>
              <w:bottom w:val="nil"/>
              <w:right w:val="nil"/>
            </w:tcBorders>
            <w:shd w:val="clear" w:color="auto" w:fill="FFFFFF"/>
            <w:hideMark/>
          </w:tcPr>
          <w:p w14:paraId="3B530782" w14:textId="5B1B08CC" w:rsidR="00AA47DC" w:rsidRDefault="00AA47DC">
            <w:pPr>
              <w:autoSpaceDE w:val="0"/>
              <w:autoSpaceDN w:val="0"/>
              <w:adjustRightInd w:val="0"/>
              <w:spacing w:after="0" w:line="320" w:lineRule="atLeast"/>
              <w:ind w:left="60" w:right="60"/>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Municípios</w:t>
            </w:r>
            <w:proofErr w:type="spellEnd"/>
            <w:r>
              <w:rPr>
                <w:rFonts w:asciiTheme="majorBidi" w:hAnsiTheme="majorBidi" w:cstheme="majorBidi"/>
                <w:color w:val="000000"/>
                <w:sz w:val="22"/>
                <w:lang w:val="en-US"/>
              </w:rPr>
              <w:t xml:space="preserve"> </w:t>
            </w:r>
            <w:proofErr w:type="spellStart"/>
            <w:r>
              <w:rPr>
                <w:rFonts w:asciiTheme="majorBidi" w:hAnsiTheme="majorBidi" w:cstheme="majorBidi"/>
                <w:color w:val="000000"/>
                <w:sz w:val="22"/>
                <w:lang w:val="en-US"/>
              </w:rPr>
              <w:t>pequenos</w:t>
            </w:r>
            <w:proofErr w:type="spellEnd"/>
          </w:p>
        </w:tc>
        <w:tc>
          <w:tcPr>
            <w:tcW w:w="1169" w:type="dxa"/>
            <w:tcBorders>
              <w:top w:val="single" w:sz="4" w:space="0" w:color="auto"/>
              <w:left w:val="nil"/>
              <w:bottom w:val="nil"/>
              <w:right w:val="nil"/>
            </w:tcBorders>
            <w:shd w:val="clear" w:color="auto" w:fill="FFFFFF"/>
            <w:hideMark/>
          </w:tcPr>
          <w:p w14:paraId="7B53D426"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0,124</w:t>
            </w:r>
          </w:p>
        </w:tc>
        <w:tc>
          <w:tcPr>
            <w:tcW w:w="1030" w:type="dxa"/>
            <w:tcBorders>
              <w:top w:val="single" w:sz="4" w:space="0" w:color="auto"/>
              <w:left w:val="nil"/>
              <w:bottom w:val="nil"/>
              <w:right w:val="nil"/>
            </w:tcBorders>
            <w:shd w:val="clear" w:color="auto" w:fill="FFFFFF"/>
            <w:hideMark/>
          </w:tcPr>
          <w:p w14:paraId="59FEB269"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924</w:t>
            </w:r>
          </w:p>
        </w:tc>
        <w:tc>
          <w:tcPr>
            <w:tcW w:w="1030" w:type="dxa"/>
            <w:tcBorders>
              <w:top w:val="single" w:sz="4" w:space="0" w:color="auto"/>
              <w:left w:val="nil"/>
              <w:bottom w:val="nil"/>
              <w:right w:val="nil"/>
            </w:tcBorders>
            <w:shd w:val="clear" w:color="auto" w:fill="FFFFFF"/>
            <w:hideMark/>
          </w:tcPr>
          <w:p w14:paraId="1B0F42AF"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r>
              <w:rPr>
                <w:rFonts w:asciiTheme="majorBidi" w:hAnsiTheme="majorBidi" w:cstheme="majorBidi"/>
                <w:color w:val="000000"/>
                <w:sz w:val="22"/>
                <w:lang w:val="en-US"/>
              </w:rPr>
              <w:t>0,000</w:t>
            </w:r>
          </w:p>
        </w:tc>
      </w:tr>
      <w:tr w:rsidR="00AA47DC" w14:paraId="149685B7" w14:textId="77777777" w:rsidTr="00AA47DC">
        <w:trPr>
          <w:gridAfter w:val="1"/>
          <w:wAfter w:w="21" w:type="dxa"/>
          <w:cantSplit/>
          <w:jc w:val="center"/>
        </w:trPr>
        <w:tc>
          <w:tcPr>
            <w:tcW w:w="2137" w:type="dxa"/>
            <w:tcBorders>
              <w:top w:val="nil"/>
              <w:left w:val="nil"/>
              <w:bottom w:val="nil"/>
              <w:right w:val="nil"/>
            </w:tcBorders>
            <w:shd w:val="clear" w:color="auto" w:fill="E7E6E6" w:themeFill="background2"/>
            <w:hideMark/>
          </w:tcPr>
          <w:p w14:paraId="01F5B9CD" w14:textId="6087681F" w:rsidR="00AA47DC" w:rsidRDefault="00AA47DC">
            <w:pPr>
              <w:autoSpaceDE w:val="0"/>
              <w:autoSpaceDN w:val="0"/>
              <w:adjustRightInd w:val="0"/>
              <w:spacing w:after="0" w:line="320" w:lineRule="atLeast"/>
              <w:ind w:left="60" w:right="60"/>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Municípios</w:t>
            </w:r>
            <w:proofErr w:type="spellEnd"/>
            <w:r>
              <w:rPr>
                <w:rFonts w:asciiTheme="majorBidi" w:hAnsiTheme="majorBidi" w:cstheme="majorBidi"/>
                <w:color w:val="000000"/>
                <w:sz w:val="22"/>
                <w:lang w:val="en-US"/>
              </w:rPr>
              <w:t xml:space="preserve"> </w:t>
            </w:r>
            <w:proofErr w:type="spellStart"/>
            <w:r>
              <w:rPr>
                <w:rFonts w:asciiTheme="majorBidi" w:hAnsiTheme="majorBidi" w:cstheme="majorBidi"/>
                <w:color w:val="000000"/>
                <w:sz w:val="22"/>
                <w:lang w:val="en-US"/>
              </w:rPr>
              <w:t>médios</w:t>
            </w:r>
            <w:proofErr w:type="spellEnd"/>
          </w:p>
        </w:tc>
        <w:tc>
          <w:tcPr>
            <w:tcW w:w="1169" w:type="dxa"/>
            <w:tcBorders>
              <w:top w:val="nil"/>
              <w:left w:val="nil"/>
              <w:bottom w:val="nil"/>
              <w:right w:val="nil"/>
            </w:tcBorders>
            <w:shd w:val="clear" w:color="auto" w:fill="E7E6E6" w:themeFill="background2"/>
            <w:hideMark/>
          </w:tcPr>
          <w:p w14:paraId="4AE5A2D2"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0,087</w:t>
            </w:r>
          </w:p>
        </w:tc>
        <w:tc>
          <w:tcPr>
            <w:tcW w:w="1030" w:type="dxa"/>
            <w:tcBorders>
              <w:top w:val="nil"/>
              <w:left w:val="nil"/>
              <w:bottom w:val="nil"/>
              <w:right w:val="nil"/>
            </w:tcBorders>
            <w:shd w:val="clear" w:color="auto" w:fill="E7E6E6" w:themeFill="background2"/>
            <w:hideMark/>
          </w:tcPr>
          <w:p w14:paraId="66A438B7"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496</w:t>
            </w:r>
          </w:p>
        </w:tc>
        <w:tc>
          <w:tcPr>
            <w:tcW w:w="1030" w:type="dxa"/>
            <w:tcBorders>
              <w:top w:val="nil"/>
              <w:left w:val="nil"/>
              <w:bottom w:val="nil"/>
              <w:right w:val="nil"/>
            </w:tcBorders>
            <w:shd w:val="clear" w:color="auto" w:fill="E7E6E6" w:themeFill="background2"/>
            <w:hideMark/>
          </w:tcPr>
          <w:p w14:paraId="4520C0F0"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r>
              <w:rPr>
                <w:rFonts w:asciiTheme="majorBidi" w:hAnsiTheme="majorBidi" w:cstheme="majorBidi"/>
                <w:color w:val="000000"/>
                <w:sz w:val="22"/>
                <w:lang w:val="en-US"/>
              </w:rPr>
              <w:t>0,000</w:t>
            </w:r>
          </w:p>
        </w:tc>
      </w:tr>
      <w:tr w:rsidR="00AA47DC" w14:paraId="01419945" w14:textId="77777777" w:rsidTr="00AA47DC">
        <w:trPr>
          <w:gridAfter w:val="1"/>
          <w:wAfter w:w="21" w:type="dxa"/>
          <w:cantSplit/>
          <w:jc w:val="center"/>
        </w:trPr>
        <w:tc>
          <w:tcPr>
            <w:tcW w:w="2137" w:type="dxa"/>
            <w:tcBorders>
              <w:top w:val="nil"/>
              <w:left w:val="nil"/>
              <w:bottom w:val="double" w:sz="6" w:space="0" w:color="000000"/>
              <w:right w:val="nil"/>
            </w:tcBorders>
            <w:shd w:val="clear" w:color="auto" w:fill="FFFFFF"/>
            <w:hideMark/>
          </w:tcPr>
          <w:p w14:paraId="6D947EBE" w14:textId="65022F3C" w:rsidR="00AA47DC" w:rsidRDefault="00AA47DC">
            <w:pPr>
              <w:autoSpaceDE w:val="0"/>
              <w:autoSpaceDN w:val="0"/>
              <w:adjustRightInd w:val="0"/>
              <w:spacing w:after="0" w:line="320" w:lineRule="atLeast"/>
              <w:ind w:left="60" w:right="60"/>
              <w:rPr>
                <w:rFonts w:asciiTheme="majorBidi" w:hAnsiTheme="majorBidi" w:cstheme="majorBidi"/>
                <w:color w:val="000000"/>
                <w:sz w:val="22"/>
                <w:lang w:val="en-US"/>
              </w:rPr>
            </w:pPr>
            <w:proofErr w:type="spellStart"/>
            <w:r>
              <w:rPr>
                <w:rFonts w:asciiTheme="majorBidi" w:hAnsiTheme="majorBidi" w:cstheme="majorBidi"/>
                <w:color w:val="000000"/>
                <w:sz w:val="22"/>
                <w:lang w:val="en-US"/>
              </w:rPr>
              <w:t>Municípios</w:t>
            </w:r>
            <w:proofErr w:type="spellEnd"/>
            <w:r>
              <w:rPr>
                <w:rFonts w:asciiTheme="majorBidi" w:hAnsiTheme="majorBidi" w:cstheme="majorBidi"/>
                <w:color w:val="000000"/>
                <w:sz w:val="22"/>
                <w:lang w:val="en-US"/>
              </w:rPr>
              <w:t xml:space="preserve"> </w:t>
            </w:r>
            <w:proofErr w:type="spellStart"/>
            <w:r>
              <w:rPr>
                <w:rFonts w:asciiTheme="majorBidi" w:hAnsiTheme="majorBidi" w:cstheme="majorBidi"/>
                <w:color w:val="000000"/>
                <w:sz w:val="22"/>
                <w:lang w:val="en-US"/>
              </w:rPr>
              <w:t>grandes</w:t>
            </w:r>
            <w:proofErr w:type="spellEnd"/>
          </w:p>
        </w:tc>
        <w:tc>
          <w:tcPr>
            <w:tcW w:w="1169" w:type="dxa"/>
            <w:tcBorders>
              <w:top w:val="nil"/>
              <w:left w:val="nil"/>
              <w:bottom w:val="double" w:sz="6" w:space="0" w:color="000000"/>
              <w:right w:val="nil"/>
            </w:tcBorders>
            <w:shd w:val="clear" w:color="auto" w:fill="FFFFFF"/>
            <w:hideMark/>
          </w:tcPr>
          <w:p w14:paraId="74CF20E0"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0,132</w:t>
            </w:r>
          </w:p>
        </w:tc>
        <w:tc>
          <w:tcPr>
            <w:tcW w:w="1030" w:type="dxa"/>
            <w:tcBorders>
              <w:top w:val="nil"/>
              <w:left w:val="nil"/>
              <w:bottom w:val="double" w:sz="6" w:space="0" w:color="000000"/>
              <w:right w:val="nil"/>
            </w:tcBorders>
            <w:shd w:val="clear" w:color="auto" w:fill="FFFFFF"/>
            <w:hideMark/>
          </w:tcPr>
          <w:p w14:paraId="492D3A45" w14:textId="77777777" w:rsidR="00AA47DC" w:rsidRDefault="00AA47DC">
            <w:pPr>
              <w:autoSpaceDE w:val="0"/>
              <w:autoSpaceDN w:val="0"/>
              <w:adjustRightInd w:val="0"/>
              <w:spacing w:after="0" w:line="320" w:lineRule="atLeast"/>
              <w:ind w:left="60" w:right="60"/>
              <w:jc w:val="right"/>
              <w:rPr>
                <w:rFonts w:asciiTheme="majorBidi" w:hAnsiTheme="majorBidi" w:cstheme="majorBidi"/>
                <w:color w:val="000000"/>
                <w:sz w:val="22"/>
                <w:lang w:val="en-US"/>
              </w:rPr>
            </w:pPr>
            <w:r>
              <w:rPr>
                <w:rFonts w:asciiTheme="majorBidi" w:hAnsiTheme="majorBidi" w:cstheme="majorBidi"/>
                <w:color w:val="000000"/>
                <w:sz w:val="22"/>
                <w:lang w:val="en-US"/>
              </w:rPr>
              <w:t>120</w:t>
            </w:r>
          </w:p>
        </w:tc>
        <w:tc>
          <w:tcPr>
            <w:tcW w:w="1030" w:type="dxa"/>
            <w:tcBorders>
              <w:top w:val="nil"/>
              <w:left w:val="nil"/>
              <w:bottom w:val="double" w:sz="6" w:space="0" w:color="000000"/>
              <w:right w:val="nil"/>
            </w:tcBorders>
            <w:shd w:val="clear" w:color="auto" w:fill="FFFFFF"/>
            <w:hideMark/>
          </w:tcPr>
          <w:p w14:paraId="67213D82" w14:textId="77777777" w:rsidR="00AA47DC" w:rsidRDefault="00AA47DC">
            <w:pPr>
              <w:autoSpaceDE w:val="0"/>
              <w:autoSpaceDN w:val="0"/>
              <w:adjustRightInd w:val="0"/>
              <w:spacing w:after="0" w:line="320" w:lineRule="atLeast"/>
              <w:ind w:left="60" w:right="60"/>
              <w:jc w:val="center"/>
              <w:rPr>
                <w:rFonts w:asciiTheme="majorBidi" w:hAnsiTheme="majorBidi" w:cstheme="majorBidi"/>
                <w:color w:val="000000"/>
                <w:sz w:val="22"/>
                <w:lang w:val="en-US"/>
              </w:rPr>
            </w:pPr>
            <w:r>
              <w:rPr>
                <w:rFonts w:asciiTheme="majorBidi" w:hAnsiTheme="majorBidi" w:cstheme="majorBidi"/>
                <w:color w:val="000000"/>
                <w:sz w:val="22"/>
                <w:lang w:val="en-US"/>
              </w:rPr>
              <w:t>0,000</w:t>
            </w:r>
          </w:p>
        </w:tc>
      </w:tr>
      <w:tr w:rsidR="00AA47DC" w14:paraId="6DDA3B88" w14:textId="77777777" w:rsidTr="00AA47DC">
        <w:trPr>
          <w:cantSplit/>
          <w:jc w:val="center"/>
        </w:trPr>
        <w:tc>
          <w:tcPr>
            <w:tcW w:w="5387" w:type="dxa"/>
            <w:gridSpan w:val="5"/>
            <w:tcBorders>
              <w:top w:val="nil"/>
              <w:left w:val="nil"/>
              <w:bottom w:val="nil"/>
              <w:right w:val="nil"/>
            </w:tcBorders>
            <w:shd w:val="clear" w:color="auto" w:fill="FFFFFF"/>
            <w:hideMark/>
          </w:tcPr>
          <w:p w14:paraId="4CA194E7" w14:textId="77777777" w:rsidR="00AA47DC" w:rsidRPr="00AA47DC" w:rsidRDefault="00AA47DC">
            <w:pPr>
              <w:autoSpaceDE w:val="0"/>
              <w:autoSpaceDN w:val="0"/>
              <w:adjustRightInd w:val="0"/>
              <w:spacing w:after="0" w:line="320" w:lineRule="atLeast"/>
              <w:ind w:left="60" w:right="60"/>
              <w:rPr>
                <w:rFonts w:asciiTheme="majorBidi" w:hAnsiTheme="majorBidi" w:cstheme="majorBidi"/>
                <w:color w:val="000000"/>
                <w:sz w:val="22"/>
              </w:rPr>
            </w:pPr>
            <w:r w:rsidRPr="00AA47DC">
              <w:rPr>
                <w:rFonts w:asciiTheme="majorBidi" w:hAnsiTheme="majorBidi" w:cstheme="majorBidi"/>
                <w:color w:val="000000"/>
                <w:sz w:val="18"/>
                <w:szCs w:val="18"/>
              </w:rPr>
              <w:t xml:space="preserve">a. Correlação de Significância de </w:t>
            </w:r>
            <w:proofErr w:type="spellStart"/>
            <w:r w:rsidRPr="00AA47DC">
              <w:rPr>
                <w:rFonts w:asciiTheme="majorBidi" w:hAnsiTheme="majorBidi" w:cstheme="majorBidi"/>
                <w:color w:val="000000"/>
                <w:sz w:val="18"/>
                <w:szCs w:val="18"/>
              </w:rPr>
              <w:t>Lilliefors</w:t>
            </w:r>
            <w:proofErr w:type="spellEnd"/>
          </w:p>
        </w:tc>
      </w:tr>
    </w:tbl>
    <w:p w14:paraId="3B3F396F" w14:textId="3AF8E389" w:rsidR="009E6753" w:rsidRDefault="00AA47DC" w:rsidP="00AA47DC">
      <w:r>
        <w:br w:type="page"/>
      </w:r>
    </w:p>
    <w:p w14:paraId="3A21DD2F" w14:textId="5A890083" w:rsidR="009E6753" w:rsidRPr="007F6D51" w:rsidRDefault="009E6753" w:rsidP="009E6753">
      <w:pPr>
        <w:pStyle w:val="Ttulo2"/>
        <w:spacing w:after="60"/>
        <w:rPr>
          <w:b w:val="0"/>
          <w:bCs w:val="0"/>
          <w:sz w:val="24"/>
          <w:szCs w:val="24"/>
        </w:rPr>
      </w:pPr>
      <w:bookmarkStart w:id="145" w:name="_Toc66624223"/>
      <w:r w:rsidRPr="007F6D51">
        <w:lastRenderedPageBreak/>
        <w:t>Apêndice 4</w:t>
      </w:r>
      <w:r w:rsidRPr="0025260C">
        <w:rPr>
          <w:sz w:val="28"/>
          <w:szCs w:val="28"/>
        </w:rPr>
        <w:t xml:space="preserve"> – </w:t>
      </w:r>
      <w:r w:rsidRPr="007F6D51">
        <w:rPr>
          <w:b w:val="0"/>
          <w:bCs w:val="0"/>
          <w:sz w:val="24"/>
          <w:szCs w:val="24"/>
        </w:rPr>
        <w:t>Postos de Mann-</w:t>
      </w:r>
      <w:proofErr w:type="spellStart"/>
      <w:r w:rsidRPr="007F6D51">
        <w:rPr>
          <w:b w:val="0"/>
          <w:bCs w:val="0"/>
          <w:sz w:val="24"/>
          <w:szCs w:val="24"/>
        </w:rPr>
        <w:t>Whitney</w:t>
      </w:r>
      <w:proofErr w:type="spellEnd"/>
      <w:r w:rsidRPr="007F6D51">
        <w:rPr>
          <w:b w:val="0"/>
          <w:bCs w:val="0"/>
          <w:sz w:val="24"/>
          <w:szCs w:val="24"/>
        </w:rPr>
        <w:t xml:space="preserve"> para o ITM com </w:t>
      </w:r>
      <w:r w:rsidR="007F6D51" w:rsidRPr="007F6D51">
        <w:rPr>
          <w:b w:val="0"/>
          <w:bCs w:val="0"/>
          <w:sz w:val="24"/>
          <w:szCs w:val="24"/>
        </w:rPr>
        <w:t>variáveis</w:t>
      </w:r>
      <w:r w:rsidRPr="007F6D51">
        <w:rPr>
          <w:b w:val="0"/>
          <w:bCs w:val="0"/>
          <w:sz w:val="24"/>
          <w:szCs w:val="24"/>
        </w:rPr>
        <w:t xml:space="preserve"> independentes</w:t>
      </w:r>
      <w:bookmarkEnd w:id="145"/>
    </w:p>
    <w:tbl>
      <w:tblPr>
        <w:tblW w:w="5954"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0" w:type="dxa"/>
          <w:right w:w="0" w:type="dxa"/>
        </w:tblCellMar>
        <w:tblLook w:val="0000" w:firstRow="0" w:lastRow="0" w:firstColumn="0" w:lastColumn="0" w:noHBand="0" w:noVBand="0"/>
      </w:tblPr>
      <w:tblGrid>
        <w:gridCol w:w="737"/>
        <w:gridCol w:w="907"/>
        <w:gridCol w:w="1030"/>
        <w:gridCol w:w="1338"/>
        <w:gridCol w:w="1942"/>
      </w:tblGrid>
      <w:tr w:rsidR="009E6753" w:rsidRPr="00254ECE" w14:paraId="1B4CBE76" w14:textId="77777777" w:rsidTr="003F251C">
        <w:trPr>
          <w:cantSplit/>
          <w:trHeight w:val="384"/>
          <w:jc w:val="center"/>
        </w:trPr>
        <w:tc>
          <w:tcPr>
            <w:tcW w:w="737" w:type="dxa"/>
            <w:tcBorders>
              <w:left w:val="nil"/>
              <w:bottom w:val="single" w:sz="4" w:space="0" w:color="auto"/>
              <w:right w:val="nil"/>
            </w:tcBorders>
            <w:shd w:val="clear" w:color="auto" w:fill="E7E6E6" w:themeFill="background2"/>
            <w:vAlign w:val="center"/>
          </w:tcPr>
          <w:p w14:paraId="402F2AC4"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c>
          <w:tcPr>
            <w:tcW w:w="907" w:type="dxa"/>
            <w:tcBorders>
              <w:left w:val="nil"/>
              <w:bottom w:val="single" w:sz="4" w:space="0" w:color="auto"/>
              <w:right w:val="nil"/>
            </w:tcBorders>
            <w:shd w:val="clear" w:color="auto" w:fill="E7E6E6" w:themeFill="background2"/>
            <w:vAlign w:val="center"/>
          </w:tcPr>
          <w:p w14:paraId="6C88811C" w14:textId="77777777" w:rsidR="009E6753" w:rsidRPr="009E6753" w:rsidRDefault="009E6753" w:rsidP="007F6D51">
            <w:pPr>
              <w:autoSpaceDE w:val="0"/>
              <w:autoSpaceDN w:val="0"/>
              <w:adjustRightInd w:val="0"/>
              <w:spacing w:after="0" w:line="276" w:lineRule="auto"/>
              <w:ind w:left="60" w:right="60"/>
              <w:rPr>
                <w:rFonts w:cs="Times New Roman"/>
                <w:b/>
                <w:bCs/>
                <w:color w:val="000000"/>
                <w:sz w:val="22"/>
              </w:rPr>
            </w:pPr>
            <w:r w:rsidRPr="009E6753">
              <w:rPr>
                <w:rFonts w:cs="Times New Roman"/>
                <w:b/>
                <w:bCs/>
                <w:color w:val="000000"/>
                <w:sz w:val="22"/>
              </w:rPr>
              <w:t>IPP</w:t>
            </w:r>
          </w:p>
        </w:tc>
        <w:tc>
          <w:tcPr>
            <w:tcW w:w="1030" w:type="dxa"/>
            <w:tcBorders>
              <w:left w:val="nil"/>
              <w:bottom w:val="single" w:sz="4" w:space="0" w:color="auto"/>
              <w:right w:val="nil"/>
            </w:tcBorders>
            <w:shd w:val="clear" w:color="auto" w:fill="E7E6E6" w:themeFill="background2"/>
            <w:vAlign w:val="center"/>
          </w:tcPr>
          <w:p w14:paraId="4BCDFC31" w14:textId="77777777" w:rsidR="009E6753" w:rsidRPr="007E74F0" w:rsidRDefault="009E6753" w:rsidP="007F6D51">
            <w:pPr>
              <w:autoSpaceDE w:val="0"/>
              <w:autoSpaceDN w:val="0"/>
              <w:adjustRightInd w:val="0"/>
              <w:spacing w:after="0" w:line="276" w:lineRule="auto"/>
              <w:ind w:left="60" w:right="60"/>
              <w:jc w:val="center"/>
              <w:rPr>
                <w:rFonts w:cs="Times New Roman"/>
                <w:color w:val="000000"/>
                <w:sz w:val="22"/>
              </w:rPr>
            </w:pPr>
            <w:r w:rsidRPr="007E74F0">
              <w:rPr>
                <w:rFonts w:cs="Times New Roman"/>
                <w:color w:val="000000"/>
                <w:sz w:val="22"/>
              </w:rPr>
              <w:t>N</w:t>
            </w:r>
          </w:p>
        </w:tc>
        <w:tc>
          <w:tcPr>
            <w:tcW w:w="1338" w:type="dxa"/>
            <w:tcBorders>
              <w:left w:val="nil"/>
              <w:bottom w:val="single" w:sz="4" w:space="0" w:color="auto"/>
              <w:right w:val="nil"/>
            </w:tcBorders>
            <w:shd w:val="clear" w:color="auto" w:fill="E7E6E6" w:themeFill="background2"/>
            <w:vAlign w:val="center"/>
          </w:tcPr>
          <w:p w14:paraId="3850C8BB" w14:textId="77777777" w:rsidR="009E6753" w:rsidRPr="007E74F0" w:rsidRDefault="009E6753" w:rsidP="007F6D51">
            <w:pPr>
              <w:autoSpaceDE w:val="0"/>
              <w:autoSpaceDN w:val="0"/>
              <w:adjustRightInd w:val="0"/>
              <w:spacing w:after="0" w:line="276" w:lineRule="auto"/>
              <w:ind w:left="60" w:right="60"/>
              <w:jc w:val="center"/>
              <w:rPr>
                <w:rFonts w:cs="Times New Roman"/>
                <w:color w:val="000000"/>
                <w:sz w:val="22"/>
              </w:rPr>
            </w:pPr>
            <w:r w:rsidRPr="007E74F0">
              <w:rPr>
                <w:rFonts w:cs="Times New Roman"/>
                <w:color w:val="000000"/>
                <w:sz w:val="22"/>
              </w:rPr>
              <w:t>Posto Médio</w:t>
            </w:r>
          </w:p>
        </w:tc>
        <w:tc>
          <w:tcPr>
            <w:tcW w:w="1942" w:type="dxa"/>
            <w:tcBorders>
              <w:left w:val="nil"/>
              <w:bottom w:val="single" w:sz="4" w:space="0" w:color="auto"/>
              <w:right w:val="nil"/>
            </w:tcBorders>
            <w:shd w:val="clear" w:color="auto" w:fill="E7E6E6" w:themeFill="background2"/>
            <w:vAlign w:val="center"/>
          </w:tcPr>
          <w:p w14:paraId="0E317B1D" w14:textId="77777777" w:rsidR="009E6753" w:rsidRPr="007E74F0" w:rsidRDefault="009E6753" w:rsidP="007F6D51">
            <w:pPr>
              <w:autoSpaceDE w:val="0"/>
              <w:autoSpaceDN w:val="0"/>
              <w:adjustRightInd w:val="0"/>
              <w:spacing w:after="0" w:line="276" w:lineRule="auto"/>
              <w:ind w:left="60" w:right="60"/>
              <w:jc w:val="center"/>
              <w:rPr>
                <w:rFonts w:cs="Times New Roman"/>
                <w:color w:val="000000"/>
                <w:sz w:val="22"/>
              </w:rPr>
            </w:pPr>
            <w:r w:rsidRPr="007E74F0">
              <w:rPr>
                <w:rFonts w:cs="Times New Roman"/>
                <w:color w:val="000000"/>
                <w:sz w:val="22"/>
              </w:rPr>
              <w:t>Soma de Classificações</w:t>
            </w:r>
          </w:p>
        </w:tc>
      </w:tr>
      <w:tr w:rsidR="009E6753" w:rsidRPr="00254ECE" w14:paraId="588D42A4" w14:textId="77777777" w:rsidTr="003F251C">
        <w:trPr>
          <w:cantSplit/>
          <w:jc w:val="center"/>
        </w:trPr>
        <w:tc>
          <w:tcPr>
            <w:tcW w:w="737" w:type="dxa"/>
            <w:vMerge w:val="restart"/>
            <w:tcBorders>
              <w:top w:val="single" w:sz="4" w:space="0" w:color="auto"/>
              <w:left w:val="nil"/>
              <w:right w:val="single" w:sz="4" w:space="0" w:color="auto"/>
            </w:tcBorders>
            <w:shd w:val="clear" w:color="auto" w:fill="FFFFFF"/>
            <w:vAlign w:val="center"/>
          </w:tcPr>
          <w:p w14:paraId="6A336DCF" w14:textId="77777777" w:rsidR="009E6753" w:rsidRPr="009E6753" w:rsidRDefault="009E6753" w:rsidP="007F6D51">
            <w:pPr>
              <w:autoSpaceDE w:val="0"/>
              <w:autoSpaceDN w:val="0"/>
              <w:adjustRightInd w:val="0"/>
              <w:spacing w:after="0" w:line="276" w:lineRule="auto"/>
              <w:ind w:left="60" w:right="60"/>
              <w:rPr>
                <w:rFonts w:cs="Times New Roman"/>
                <w:b/>
                <w:bCs/>
                <w:color w:val="000000"/>
                <w:sz w:val="22"/>
              </w:rPr>
            </w:pPr>
            <w:r w:rsidRPr="009E6753">
              <w:rPr>
                <w:rFonts w:cs="Times New Roman"/>
                <w:b/>
                <w:bCs/>
                <w:color w:val="000000"/>
                <w:sz w:val="22"/>
              </w:rPr>
              <w:t>ITM</w:t>
            </w:r>
          </w:p>
        </w:tc>
        <w:tc>
          <w:tcPr>
            <w:tcW w:w="907" w:type="dxa"/>
            <w:tcBorders>
              <w:top w:val="single" w:sz="4" w:space="0" w:color="auto"/>
              <w:left w:val="single" w:sz="4" w:space="0" w:color="auto"/>
              <w:bottom w:val="nil"/>
              <w:right w:val="nil"/>
            </w:tcBorders>
            <w:shd w:val="clear" w:color="auto" w:fill="FFFFFF"/>
          </w:tcPr>
          <w:p w14:paraId="5208A033"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r w:rsidRPr="007E74F0">
              <w:rPr>
                <w:rFonts w:cs="Times New Roman"/>
                <w:color w:val="000000"/>
                <w:sz w:val="22"/>
              </w:rPr>
              <w:t>0</w:t>
            </w:r>
          </w:p>
        </w:tc>
        <w:tc>
          <w:tcPr>
            <w:tcW w:w="1030" w:type="dxa"/>
            <w:tcBorders>
              <w:top w:val="single" w:sz="4" w:space="0" w:color="auto"/>
              <w:left w:val="nil"/>
              <w:bottom w:val="nil"/>
              <w:right w:val="nil"/>
            </w:tcBorders>
            <w:shd w:val="clear" w:color="auto" w:fill="FFFFFF"/>
          </w:tcPr>
          <w:p w14:paraId="2FF6A3FD"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7E74F0">
              <w:rPr>
                <w:rFonts w:cs="Times New Roman"/>
                <w:color w:val="000000"/>
                <w:sz w:val="22"/>
              </w:rPr>
              <w:t>548</w:t>
            </w:r>
          </w:p>
        </w:tc>
        <w:tc>
          <w:tcPr>
            <w:tcW w:w="1338" w:type="dxa"/>
            <w:tcBorders>
              <w:top w:val="single" w:sz="4" w:space="0" w:color="auto"/>
              <w:left w:val="nil"/>
              <w:bottom w:val="nil"/>
              <w:right w:val="nil"/>
            </w:tcBorders>
            <w:shd w:val="clear" w:color="auto" w:fill="FFFFFF"/>
          </w:tcPr>
          <w:p w14:paraId="23FDE41F"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7E74F0">
              <w:rPr>
                <w:rFonts w:cs="Times New Roman"/>
                <w:color w:val="000000"/>
                <w:sz w:val="22"/>
              </w:rPr>
              <w:t>757,41</w:t>
            </w:r>
          </w:p>
        </w:tc>
        <w:tc>
          <w:tcPr>
            <w:tcW w:w="1942" w:type="dxa"/>
            <w:tcBorders>
              <w:top w:val="single" w:sz="4" w:space="0" w:color="auto"/>
              <w:left w:val="nil"/>
              <w:bottom w:val="nil"/>
              <w:right w:val="nil"/>
            </w:tcBorders>
            <w:shd w:val="clear" w:color="auto" w:fill="FFFFFF"/>
          </w:tcPr>
          <w:p w14:paraId="5E25507A"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7E74F0">
              <w:rPr>
                <w:rFonts w:cs="Times New Roman"/>
                <w:color w:val="000000"/>
                <w:sz w:val="22"/>
              </w:rPr>
              <w:t>415060,50</w:t>
            </w:r>
          </w:p>
        </w:tc>
      </w:tr>
      <w:tr w:rsidR="009E6753" w:rsidRPr="00254ECE" w14:paraId="0B83401B" w14:textId="77777777" w:rsidTr="003F251C">
        <w:trPr>
          <w:cantSplit/>
          <w:jc w:val="center"/>
        </w:trPr>
        <w:tc>
          <w:tcPr>
            <w:tcW w:w="737" w:type="dxa"/>
            <w:vMerge/>
            <w:tcBorders>
              <w:left w:val="nil"/>
              <w:right w:val="single" w:sz="4" w:space="0" w:color="auto"/>
            </w:tcBorders>
            <w:shd w:val="clear" w:color="auto" w:fill="FFFFFF"/>
          </w:tcPr>
          <w:p w14:paraId="3E42841D"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c>
          <w:tcPr>
            <w:tcW w:w="907" w:type="dxa"/>
            <w:tcBorders>
              <w:top w:val="nil"/>
              <w:left w:val="single" w:sz="4" w:space="0" w:color="auto"/>
              <w:bottom w:val="nil"/>
              <w:right w:val="nil"/>
            </w:tcBorders>
            <w:shd w:val="clear" w:color="auto" w:fill="E7E6E6" w:themeFill="background2"/>
          </w:tcPr>
          <w:p w14:paraId="18D33404"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r w:rsidRPr="007E74F0">
              <w:rPr>
                <w:rFonts w:cs="Times New Roman"/>
                <w:color w:val="000000"/>
                <w:sz w:val="22"/>
              </w:rPr>
              <w:t>1</w:t>
            </w:r>
          </w:p>
        </w:tc>
        <w:tc>
          <w:tcPr>
            <w:tcW w:w="1030" w:type="dxa"/>
            <w:tcBorders>
              <w:top w:val="nil"/>
              <w:left w:val="nil"/>
              <w:bottom w:val="nil"/>
              <w:right w:val="nil"/>
            </w:tcBorders>
            <w:shd w:val="clear" w:color="auto" w:fill="E7E6E6" w:themeFill="background2"/>
          </w:tcPr>
          <w:p w14:paraId="797F2B02"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7E74F0">
              <w:rPr>
                <w:rFonts w:cs="Times New Roman"/>
                <w:color w:val="000000"/>
                <w:sz w:val="22"/>
              </w:rPr>
              <w:t>992</w:t>
            </w:r>
          </w:p>
        </w:tc>
        <w:tc>
          <w:tcPr>
            <w:tcW w:w="1338" w:type="dxa"/>
            <w:tcBorders>
              <w:top w:val="nil"/>
              <w:left w:val="nil"/>
              <w:bottom w:val="nil"/>
              <w:right w:val="nil"/>
            </w:tcBorders>
            <w:shd w:val="clear" w:color="auto" w:fill="E7E6E6" w:themeFill="background2"/>
          </w:tcPr>
          <w:p w14:paraId="1EA1D65A"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7E74F0">
              <w:rPr>
                <w:rFonts w:cs="Times New Roman"/>
                <w:color w:val="000000"/>
                <w:sz w:val="22"/>
              </w:rPr>
              <w:t>777,73</w:t>
            </w:r>
          </w:p>
        </w:tc>
        <w:tc>
          <w:tcPr>
            <w:tcW w:w="1942" w:type="dxa"/>
            <w:tcBorders>
              <w:top w:val="nil"/>
              <w:left w:val="nil"/>
              <w:bottom w:val="nil"/>
              <w:right w:val="nil"/>
            </w:tcBorders>
            <w:shd w:val="clear" w:color="auto" w:fill="E7E6E6" w:themeFill="background2"/>
          </w:tcPr>
          <w:p w14:paraId="41A90074"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7E74F0">
              <w:rPr>
                <w:rFonts w:cs="Times New Roman"/>
                <w:color w:val="000000"/>
                <w:sz w:val="22"/>
              </w:rPr>
              <w:t>771509,50</w:t>
            </w:r>
          </w:p>
        </w:tc>
      </w:tr>
      <w:tr w:rsidR="009E6753" w:rsidRPr="00254ECE" w14:paraId="0B41DBFF" w14:textId="77777777" w:rsidTr="003F251C">
        <w:trPr>
          <w:cantSplit/>
          <w:jc w:val="center"/>
        </w:trPr>
        <w:tc>
          <w:tcPr>
            <w:tcW w:w="737" w:type="dxa"/>
            <w:vMerge/>
            <w:tcBorders>
              <w:left w:val="nil"/>
              <w:bottom w:val="double" w:sz="4" w:space="0" w:color="auto"/>
              <w:right w:val="single" w:sz="4" w:space="0" w:color="auto"/>
            </w:tcBorders>
            <w:shd w:val="clear" w:color="auto" w:fill="FFFFFF"/>
          </w:tcPr>
          <w:p w14:paraId="453EF6BE"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c>
          <w:tcPr>
            <w:tcW w:w="907" w:type="dxa"/>
            <w:tcBorders>
              <w:top w:val="nil"/>
              <w:left w:val="single" w:sz="4" w:space="0" w:color="auto"/>
              <w:bottom w:val="double" w:sz="4" w:space="0" w:color="auto"/>
              <w:right w:val="nil"/>
            </w:tcBorders>
            <w:shd w:val="clear" w:color="auto" w:fill="FFFFFF"/>
          </w:tcPr>
          <w:p w14:paraId="1B8CB3F0"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r w:rsidRPr="007E74F0">
              <w:rPr>
                <w:rFonts w:cs="Times New Roman"/>
                <w:color w:val="000000"/>
                <w:sz w:val="22"/>
              </w:rPr>
              <w:t>Total</w:t>
            </w:r>
          </w:p>
        </w:tc>
        <w:tc>
          <w:tcPr>
            <w:tcW w:w="1030" w:type="dxa"/>
            <w:tcBorders>
              <w:top w:val="nil"/>
              <w:left w:val="nil"/>
              <w:bottom w:val="double" w:sz="4" w:space="0" w:color="auto"/>
              <w:right w:val="nil"/>
            </w:tcBorders>
            <w:shd w:val="clear" w:color="auto" w:fill="FFFFFF"/>
          </w:tcPr>
          <w:p w14:paraId="7FDFBAA7"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7E74F0">
              <w:rPr>
                <w:rFonts w:cs="Times New Roman"/>
                <w:color w:val="000000"/>
                <w:sz w:val="22"/>
              </w:rPr>
              <w:t>1540</w:t>
            </w:r>
          </w:p>
        </w:tc>
        <w:tc>
          <w:tcPr>
            <w:tcW w:w="1338" w:type="dxa"/>
            <w:tcBorders>
              <w:top w:val="nil"/>
              <w:left w:val="nil"/>
              <w:bottom w:val="double" w:sz="4" w:space="0" w:color="auto"/>
              <w:right w:val="nil"/>
            </w:tcBorders>
            <w:shd w:val="clear" w:color="auto" w:fill="FFFFFF"/>
            <w:vAlign w:val="center"/>
          </w:tcPr>
          <w:p w14:paraId="450888E9"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c>
          <w:tcPr>
            <w:tcW w:w="1942" w:type="dxa"/>
            <w:tcBorders>
              <w:top w:val="nil"/>
              <w:left w:val="nil"/>
              <w:bottom w:val="double" w:sz="4" w:space="0" w:color="auto"/>
              <w:right w:val="nil"/>
            </w:tcBorders>
            <w:shd w:val="clear" w:color="auto" w:fill="FFFFFF"/>
            <w:vAlign w:val="center"/>
          </w:tcPr>
          <w:p w14:paraId="73793061"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r>
    </w:tbl>
    <w:p w14:paraId="44DA4C2E" w14:textId="77777777" w:rsidR="009E6753" w:rsidRPr="009E6753" w:rsidRDefault="009E6753" w:rsidP="009E6753">
      <w:pPr>
        <w:spacing w:line="360" w:lineRule="auto"/>
      </w:pPr>
    </w:p>
    <w:tbl>
      <w:tblPr>
        <w:tblW w:w="595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907"/>
        <w:gridCol w:w="1030"/>
        <w:gridCol w:w="1338"/>
        <w:gridCol w:w="1942"/>
      </w:tblGrid>
      <w:tr w:rsidR="009E6753" w:rsidRPr="00254ECE" w14:paraId="3C2E3AF1" w14:textId="77777777" w:rsidTr="007F6D51">
        <w:trPr>
          <w:cantSplit/>
          <w:jc w:val="center"/>
        </w:trPr>
        <w:tc>
          <w:tcPr>
            <w:tcW w:w="737" w:type="dxa"/>
            <w:tcBorders>
              <w:top w:val="double" w:sz="4" w:space="0" w:color="auto"/>
              <w:left w:val="nil"/>
              <w:bottom w:val="single" w:sz="2" w:space="0" w:color="auto"/>
              <w:right w:val="nil"/>
            </w:tcBorders>
            <w:shd w:val="clear" w:color="auto" w:fill="E7E6E6" w:themeFill="background2"/>
            <w:vAlign w:val="center"/>
          </w:tcPr>
          <w:p w14:paraId="6806044E"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c>
          <w:tcPr>
            <w:tcW w:w="907" w:type="dxa"/>
            <w:tcBorders>
              <w:top w:val="double" w:sz="8" w:space="0" w:color="000000"/>
              <w:left w:val="nil"/>
              <w:bottom w:val="single" w:sz="2" w:space="0" w:color="auto"/>
              <w:right w:val="nil"/>
            </w:tcBorders>
            <w:shd w:val="clear" w:color="auto" w:fill="E7E6E6" w:themeFill="background2"/>
            <w:vAlign w:val="center"/>
          </w:tcPr>
          <w:p w14:paraId="49E0170D" w14:textId="77777777" w:rsidR="009E6753" w:rsidRPr="009E6753" w:rsidRDefault="009E6753" w:rsidP="007F6D51">
            <w:pPr>
              <w:autoSpaceDE w:val="0"/>
              <w:autoSpaceDN w:val="0"/>
              <w:adjustRightInd w:val="0"/>
              <w:spacing w:after="0" w:line="276" w:lineRule="auto"/>
              <w:ind w:left="60" w:right="60"/>
              <w:rPr>
                <w:rFonts w:cs="Times New Roman"/>
                <w:b/>
                <w:bCs/>
                <w:color w:val="000000"/>
                <w:sz w:val="22"/>
              </w:rPr>
            </w:pPr>
            <w:r w:rsidRPr="009E6753">
              <w:rPr>
                <w:rFonts w:cs="Times New Roman"/>
                <w:b/>
                <w:bCs/>
                <w:color w:val="000000"/>
                <w:sz w:val="22"/>
              </w:rPr>
              <w:t>CP</w:t>
            </w:r>
          </w:p>
        </w:tc>
        <w:tc>
          <w:tcPr>
            <w:tcW w:w="1030" w:type="dxa"/>
            <w:tcBorders>
              <w:top w:val="double" w:sz="8" w:space="0" w:color="000000"/>
              <w:left w:val="nil"/>
              <w:bottom w:val="single" w:sz="2" w:space="0" w:color="auto"/>
              <w:right w:val="nil"/>
            </w:tcBorders>
            <w:shd w:val="clear" w:color="auto" w:fill="E7E6E6" w:themeFill="background2"/>
            <w:vAlign w:val="center"/>
          </w:tcPr>
          <w:p w14:paraId="34E12B16" w14:textId="77777777" w:rsidR="009E6753" w:rsidRPr="007E74F0" w:rsidRDefault="009E6753" w:rsidP="007F6D51">
            <w:pPr>
              <w:autoSpaceDE w:val="0"/>
              <w:autoSpaceDN w:val="0"/>
              <w:adjustRightInd w:val="0"/>
              <w:spacing w:after="0" w:line="276" w:lineRule="auto"/>
              <w:ind w:left="60" w:right="60"/>
              <w:jc w:val="center"/>
              <w:rPr>
                <w:rFonts w:cs="Times New Roman"/>
                <w:color w:val="000000"/>
                <w:sz w:val="22"/>
              </w:rPr>
            </w:pPr>
            <w:r w:rsidRPr="007E74F0">
              <w:rPr>
                <w:rFonts w:cs="Times New Roman"/>
                <w:color w:val="000000"/>
                <w:sz w:val="22"/>
              </w:rPr>
              <w:t>N</w:t>
            </w:r>
          </w:p>
        </w:tc>
        <w:tc>
          <w:tcPr>
            <w:tcW w:w="1338" w:type="dxa"/>
            <w:tcBorders>
              <w:top w:val="double" w:sz="8" w:space="0" w:color="000000"/>
              <w:left w:val="nil"/>
              <w:bottom w:val="single" w:sz="2" w:space="0" w:color="auto"/>
              <w:right w:val="nil"/>
            </w:tcBorders>
            <w:shd w:val="clear" w:color="auto" w:fill="E7E6E6" w:themeFill="background2"/>
            <w:vAlign w:val="center"/>
          </w:tcPr>
          <w:p w14:paraId="3D3EAAE8" w14:textId="77777777" w:rsidR="009E6753" w:rsidRPr="007E74F0" w:rsidRDefault="009E6753" w:rsidP="007F6D51">
            <w:pPr>
              <w:autoSpaceDE w:val="0"/>
              <w:autoSpaceDN w:val="0"/>
              <w:adjustRightInd w:val="0"/>
              <w:spacing w:after="0" w:line="276" w:lineRule="auto"/>
              <w:ind w:left="60" w:right="60"/>
              <w:jc w:val="center"/>
              <w:rPr>
                <w:rFonts w:cs="Times New Roman"/>
                <w:color w:val="000000"/>
                <w:sz w:val="22"/>
              </w:rPr>
            </w:pPr>
            <w:r w:rsidRPr="007E74F0">
              <w:rPr>
                <w:rFonts w:cs="Times New Roman"/>
                <w:color w:val="000000"/>
                <w:sz w:val="22"/>
              </w:rPr>
              <w:t>Posto Médio</w:t>
            </w:r>
          </w:p>
        </w:tc>
        <w:tc>
          <w:tcPr>
            <w:tcW w:w="1942" w:type="dxa"/>
            <w:tcBorders>
              <w:top w:val="double" w:sz="8" w:space="0" w:color="000000"/>
              <w:left w:val="nil"/>
              <w:bottom w:val="single" w:sz="2" w:space="0" w:color="auto"/>
              <w:right w:val="nil"/>
            </w:tcBorders>
            <w:shd w:val="clear" w:color="auto" w:fill="E7E6E6" w:themeFill="background2"/>
            <w:vAlign w:val="center"/>
          </w:tcPr>
          <w:p w14:paraId="282F5DCD" w14:textId="77777777" w:rsidR="009E6753" w:rsidRPr="007E74F0" w:rsidRDefault="009E6753" w:rsidP="007F6D51">
            <w:pPr>
              <w:autoSpaceDE w:val="0"/>
              <w:autoSpaceDN w:val="0"/>
              <w:adjustRightInd w:val="0"/>
              <w:spacing w:after="0" w:line="276" w:lineRule="auto"/>
              <w:ind w:left="60" w:right="60"/>
              <w:jc w:val="center"/>
              <w:rPr>
                <w:rFonts w:cs="Times New Roman"/>
                <w:color w:val="000000"/>
                <w:sz w:val="22"/>
              </w:rPr>
            </w:pPr>
            <w:r w:rsidRPr="007E74F0">
              <w:rPr>
                <w:rFonts w:cs="Times New Roman"/>
                <w:color w:val="000000"/>
                <w:sz w:val="22"/>
              </w:rPr>
              <w:t>Soma de Classificações</w:t>
            </w:r>
          </w:p>
        </w:tc>
      </w:tr>
      <w:tr w:rsidR="009E6753" w:rsidRPr="007E74F0" w14:paraId="3416B055" w14:textId="77777777" w:rsidTr="003F251C">
        <w:trPr>
          <w:cantSplit/>
          <w:jc w:val="center"/>
        </w:trPr>
        <w:tc>
          <w:tcPr>
            <w:tcW w:w="737" w:type="dxa"/>
            <w:vMerge w:val="restart"/>
            <w:tcBorders>
              <w:top w:val="single" w:sz="2" w:space="0" w:color="auto"/>
              <w:left w:val="nil"/>
              <w:bottom w:val="double" w:sz="8" w:space="0" w:color="000000"/>
              <w:right w:val="single" w:sz="2" w:space="0" w:color="auto"/>
            </w:tcBorders>
            <w:shd w:val="clear" w:color="auto" w:fill="FFFFFF"/>
            <w:vAlign w:val="center"/>
          </w:tcPr>
          <w:p w14:paraId="5498159A" w14:textId="77777777" w:rsidR="009E6753" w:rsidRPr="009E6753" w:rsidRDefault="009E6753" w:rsidP="007F6D51">
            <w:pPr>
              <w:autoSpaceDE w:val="0"/>
              <w:autoSpaceDN w:val="0"/>
              <w:adjustRightInd w:val="0"/>
              <w:spacing w:after="0" w:line="276" w:lineRule="auto"/>
              <w:ind w:left="60" w:right="60"/>
              <w:rPr>
                <w:rFonts w:cs="Times New Roman"/>
                <w:b/>
                <w:bCs/>
                <w:color w:val="000000"/>
                <w:sz w:val="22"/>
              </w:rPr>
            </w:pPr>
            <w:r w:rsidRPr="009E6753">
              <w:rPr>
                <w:rFonts w:cs="Times New Roman"/>
                <w:b/>
                <w:bCs/>
                <w:color w:val="000000"/>
                <w:sz w:val="22"/>
              </w:rPr>
              <w:t>ITM</w:t>
            </w:r>
          </w:p>
        </w:tc>
        <w:tc>
          <w:tcPr>
            <w:tcW w:w="907" w:type="dxa"/>
            <w:tcBorders>
              <w:top w:val="single" w:sz="2" w:space="0" w:color="auto"/>
              <w:left w:val="single" w:sz="2" w:space="0" w:color="auto"/>
              <w:bottom w:val="nil"/>
              <w:right w:val="nil"/>
            </w:tcBorders>
            <w:shd w:val="clear" w:color="auto" w:fill="FFFFFF"/>
          </w:tcPr>
          <w:p w14:paraId="69819DEB"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r w:rsidRPr="007E74F0">
              <w:rPr>
                <w:rFonts w:cs="Times New Roman"/>
                <w:color w:val="000000"/>
                <w:sz w:val="22"/>
              </w:rPr>
              <w:t>0</w:t>
            </w:r>
          </w:p>
        </w:tc>
        <w:tc>
          <w:tcPr>
            <w:tcW w:w="1030" w:type="dxa"/>
            <w:tcBorders>
              <w:top w:val="single" w:sz="2" w:space="0" w:color="auto"/>
              <w:left w:val="nil"/>
              <w:bottom w:val="nil"/>
              <w:right w:val="nil"/>
            </w:tcBorders>
            <w:shd w:val="clear" w:color="auto" w:fill="FFFFFF"/>
          </w:tcPr>
          <w:p w14:paraId="2C942C92"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7E74F0">
              <w:rPr>
                <w:rFonts w:cs="Times New Roman"/>
                <w:color w:val="000000"/>
                <w:sz w:val="22"/>
              </w:rPr>
              <w:t>320</w:t>
            </w:r>
          </w:p>
        </w:tc>
        <w:tc>
          <w:tcPr>
            <w:tcW w:w="1338" w:type="dxa"/>
            <w:tcBorders>
              <w:top w:val="single" w:sz="2" w:space="0" w:color="auto"/>
              <w:left w:val="nil"/>
              <w:bottom w:val="nil"/>
              <w:right w:val="nil"/>
            </w:tcBorders>
            <w:shd w:val="clear" w:color="auto" w:fill="FFFFFF"/>
          </w:tcPr>
          <w:p w14:paraId="4B7E9B9B"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7E74F0">
              <w:rPr>
                <w:rFonts w:cs="Times New Roman"/>
                <w:color w:val="000000"/>
                <w:sz w:val="22"/>
              </w:rPr>
              <w:t>765,11</w:t>
            </w:r>
          </w:p>
        </w:tc>
        <w:tc>
          <w:tcPr>
            <w:tcW w:w="1942" w:type="dxa"/>
            <w:tcBorders>
              <w:top w:val="single" w:sz="2" w:space="0" w:color="auto"/>
              <w:left w:val="nil"/>
              <w:bottom w:val="nil"/>
              <w:right w:val="nil"/>
            </w:tcBorders>
            <w:shd w:val="clear" w:color="auto" w:fill="FFFFFF"/>
          </w:tcPr>
          <w:p w14:paraId="5324567C"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9E6753">
              <w:rPr>
                <w:rFonts w:cs="Times New Roman"/>
                <w:color w:val="000000"/>
                <w:sz w:val="22"/>
              </w:rPr>
              <w:t>244835,00</w:t>
            </w:r>
          </w:p>
        </w:tc>
      </w:tr>
      <w:tr w:rsidR="009E6753" w:rsidRPr="007E74F0" w14:paraId="022BE186" w14:textId="77777777" w:rsidTr="003F251C">
        <w:trPr>
          <w:cantSplit/>
          <w:jc w:val="center"/>
        </w:trPr>
        <w:tc>
          <w:tcPr>
            <w:tcW w:w="737" w:type="dxa"/>
            <w:vMerge/>
            <w:tcBorders>
              <w:top w:val="single" w:sz="16" w:space="0" w:color="000000"/>
              <w:left w:val="nil"/>
              <w:bottom w:val="double" w:sz="8" w:space="0" w:color="000000"/>
              <w:right w:val="single" w:sz="2" w:space="0" w:color="auto"/>
            </w:tcBorders>
            <w:shd w:val="clear" w:color="auto" w:fill="FFFFFF"/>
          </w:tcPr>
          <w:p w14:paraId="65778C30"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c>
          <w:tcPr>
            <w:tcW w:w="907" w:type="dxa"/>
            <w:tcBorders>
              <w:top w:val="nil"/>
              <w:left w:val="single" w:sz="2" w:space="0" w:color="auto"/>
              <w:bottom w:val="nil"/>
              <w:right w:val="nil"/>
            </w:tcBorders>
            <w:shd w:val="clear" w:color="auto" w:fill="E7E6E6" w:themeFill="background2"/>
          </w:tcPr>
          <w:p w14:paraId="3649E913"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r w:rsidRPr="007E74F0">
              <w:rPr>
                <w:rFonts w:cs="Times New Roman"/>
                <w:color w:val="000000"/>
                <w:sz w:val="22"/>
              </w:rPr>
              <w:t>1</w:t>
            </w:r>
          </w:p>
        </w:tc>
        <w:tc>
          <w:tcPr>
            <w:tcW w:w="1030" w:type="dxa"/>
            <w:tcBorders>
              <w:top w:val="nil"/>
              <w:left w:val="nil"/>
              <w:bottom w:val="nil"/>
              <w:right w:val="nil"/>
            </w:tcBorders>
            <w:shd w:val="clear" w:color="auto" w:fill="E7E6E6" w:themeFill="background2"/>
          </w:tcPr>
          <w:p w14:paraId="4C7F5D5C"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7E74F0">
              <w:rPr>
                <w:rFonts w:cs="Times New Roman"/>
                <w:color w:val="000000"/>
                <w:sz w:val="22"/>
              </w:rPr>
              <w:t>1220</w:t>
            </w:r>
          </w:p>
        </w:tc>
        <w:tc>
          <w:tcPr>
            <w:tcW w:w="1338" w:type="dxa"/>
            <w:tcBorders>
              <w:top w:val="nil"/>
              <w:left w:val="nil"/>
              <w:bottom w:val="nil"/>
              <w:right w:val="nil"/>
            </w:tcBorders>
            <w:shd w:val="clear" w:color="auto" w:fill="E7E6E6" w:themeFill="background2"/>
          </w:tcPr>
          <w:p w14:paraId="4D2D7BFF"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7E74F0">
              <w:rPr>
                <w:rFonts w:cs="Times New Roman"/>
                <w:color w:val="000000"/>
                <w:sz w:val="22"/>
              </w:rPr>
              <w:t>771,91</w:t>
            </w:r>
          </w:p>
        </w:tc>
        <w:tc>
          <w:tcPr>
            <w:tcW w:w="1942" w:type="dxa"/>
            <w:tcBorders>
              <w:top w:val="nil"/>
              <w:left w:val="nil"/>
              <w:bottom w:val="nil"/>
              <w:right w:val="nil"/>
            </w:tcBorders>
            <w:shd w:val="clear" w:color="auto" w:fill="E7E6E6" w:themeFill="background2"/>
          </w:tcPr>
          <w:p w14:paraId="64FABCDA"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9E6753">
              <w:rPr>
                <w:rFonts w:cs="Times New Roman"/>
                <w:color w:val="000000"/>
                <w:sz w:val="22"/>
              </w:rPr>
              <w:t>941735,00</w:t>
            </w:r>
          </w:p>
        </w:tc>
      </w:tr>
      <w:tr w:rsidR="009E6753" w:rsidRPr="00254ECE" w14:paraId="7BF8125A" w14:textId="77777777" w:rsidTr="003F251C">
        <w:trPr>
          <w:cantSplit/>
          <w:jc w:val="center"/>
        </w:trPr>
        <w:tc>
          <w:tcPr>
            <w:tcW w:w="737" w:type="dxa"/>
            <w:vMerge/>
            <w:tcBorders>
              <w:top w:val="single" w:sz="16" w:space="0" w:color="000000"/>
              <w:left w:val="nil"/>
              <w:bottom w:val="double" w:sz="4" w:space="0" w:color="auto"/>
              <w:right w:val="single" w:sz="2" w:space="0" w:color="auto"/>
            </w:tcBorders>
            <w:shd w:val="clear" w:color="auto" w:fill="FFFFFF"/>
          </w:tcPr>
          <w:p w14:paraId="68777B7D"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c>
          <w:tcPr>
            <w:tcW w:w="907" w:type="dxa"/>
            <w:tcBorders>
              <w:top w:val="nil"/>
              <w:left w:val="single" w:sz="2" w:space="0" w:color="auto"/>
              <w:bottom w:val="double" w:sz="4" w:space="0" w:color="auto"/>
              <w:right w:val="nil"/>
            </w:tcBorders>
            <w:shd w:val="clear" w:color="auto" w:fill="FFFFFF"/>
          </w:tcPr>
          <w:p w14:paraId="4AC951E3"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r w:rsidRPr="007E74F0">
              <w:rPr>
                <w:rFonts w:cs="Times New Roman"/>
                <w:color w:val="000000"/>
                <w:sz w:val="22"/>
              </w:rPr>
              <w:t>Total</w:t>
            </w:r>
          </w:p>
        </w:tc>
        <w:tc>
          <w:tcPr>
            <w:tcW w:w="1030" w:type="dxa"/>
            <w:tcBorders>
              <w:top w:val="nil"/>
              <w:left w:val="nil"/>
              <w:bottom w:val="double" w:sz="4" w:space="0" w:color="auto"/>
              <w:right w:val="nil"/>
            </w:tcBorders>
            <w:shd w:val="clear" w:color="auto" w:fill="FFFFFF"/>
          </w:tcPr>
          <w:p w14:paraId="28575C64"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7E74F0">
              <w:rPr>
                <w:rFonts w:cs="Times New Roman"/>
                <w:color w:val="000000"/>
                <w:sz w:val="22"/>
              </w:rPr>
              <w:t>1540</w:t>
            </w:r>
          </w:p>
        </w:tc>
        <w:tc>
          <w:tcPr>
            <w:tcW w:w="1338" w:type="dxa"/>
            <w:tcBorders>
              <w:top w:val="nil"/>
              <w:left w:val="nil"/>
              <w:bottom w:val="double" w:sz="4" w:space="0" w:color="auto"/>
              <w:right w:val="nil"/>
            </w:tcBorders>
            <w:shd w:val="clear" w:color="auto" w:fill="FFFFFF"/>
            <w:vAlign w:val="center"/>
          </w:tcPr>
          <w:p w14:paraId="3A802386"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c>
          <w:tcPr>
            <w:tcW w:w="1942" w:type="dxa"/>
            <w:tcBorders>
              <w:top w:val="nil"/>
              <w:left w:val="nil"/>
              <w:bottom w:val="double" w:sz="4" w:space="0" w:color="auto"/>
              <w:right w:val="nil"/>
            </w:tcBorders>
            <w:shd w:val="clear" w:color="auto" w:fill="FFFFFF"/>
            <w:vAlign w:val="center"/>
          </w:tcPr>
          <w:p w14:paraId="60DF922F"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r>
    </w:tbl>
    <w:p w14:paraId="76E4FB81" w14:textId="77777777" w:rsidR="009E6753" w:rsidRPr="0025260C" w:rsidRDefault="009E6753" w:rsidP="009E6753">
      <w:pPr>
        <w:spacing w:line="360" w:lineRule="auto"/>
      </w:pPr>
    </w:p>
    <w:tbl>
      <w:tblPr>
        <w:tblW w:w="595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964"/>
        <w:gridCol w:w="1030"/>
        <w:gridCol w:w="1338"/>
        <w:gridCol w:w="1885"/>
      </w:tblGrid>
      <w:tr w:rsidR="009E6753" w:rsidRPr="00254ECE" w14:paraId="528B6B49" w14:textId="77777777" w:rsidTr="007F6D51">
        <w:trPr>
          <w:cantSplit/>
          <w:jc w:val="center"/>
        </w:trPr>
        <w:tc>
          <w:tcPr>
            <w:tcW w:w="737" w:type="dxa"/>
            <w:tcBorders>
              <w:top w:val="double" w:sz="4" w:space="0" w:color="auto"/>
              <w:left w:val="nil"/>
              <w:bottom w:val="single" w:sz="2" w:space="0" w:color="auto"/>
              <w:right w:val="nil"/>
            </w:tcBorders>
            <w:shd w:val="clear" w:color="auto" w:fill="E7E6E6" w:themeFill="background2"/>
            <w:vAlign w:val="center"/>
          </w:tcPr>
          <w:p w14:paraId="49918AF5"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c>
          <w:tcPr>
            <w:tcW w:w="964" w:type="dxa"/>
            <w:tcBorders>
              <w:top w:val="double" w:sz="8" w:space="0" w:color="000000"/>
              <w:left w:val="nil"/>
              <w:bottom w:val="single" w:sz="2" w:space="0" w:color="auto"/>
              <w:right w:val="nil"/>
            </w:tcBorders>
            <w:shd w:val="clear" w:color="auto" w:fill="E7E6E6" w:themeFill="background2"/>
            <w:vAlign w:val="center"/>
          </w:tcPr>
          <w:p w14:paraId="6F8CC606" w14:textId="77777777" w:rsidR="009E6753" w:rsidRPr="009E6753" w:rsidRDefault="009E6753" w:rsidP="007F6D51">
            <w:pPr>
              <w:autoSpaceDE w:val="0"/>
              <w:autoSpaceDN w:val="0"/>
              <w:adjustRightInd w:val="0"/>
              <w:spacing w:after="0" w:line="276" w:lineRule="auto"/>
              <w:ind w:left="60" w:right="60"/>
              <w:rPr>
                <w:rFonts w:cs="Times New Roman"/>
                <w:b/>
                <w:bCs/>
                <w:color w:val="000000"/>
                <w:sz w:val="22"/>
              </w:rPr>
            </w:pPr>
            <w:r w:rsidRPr="009E6753">
              <w:rPr>
                <w:rFonts w:cs="Times New Roman"/>
                <w:b/>
                <w:bCs/>
                <w:color w:val="000000"/>
                <w:sz w:val="22"/>
              </w:rPr>
              <w:t>MVEND</w:t>
            </w:r>
          </w:p>
        </w:tc>
        <w:tc>
          <w:tcPr>
            <w:tcW w:w="1030" w:type="dxa"/>
            <w:tcBorders>
              <w:top w:val="double" w:sz="8" w:space="0" w:color="000000"/>
              <w:left w:val="nil"/>
              <w:bottom w:val="single" w:sz="2" w:space="0" w:color="auto"/>
              <w:right w:val="nil"/>
            </w:tcBorders>
            <w:shd w:val="clear" w:color="auto" w:fill="E7E6E6" w:themeFill="background2"/>
            <w:vAlign w:val="center"/>
          </w:tcPr>
          <w:p w14:paraId="0695B909" w14:textId="77777777" w:rsidR="009E6753" w:rsidRPr="007E74F0" w:rsidRDefault="009E6753" w:rsidP="007F6D51">
            <w:pPr>
              <w:autoSpaceDE w:val="0"/>
              <w:autoSpaceDN w:val="0"/>
              <w:adjustRightInd w:val="0"/>
              <w:spacing w:after="0" w:line="276" w:lineRule="auto"/>
              <w:ind w:left="60" w:right="60"/>
              <w:jc w:val="center"/>
              <w:rPr>
                <w:rFonts w:cs="Times New Roman"/>
                <w:color w:val="000000"/>
                <w:sz w:val="22"/>
              </w:rPr>
            </w:pPr>
            <w:r w:rsidRPr="007E74F0">
              <w:rPr>
                <w:rFonts w:cs="Times New Roman"/>
                <w:color w:val="000000"/>
                <w:sz w:val="22"/>
              </w:rPr>
              <w:t>N</w:t>
            </w:r>
          </w:p>
        </w:tc>
        <w:tc>
          <w:tcPr>
            <w:tcW w:w="1338" w:type="dxa"/>
            <w:tcBorders>
              <w:top w:val="double" w:sz="8" w:space="0" w:color="000000"/>
              <w:left w:val="nil"/>
              <w:bottom w:val="single" w:sz="2" w:space="0" w:color="auto"/>
              <w:right w:val="nil"/>
            </w:tcBorders>
            <w:shd w:val="clear" w:color="auto" w:fill="E7E6E6" w:themeFill="background2"/>
            <w:vAlign w:val="center"/>
          </w:tcPr>
          <w:p w14:paraId="38E854A1" w14:textId="77777777" w:rsidR="009E6753" w:rsidRPr="007E74F0" w:rsidRDefault="009E6753" w:rsidP="007F6D51">
            <w:pPr>
              <w:autoSpaceDE w:val="0"/>
              <w:autoSpaceDN w:val="0"/>
              <w:adjustRightInd w:val="0"/>
              <w:spacing w:after="0" w:line="276" w:lineRule="auto"/>
              <w:ind w:left="60" w:right="60"/>
              <w:jc w:val="center"/>
              <w:rPr>
                <w:rFonts w:cs="Times New Roman"/>
                <w:color w:val="000000"/>
                <w:sz w:val="22"/>
              </w:rPr>
            </w:pPr>
            <w:r w:rsidRPr="007E74F0">
              <w:rPr>
                <w:rFonts w:cs="Times New Roman"/>
                <w:color w:val="000000"/>
                <w:sz w:val="22"/>
              </w:rPr>
              <w:t>Posto Médio</w:t>
            </w:r>
          </w:p>
        </w:tc>
        <w:tc>
          <w:tcPr>
            <w:tcW w:w="1885" w:type="dxa"/>
            <w:tcBorders>
              <w:top w:val="double" w:sz="8" w:space="0" w:color="000000"/>
              <w:left w:val="nil"/>
              <w:bottom w:val="single" w:sz="2" w:space="0" w:color="auto"/>
              <w:right w:val="nil"/>
            </w:tcBorders>
            <w:shd w:val="clear" w:color="auto" w:fill="E7E6E6" w:themeFill="background2"/>
            <w:vAlign w:val="center"/>
          </w:tcPr>
          <w:p w14:paraId="44036D78" w14:textId="77777777" w:rsidR="009E6753" w:rsidRPr="007E74F0" w:rsidRDefault="009E6753" w:rsidP="007F6D51">
            <w:pPr>
              <w:autoSpaceDE w:val="0"/>
              <w:autoSpaceDN w:val="0"/>
              <w:adjustRightInd w:val="0"/>
              <w:spacing w:after="0" w:line="276" w:lineRule="auto"/>
              <w:ind w:left="60" w:right="60"/>
              <w:jc w:val="center"/>
              <w:rPr>
                <w:rFonts w:cs="Times New Roman"/>
                <w:color w:val="000000"/>
                <w:sz w:val="22"/>
              </w:rPr>
            </w:pPr>
            <w:r w:rsidRPr="007E74F0">
              <w:rPr>
                <w:rFonts w:cs="Times New Roman"/>
                <w:color w:val="000000"/>
                <w:sz w:val="22"/>
              </w:rPr>
              <w:t>Soma de Classificações</w:t>
            </w:r>
          </w:p>
        </w:tc>
      </w:tr>
      <w:tr w:rsidR="009E6753" w:rsidRPr="007E74F0" w14:paraId="276E7A9A" w14:textId="77777777" w:rsidTr="003F251C">
        <w:trPr>
          <w:cantSplit/>
          <w:jc w:val="center"/>
        </w:trPr>
        <w:tc>
          <w:tcPr>
            <w:tcW w:w="737" w:type="dxa"/>
            <w:vMerge w:val="restart"/>
            <w:tcBorders>
              <w:top w:val="single" w:sz="2" w:space="0" w:color="auto"/>
              <w:left w:val="nil"/>
              <w:bottom w:val="double" w:sz="8" w:space="0" w:color="000000"/>
              <w:right w:val="single" w:sz="2" w:space="0" w:color="auto"/>
            </w:tcBorders>
            <w:shd w:val="clear" w:color="auto" w:fill="FFFFFF"/>
            <w:vAlign w:val="center"/>
          </w:tcPr>
          <w:p w14:paraId="499FAF6D" w14:textId="77777777" w:rsidR="009E6753" w:rsidRPr="009E6753" w:rsidRDefault="009E6753" w:rsidP="007F6D51">
            <w:pPr>
              <w:autoSpaceDE w:val="0"/>
              <w:autoSpaceDN w:val="0"/>
              <w:adjustRightInd w:val="0"/>
              <w:spacing w:after="0" w:line="276" w:lineRule="auto"/>
              <w:ind w:left="60" w:right="60"/>
              <w:rPr>
                <w:rFonts w:cs="Times New Roman"/>
                <w:b/>
                <w:bCs/>
                <w:color w:val="000000"/>
                <w:sz w:val="22"/>
              </w:rPr>
            </w:pPr>
            <w:r w:rsidRPr="009E6753">
              <w:rPr>
                <w:rFonts w:cs="Times New Roman"/>
                <w:b/>
                <w:bCs/>
                <w:color w:val="000000"/>
                <w:sz w:val="22"/>
              </w:rPr>
              <w:t>ITM</w:t>
            </w:r>
          </w:p>
        </w:tc>
        <w:tc>
          <w:tcPr>
            <w:tcW w:w="964" w:type="dxa"/>
            <w:tcBorders>
              <w:top w:val="single" w:sz="2" w:space="0" w:color="auto"/>
              <w:left w:val="single" w:sz="2" w:space="0" w:color="auto"/>
              <w:bottom w:val="nil"/>
              <w:right w:val="nil"/>
            </w:tcBorders>
            <w:shd w:val="clear" w:color="auto" w:fill="FFFFFF"/>
          </w:tcPr>
          <w:p w14:paraId="0E19D59F"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r w:rsidRPr="007E74F0">
              <w:rPr>
                <w:rFonts w:cs="Times New Roman"/>
                <w:color w:val="000000"/>
                <w:sz w:val="22"/>
              </w:rPr>
              <w:t>0</w:t>
            </w:r>
          </w:p>
        </w:tc>
        <w:tc>
          <w:tcPr>
            <w:tcW w:w="1030" w:type="dxa"/>
            <w:tcBorders>
              <w:top w:val="single" w:sz="2" w:space="0" w:color="auto"/>
              <w:left w:val="nil"/>
              <w:bottom w:val="nil"/>
              <w:right w:val="nil"/>
            </w:tcBorders>
            <w:shd w:val="clear" w:color="auto" w:fill="FFFFFF"/>
          </w:tcPr>
          <w:p w14:paraId="1024F341"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7E74F0">
              <w:rPr>
                <w:rFonts w:cs="Times New Roman"/>
                <w:color w:val="000000"/>
                <w:sz w:val="22"/>
              </w:rPr>
              <w:t>1144</w:t>
            </w:r>
          </w:p>
        </w:tc>
        <w:tc>
          <w:tcPr>
            <w:tcW w:w="1338" w:type="dxa"/>
            <w:tcBorders>
              <w:top w:val="single" w:sz="2" w:space="0" w:color="auto"/>
              <w:left w:val="nil"/>
              <w:bottom w:val="nil"/>
              <w:right w:val="nil"/>
            </w:tcBorders>
            <w:shd w:val="clear" w:color="auto" w:fill="FFFFFF"/>
          </w:tcPr>
          <w:p w14:paraId="7494CAD1"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7E74F0">
              <w:rPr>
                <w:rFonts w:cs="Times New Roman"/>
                <w:color w:val="000000"/>
                <w:sz w:val="22"/>
              </w:rPr>
              <w:t>754,10</w:t>
            </w:r>
          </w:p>
        </w:tc>
        <w:tc>
          <w:tcPr>
            <w:tcW w:w="1885" w:type="dxa"/>
            <w:tcBorders>
              <w:top w:val="single" w:sz="2" w:space="0" w:color="auto"/>
              <w:left w:val="nil"/>
              <w:bottom w:val="nil"/>
              <w:right w:val="nil"/>
            </w:tcBorders>
            <w:shd w:val="clear" w:color="auto" w:fill="FFFFFF"/>
          </w:tcPr>
          <w:p w14:paraId="0B35BBB3"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9E6753">
              <w:rPr>
                <w:rFonts w:cs="Times New Roman"/>
                <w:color w:val="000000"/>
                <w:sz w:val="22"/>
              </w:rPr>
              <w:t>854907,50</w:t>
            </w:r>
          </w:p>
        </w:tc>
      </w:tr>
      <w:tr w:rsidR="009E6753" w:rsidRPr="007E74F0" w14:paraId="4E9D5C59" w14:textId="77777777" w:rsidTr="003F251C">
        <w:trPr>
          <w:cantSplit/>
          <w:jc w:val="center"/>
        </w:trPr>
        <w:tc>
          <w:tcPr>
            <w:tcW w:w="737" w:type="dxa"/>
            <w:vMerge/>
            <w:tcBorders>
              <w:top w:val="single" w:sz="16" w:space="0" w:color="000000"/>
              <w:left w:val="nil"/>
              <w:bottom w:val="double" w:sz="8" w:space="0" w:color="000000"/>
              <w:right w:val="single" w:sz="2" w:space="0" w:color="auto"/>
            </w:tcBorders>
            <w:shd w:val="clear" w:color="auto" w:fill="FFFFFF"/>
          </w:tcPr>
          <w:p w14:paraId="54621EBD"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c>
          <w:tcPr>
            <w:tcW w:w="964" w:type="dxa"/>
            <w:tcBorders>
              <w:top w:val="nil"/>
              <w:left w:val="single" w:sz="2" w:space="0" w:color="auto"/>
              <w:bottom w:val="nil"/>
              <w:right w:val="nil"/>
            </w:tcBorders>
            <w:shd w:val="clear" w:color="auto" w:fill="E7E6E6" w:themeFill="background2"/>
          </w:tcPr>
          <w:p w14:paraId="53422CB9"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r w:rsidRPr="007E74F0">
              <w:rPr>
                <w:rFonts w:cs="Times New Roman"/>
                <w:color w:val="000000"/>
                <w:sz w:val="22"/>
              </w:rPr>
              <w:t>1</w:t>
            </w:r>
          </w:p>
        </w:tc>
        <w:tc>
          <w:tcPr>
            <w:tcW w:w="1030" w:type="dxa"/>
            <w:tcBorders>
              <w:top w:val="nil"/>
              <w:left w:val="nil"/>
              <w:bottom w:val="nil"/>
              <w:right w:val="nil"/>
            </w:tcBorders>
            <w:shd w:val="clear" w:color="auto" w:fill="E7E6E6" w:themeFill="background2"/>
          </w:tcPr>
          <w:p w14:paraId="2CBA9CE9"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7E74F0">
              <w:rPr>
                <w:rFonts w:cs="Times New Roman"/>
                <w:color w:val="000000"/>
                <w:sz w:val="22"/>
              </w:rPr>
              <w:t>395</w:t>
            </w:r>
          </w:p>
        </w:tc>
        <w:tc>
          <w:tcPr>
            <w:tcW w:w="1338" w:type="dxa"/>
            <w:tcBorders>
              <w:top w:val="nil"/>
              <w:left w:val="nil"/>
              <w:bottom w:val="nil"/>
              <w:right w:val="nil"/>
            </w:tcBorders>
            <w:shd w:val="clear" w:color="auto" w:fill="E7E6E6" w:themeFill="background2"/>
          </w:tcPr>
          <w:p w14:paraId="0E22591C"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7E74F0">
              <w:rPr>
                <w:rFonts w:cs="Times New Roman"/>
                <w:color w:val="000000"/>
                <w:sz w:val="22"/>
              </w:rPr>
              <w:t>816,04</w:t>
            </w:r>
          </w:p>
        </w:tc>
        <w:tc>
          <w:tcPr>
            <w:tcW w:w="1885" w:type="dxa"/>
            <w:tcBorders>
              <w:top w:val="nil"/>
              <w:left w:val="nil"/>
              <w:bottom w:val="nil"/>
              <w:right w:val="nil"/>
            </w:tcBorders>
            <w:shd w:val="clear" w:color="auto" w:fill="E7E6E6" w:themeFill="background2"/>
          </w:tcPr>
          <w:p w14:paraId="56C13F11"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9E6753">
              <w:rPr>
                <w:rFonts w:cs="Times New Roman"/>
                <w:color w:val="000000"/>
                <w:sz w:val="22"/>
              </w:rPr>
              <w:t>331662,50</w:t>
            </w:r>
          </w:p>
        </w:tc>
      </w:tr>
      <w:tr w:rsidR="009E6753" w:rsidRPr="00254ECE" w14:paraId="4E82F15B" w14:textId="77777777" w:rsidTr="003F251C">
        <w:trPr>
          <w:cantSplit/>
          <w:jc w:val="center"/>
        </w:trPr>
        <w:tc>
          <w:tcPr>
            <w:tcW w:w="737" w:type="dxa"/>
            <w:vMerge/>
            <w:tcBorders>
              <w:top w:val="single" w:sz="16" w:space="0" w:color="000000"/>
              <w:left w:val="nil"/>
              <w:bottom w:val="double" w:sz="8" w:space="0" w:color="000000"/>
              <w:right w:val="single" w:sz="2" w:space="0" w:color="auto"/>
            </w:tcBorders>
            <w:shd w:val="clear" w:color="auto" w:fill="FFFFFF"/>
          </w:tcPr>
          <w:p w14:paraId="05EC8EC3"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c>
          <w:tcPr>
            <w:tcW w:w="964" w:type="dxa"/>
            <w:tcBorders>
              <w:top w:val="nil"/>
              <w:left w:val="single" w:sz="2" w:space="0" w:color="auto"/>
              <w:bottom w:val="double" w:sz="8" w:space="0" w:color="000000"/>
              <w:right w:val="nil"/>
            </w:tcBorders>
            <w:shd w:val="clear" w:color="auto" w:fill="FFFFFF"/>
          </w:tcPr>
          <w:p w14:paraId="5F2D8CCE"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r w:rsidRPr="007E74F0">
              <w:rPr>
                <w:rFonts w:cs="Times New Roman"/>
                <w:color w:val="000000"/>
                <w:sz w:val="22"/>
              </w:rPr>
              <w:t>Total</w:t>
            </w:r>
          </w:p>
        </w:tc>
        <w:tc>
          <w:tcPr>
            <w:tcW w:w="1030" w:type="dxa"/>
            <w:tcBorders>
              <w:top w:val="nil"/>
              <w:left w:val="nil"/>
              <w:bottom w:val="double" w:sz="8" w:space="0" w:color="000000"/>
              <w:right w:val="nil"/>
            </w:tcBorders>
            <w:shd w:val="clear" w:color="auto" w:fill="FFFFFF"/>
          </w:tcPr>
          <w:p w14:paraId="717F9CFD"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7E74F0">
              <w:rPr>
                <w:rFonts w:cs="Times New Roman"/>
                <w:color w:val="000000"/>
                <w:sz w:val="22"/>
              </w:rPr>
              <w:t>1540</w:t>
            </w:r>
          </w:p>
        </w:tc>
        <w:tc>
          <w:tcPr>
            <w:tcW w:w="1338" w:type="dxa"/>
            <w:tcBorders>
              <w:top w:val="nil"/>
              <w:left w:val="nil"/>
              <w:bottom w:val="double" w:sz="8" w:space="0" w:color="000000"/>
              <w:right w:val="nil"/>
            </w:tcBorders>
            <w:shd w:val="clear" w:color="auto" w:fill="FFFFFF"/>
            <w:vAlign w:val="center"/>
          </w:tcPr>
          <w:p w14:paraId="47B6942A"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c>
          <w:tcPr>
            <w:tcW w:w="1885" w:type="dxa"/>
            <w:tcBorders>
              <w:top w:val="nil"/>
              <w:left w:val="nil"/>
              <w:bottom w:val="double" w:sz="8" w:space="0" w:color="000000"/>
              <w:right w:val="nil"/>
            </w:tcBorders>
            <w:shd w:val="clear" w:color="auto" w:fill="FFFFFF"/>
            <w:vAlign w:val="center"/>
          </w:tcPr>
          <w:p w14:paraId="425EEBA5"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r>
    </w:tbl>
    <w:p w14:paraId="107216CA" w14:textId="77777777" w:rsidR="009E6753" w:rsidRDefault="009E6753" w:rsidP="009E6753">
      <w:pPr>
        <w:spacing w:line="360" w:lineRule="auto"/>
      </w:pPr>
    </w:p>
    <w:tbl>
      <w:tblPr>
        <w:tblW w:w="595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964"/>
        <w:gridCol w:w="1030"/>
        <w:gridCol w:w="1338"/>
        <w:gridCol w:w="1885"/>
      </w:tblGrid>
      <w:tr w:rsidR="009E6753" w:rsidRPr="00254ECE" w14:paraId="0D6FFA47" w14:textId="77777777" w:rsidTr="007F6D51">
        <w:trPr>
          <w:cantSplit/>
          <w:jc w:val="center"/>
        </w:trPr>
        <w:tc>
          <w:tcPr>
            <w:tcW w:w="737" w:type="dxa"/>
            <w:tcBorders>
              <w:top w:val="double" w:sz="4" w:space="0" w:color="auto"/>
              <w:left w:val="nil"/>
              <w:bottom w:val="single" w:sz="2" w:space="0" w:color="auto"/>
              <w:right w:val="nil"/>
            </w:tcBorders>
            <w:shd w:val="clear" w:color="auto" w:fill="E7E6E6" w:themeFill="background2"/>
            <w:vAlign w:val="center"/>
          </w:tcPr>
          <w:p w14:paraId="03E0F7FD"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c>
          <w:tcPr>
            <w:tcW w:w="964" w:type="dxa"/>
            <w:tcBorders>
              <w:top w:val="double" w:sz="8" w:space="0" w:color="000000"/>
              <w:left w:val="nil"/>
              <w:bottom w:val="single" w:sz="2" w:space="0" w:color="auto"/>
              <w:right w:val="nil"/>
            </w:tcBorders>
            <w:shd w:val="clear" w:color="auto" w:fill="E7E6E6" w:themeFill="background2"/>
            <w:vAlign w:val="center"/>
          </w:tcPr>
          <w:p w14:paraId="689645A7" w14:textId="33757FB2" w:rsidR="009E6753" w:rsidRPr="009E6753" w:rsidRDefault="009E6753" w:rsidP="007F6D51">
            <w:pPr>
              <w:autoSpaceDE w:val="0"/>
              <w:autoSpaceDN w:val="0"/>
              <w:adjustRightInd w:val="0"/>
              <w:spacing w:after="0" w:line="276" w:lineRule="auto"/>
              <w:ind w:left="60" w:right="60"/>
              <w:rPr>
                <w:rFonts w:cs="Times New Roman"/>
                <w:b/>
                <w:bCs/>
                <w:color w:val="000000"/>
                <w:sz w:val="22"/>
              </w:rPr>
            </w:pPr>
            <w:r w:rsidRPr="009E6753">
              <w:rPr>
                <w:rFonts w:cs="Times New Roman"/>
                <w:b/>
                <w:bCs/>
                <w:color w:val="000000"/>
                <w:sz w:val="22"/>
              </w:rPr>
              <w:t>D</w:t>
            </w:r>
            <w:r w:rsidR="000A23D0">
              <w:rPr>
                <w:rFonts w:cs="Times New Roman"/>
                <w:b/>
                <w:bCs/>
                <w:color w:val="000000"/>
                <w:sz w:val="22"/>
              </w:rPr>
              <w:t>E</w:t>
            </w:r>
          </w:p>
        </w:tc>
        <w:tc>
          <w:tcPr>
            <w:tcW w:w="1030" w:type="dxa"/>
            <w:tcBorders>
              <w:top w:val="double" w:sz="8" w:space="0" w:color="000000"/>
              <w:left w:val="nil"/>
              <w:bottom w:val="single" w:sz="2" w:space="0" w:color="auto"/>
              <w:right w:val="nil"/>
            </w:tcBorders>
            <w:shd w:val="clear" w:color="auto" w:fill="E7E6E6" w:themeFill="background2"/>
            <w:vAlign w:val="center"/>
          </w:tcPr>
          <w:p w14:paraId="67FAFFF7" w14:textId="77777777" w:rsidR="009E6753" w:rsidRPr="007E74F0" w:rsidRDefault="009E6753" w:rsidP="007F6D51">
            <w:pPr>
              <w:autoSpaceDE w:val="0"/>
              <w:autoSpaceDN w:val="0"/>
              <w:adjustRightInd w:val="0"/>
              <w:spacing w:after="0" w:line="276" w:lineRule="auto"/>
              <w:ind w:left="60" w:right="60"/>
              <w:jc w:val="center"/>
              <w:rPr>
                <w:rFonts w:cs="Times New Roman"/>
                <w:color w:val="000000"/>
                <w:sz w:val="22"/>
              </w:rPr>
            </w:pPr>
            <w:r w:rsidRPr="007E74F0">
              <w:rPr>
                <w:rFonts w:cs="Times New Roman"/>
                <w:color w:val="000000"/>
                <w:sz w:val="22"/>
              </w:rPr>
              <w:t>N</w:t>
            </w:r>
          </w:p>
        </w:tc>
        <w:tc>
          <w:tcPr>
            <w:tcW w:w="1338" w:type="dxa"/>
            <w:tcBorders>
              <w:top w:val="double" w:sz="8" w:space="0" w:color="000000"/>
              <w:left w:val="nil"/>
              <w:bottom w:val="single" w:sz="2" w:space="0" w:color="auto"/>
              <w:right w:val="nil"/>
            </w:tcBorders>
            <w:shd w:val="clear" w:color="auto" w:fill="E7E6E6" w:themeFill="background2"/>
            <w:vAlign w:val="center"/>
          </w:tcPr>
          <w:p w14:paraId="233AA0F1" w14:textId="77777777" w:rsidR="009E6753" w:rsidRPr="007E74F0" w:rsidRDefault="009E6753" w:rsidP="007F6D51">
            <w:pPr>
              <w:autoSpaceDE w:val="0"/>
              <w:autoSpaceDN w:val="0"/>
              <w:adjustRightInd w:val="0"/>
              <w:spacing w:after="0" w:line="276" w:lineRule="auto"/>
              <w:ind w:left="60" w:right="60"/>
              <w:jc w:val="center"/>
              <w:rPr>
                <w:rFonts w:cs="Times New Roman"/>
                <w:color w:val="000000"/>
                <w:sz w:val="22"/>
              </w:rPr>
            </w:pPr>
            <w:r w:rsidRPr="007E74F0">
              <w:rPr>
                <w:rFonts w:cs="Times New Roman"/>
                <w:color w:val="000000"/>
                <w:sz w:val="22"/>
              </w:rPr>
              <w:t>Posto Médio</w:t>
            </w:r>
          </w:p>
        </w:tc>
        <w:tc>
          <w:tcPr>
            <w:tcW w:w="1885" w:type="dxa"/>
            <w:tcBorders>
              <w:top w:val="double" w:sz="8" w:space="0" w:color="000000"/>
              <w:left w:val="nil"/>
              <w:bottom w:val="single" w:sz="2" w:space="0" w:color="auto"/>
              <w:right w:val="nil"/>
            </w:tcBorders>
            <w:shd w:val="clear" w:color="auto" w:fill="E7E6E6" w:themeFill="background2"/>
            <w:vAlign w:val="center"/>
          </w:tcPr>
          <w:p w14:paraId="1B3CFAD8" w14:textId="77777777" w:rsidR="009E6753" w:rsidRPr="007E74F0" w:rsidRDefault="009E6753" w:rsidP="007F6D51">
            <w:pPr>
              <w:autoSpaceDE w:val="0"/>
              <w:autoSpaceDN w:val="0"/>
              <w:adjustRightInd w:val="0"/>
              <w:spacing w:after="0" w:line="276" w:lineRule="auto"/>
              <w:ind w:left="60" w:right="60"/>
              <w:jc w:val="center"/>
              <w:rPr>
                <w:rFonts w:cs="Times New Roman"/>
                <w:color w:val="000000"/>
                <w:sz w:val="22"/>
              </w:rPr>
            </w:pPr>
            <w:r w:rsidRPr="007E74F0">
              <w:rPr>
                <w:rFonts w:cs="Times New Roman"/>
                <w:color w:val="000000"/>
                <w:sz w:val="22"/>
              </w:rPr>
              <w:t>Soma de Classificações</w:t>
            </w:r>
          </w:p>
        </w:tc>
      </w:tr>
      <w:tr w:rsidR="00137F6F" w:rsidRPr="007E74F0" w14:paraId="6FD698E7" w14:textId="77777777" w:rsidTr="003F251C">
        <w:trPr>
          <w:cantSplit/>
          <w:jc w:val="center"/>
        </w:trPr>
        <w:tc>
          <w:tcPr>
            <w:tcW w:w="737" w:type="dxa"/>
            <w:vMerge w:val="restart"/>
            <w:tcBorders>
              <w:top w:val="single" w:sz="2" w:space="0" w:color="auto"/>
              <w:left w:val="nil"/>
              <w:bottom w:val="double" w:sz="8" w:space="0" w:color="000000"/>
              <w:right w:val="single" w:sz="2" w:space="0" w:color="auto"/>
            </w:tcBorders>
            <w:shd w:val="clear" w:color="auto" w:fill="FFFFFF"/>
            <w:vAlign w:val="center"/>
          </w:tcPr>
          <w:p w14:paraId="1BE1260D" w14:textId="77777777" w:rsidR="00137F6F" w:rsidRPr="009E6753" w:rsidRDefault="00137F6F" w:rsidP="00137F6F">
            <w:pPr>
              <w:autoSpaceDE w:val="0"/>
              <w:autoSpaceDN w:val="0"/>
              <w:adjustRightInd w:val="0"/>
              <w:spacing w:after="0" w:line="276" w:lineRule="auto"/>
              <w:ind w:left="60" w:right="60"/>
              <w:rPr>
                <w:rFonts w:cs="Times New Roman"/>
                <w:b/>
                <w:bCs/>
                <w:color w:val="000000"/>
                <w:sz w:val="22"/>
              </w:rPr>
            </w:pPr>
            <w:r w:rsidRPr="009E6753">
              <w:rPr>
                <w:rFonts w:cs="Times New Roman"/>
                <w:b/>
                <w:bCs/>
                <w:color w:val="000000"/>
                <w:sz w:val="22"/>
              </w:rPr>
              <w:t>ITM</w:t>
            </w:r>
          </w:p>
        </w:tc>
        <w:tc>
          <w:tcPr>
            <w:tcW w:w="964" w:type="dxa"/>
            <w:tcBorders>
              <w:top w:val="single" w:sz="2" w:space="0" w:color="auto"/>
              <w:left w:val="single" w:sz="2" w:space="0" w:color="auto"/>
              <w:bottom w:val="nil"/>
              <w:right w:val="nil"/>
            </w:tcBorders>
            <w:shd w:val="clear" w:color="auto" w:fill="FFFFFF"/>
          </w:tcPr>
          <w:p w14:paraId="277D734D" w14:textId="77777777" w:rsidR="00137F6F" w:rsidRPr="007E74F0" w:rsidRDefault="00137F6F" w:rsidP="00137F6F">
            <w:pPr>
              <w:autoSpaceDE w:val="0"/>
              <w:autoSpaceDN w:val="0"/>
              <w:adjustRightInd w:val="0"/>
              <w:spacing w:after="0" w:line="276" w:lineRule="auto"/>
              <w:ind w:left="60" w:right="60"/>
              <w:rPr>
                <w:rFonts w:cs="Times New Roman"/>
                <w:color w:val="000000"/>
                <w:sz w:val="22"/>
              </w:rPr>
            </w:pPr>
            <w:r w:rsidRPr="007E74F0">
              <w:rPr>
                <w:rFonts w:cs="Times New Roman"/>
                <w:color w:val="000000"/>
                <w:sz w:val="22"/>
              </w:rPr>
              <w:t>0</w:t>
            </w:r>
          </w:p>
        </w:tc>
        <w:tc>
          <w:tcPr>
            <w:tcW w:w="1030" w:type="dxa"/>
            <w:tcBorders>
              <w:top w:val="single" w:sz="2" w:space="0" w:color="auto"/>
              <w:left w:val="nil"/>
              <w:bottom w:val="nil"/>
              <w:right w:val="nil"/>
            </w:tcBorders>
            <w:shd w:val="clear" w:color="auto" w:fill="FFFFFF"/>
          </w:tcPr>
          <w:p w14:paraId="12BD1BC1" w14:textId="7541CFCB" w:rsidR="00137F6F" w:rsidRPr="007E74F0" w:rsidRDefault="00137F6F" w:rsidP="00137F6F">
            <w:pPr>
              <w:autoSpaceDE w:val="0"/>
              <w:autoSpaceDN w:val="0"/>
              <w:adjustRightInd w:val="0"/>
              <w:spacing w:after="0" w:line="276" w:lineRule="auto"/>
              <w:ind w:left="60" w:right="60"/>
              <w:jc w:val="right"/>
              <w:rPr>
                <w:rFonts w:cs="Times New Roman"/>
                <w:color w:val="000000"/>
                <w:sz w:val="22"/>
              </w:rPr>
            </w:pPr>
            <w:r>
              <w:rPr>
                <w:rFonts w:cs="Times New Roman"/>
                <w:color w:val="000000"/>
                <w:sz w:val="22"/>
              </w:rPr>
              <w:t>924</w:t>
            </w:r>
          </w:p>
        </w:tc>
        <w:tc>
          <w:tcPr>
            <w:tcW w:w="1338" w:type="dxa"/>
            <w:tcBorders>
              <w:top w:val="single" w:sz="2" w:space="0" w:color="auto"/>
              <w:left w:val="nil"/>
              <w:bottom w:val="nil"/>
              <w:right w:val="nil"/>
            </w:tcBorders>
            <w:shd w:val="clear" w:color="auto" w:fill="FFFFFF"/>
          </w:tcPr>
          <w:p w14:paraId="7BDE793A" w14:textId="5C86A871" w:rsidR="00137F6F" w:rsidRPr="007E74F0" w:rsidRDefault="00137F6F" w:rsidP="00137F6F">
            <w:pPr>
              <w:autoSpaceDE w:val="0"/>
              <w:autoSpaceDN w:val="0"/>
              <w:adjustRightInd w:val="0"/>
              <w:spacing w:after="0" w:line="276" w:lineRule="auto"/>
              <w:ind w:left="60" w:right="60"/>
              <w:jc w:val="right"/>
              <w:rPr>
                <w:rFonts w:cs="Times New Roman"/>
                <w:color w:val="000000"/>
                <w:sz w:val="22"/>
              </w:rPr>
            </w:pPr>
            <w:r w:rsidRPr="00137F6F">
              <w:rPr>
                <w:rFonts w:cs="Times New Roman"/>
                <w:color w:val="000000"/>
                <w:sz w:val="22"/>
              </w:rPr>
              <w:t>829,49</w:t>
            </w:r>
          </w:p>
        </w:tc>
        <w:tc>
          <w:tcPr>
            <w:tcW w:w="1885" w:type="dxa"/>
            <w:tcBorders>
              <w:top w:val="single" w:sz="2" w:space="0" w:color="auto"/>
              <w:left w:val="nil"/>
              <w:bottom w:val="nil"/>
              <w:right w:val="nil"/>
            </w:tcBorders>
            <w:shd w:val="clear" w:color="auto" w:fill="FFFFFF"/>
          </w:tcPr>
          <w:p w14:paraId="20DD962A" w14:textId="3856703C" w:rsidR="00137F6F" w:rsidRPr="007E74F0" w:rsidRDefault="00137F6F" w:rsidP="00137F6F">
            <w:pPr>
              <w:autoSpaceDE w:val="0"/>
              <w:autoSpaceDN w:val="0"/>
              <w:adjustRightInd w:val="0"/>
              <w:spacing w:after="0" w:line="276" w:lineRule="auto"/>
              <w:ind w:left="60" w:right="60"/>
              <w:jc w:val="right"/>
              <w:rPr>
                <w:rFonts w:cs="Times New Roman"/>
                <w:color w:val="000000"/>
                <w:sz w:val="22"/>
              </w:rPr>
            </w:pPr>
            <w:r w:rsidRPr="00137F6F">
              <w:rPr>
                <w:rFonts w:cs="Times New Roman"/>
                <w:color w:val="000000"/>
                <w:sz w:val="22"/>
              </w:rPr>
              <w:t>766446</w:t>
            </w:r>
          </w:p>
        </w:tc>
      </w:tr>
      <w:tr w:rsidR="00137F6F" w:rsidRPr="007E74F0" w14:paraId="4E85DF6B" w14:textId="77777777" w:rsidTr="003F251C">
        <w:trPr>
          <w:cantSplit/>
          <w:jc w:val="center"/>
        </w:trPr>
        <w:tc>
          <w:tcPr>
            <w:tcW w:w="737" w:type="dxa"/>
            <w:vMerge/>
            <w:tcBorders>
              <w:top w:val="single" w:sz="16" w:space="0" w:color="000000"/>
              <w:left w:val="nil"/>
              <w:bottom w:val="double" w:sz="8" w:space="0" w:color="000000"/>
              <w:right w:val="single" w:sz="2" w:space="0" w:color="auto"/>
            </w:tcBorders>
            <w:shd w:val="clear" w:color="auto" w:fill="FFFFFF"/>
          </w:tcPr>
          <w:p w14:paraId="16B4D958" w14:textId="77777777" w:rsidR="00137F6F" w:rsidRPr="007E74F0" w:rsidRDefault="00137F6F" w:rsidP="00137F6F">
            <w:pPr>
              <w:autoSpaceDE w:val="0"/>
              <w:autoSpaceDN w:val="0"/>
              <w:adjustRightInd w:val="0"/>
              <w:spacing w:after="0" w:line="276" w:lineRule="auto"/>
              <w:ind w:left="60" w:right="60"/>
              <w:rPr>
                <w:rFonts w:cs="Times New Roman"/>
                <w:color w:val="000000"/>
                <w:sz w:val="22"/>
              </w:rPr>
            </w:pPr>
          </w:p>
        </w:tc>
        <w:tc>
          <w:tcPr>
            <w:tcW w:w="964" w:type="dxa"/>
            <w:tcBorders>
              <w:top w:val="nil"/>
              <w:left w:val="single" w:sz="2" w:space="0" w:color="auto"/>
              <w:bottom w:val="nil"/>
              <w:right w:val="nil"/>
            </w:tcBorders>
            <w:shd w:val="clear" w:color="auto" w:fill="E7E6E6" w:themeFill="background2"/>
          </w:tcPr>
          <w:p w14:paraId="3302CF86" w14:textId="77777777" w:rsidR="00137F6F" w:rsidRPr="007E74F0" w:rsidRDefault="00137F6F" w:rsidP="00137F6F">
            <w:pPr>
              <w:autoSpaceDE w:val="0"/>
              <w:autoSpaceDN w:val="0"/>
              <w:adjustRightInd w:val="0"/>
              <w:spacing w:after="0" w:line="276" w:lineRule="auto"/>
              <w:ind w:left="60" w:right="60"/>
              <w:rPr>
                <w:rFonts w:cs="Times New Roman"/>
                <w:color w:val="000000"/>
                <w:sz w:val="22"/>
              </w:rPr>
            </w:pPr>
            <w:r w:rsidRPr="007E74F0">
              <w:rPr>
                <w:rFonts w:cs="Times New Roman"/>
                <w:color w:val="000000"/>
                <w:sz w:val="22"/>
              </w:rPr>
              <w:t>1</w:t>
            </w:r>
          </w:p>
        </w:tc>
        <w:tc>
          <w:tcPr>
            <w:tcW w:w="1030" w:type="dxa"/>
            <w:tcBorders>
              <w:top w:val="nil"/>
              <w:left w:val="nil"/>
              <w:bottom w:val="nil"/>
              <w:right w:val="nil"/>
            </w:tcBorders>
            <w:shd w:val="clear" w:color="auto" w:fill="E7E6E6" w:themeFill="background2"/>
          </w:tcPr>
          <w:p w14:paraId="0DE01742" w14:textId="3F11CABA" w:rsidR="00137F6F" w:rsidRPr="007E74F0" w:rsidRDefault="00137F6F" w:rsidP="00137F6F">
            <w:pPr>
              <w:autoSpaceDE w:val="0"/>
              <w:autoSpaceDN w:val="0"/>
              <w:adjustRightInd w:val="0"/>
              <w:spacing w:after="0" w:line="276" w:lineRule="auto"/>
              <w:ind w:left="60" w:right="60"/>
              <w:jc w:val="right"/>
              <w:rPr>
                <w:rFonts w:cs="Times New Roman"/>
                <w:color w:val="000000"/>
                <w:sz w:val="22"/>
              </w:rPr>
            </w:pPr>
            <w:r>
              <w:rPr>
                <w:rFonts w:cs="Times New Roman"/>
                <w:color w:val="000000"/>
                <w:sz w:val="22"/>
              </w:rPr>
              <w:t>616</w:t>
            </w:r>
          </w:p>
        </w:tc>
        <w:tc>
          <w:tcPr>
            <w:tcW w:w="1338" w:type="dxa"/>
            <w:tcBorders>
              <w:top w:val="nil"/>
              <w:left w:val="nil"/>
              <w:bottom w:val="nil"/>
              <w:right w:val="nil"/>
            </w:tcBorders>
            <w:shd w:val="clear" w:color="auto" w:fill="E7E6E6" w:themeFill="background2"/>
          </w:tcPr>
          <w:p w14:paraId="68E8EEB4" w14:textId="5C312BFF" w:rsidR="00137F6F" w:rsidRPr="007E74F0" w:rsidRDefault="00137F6F" w:rsidP="00137F6F">
            <w:pPr>
              <w:autoSpaceDE w:val="0"/>
              <w:autoSpaceDN w:val="0"/>
              <w:adjustRightInd w:val="0"/>
              <w:spacing w:after="0" w:line="276" w:lineRule="auto"/>
              <w:ind w:left="60" w:right="60"/>
              <w:jc w:val="right"/>
              <w:rPr>
                <w:rFonts w:cs="Times New Roman"/>
                <w:color w:val="000000"/>
                <w:sz w:val="22"/>
              </w:rPr>
            </w:pPr>
            <w:r w:rsidRPr="00137F6F">
              <w:rPr>
                <w:rFonts w:cs="Times New Roman"/>
                <w:color w:val="000000"/>
                <w:sz w:val="22"/>
              </w:rPr>
              <w:t>682,02</w:t>
            </w:r>
          </w:p>
        </w:tc>
        <w:tc>
          <w:tcPr>
            <w:tcW w:w="1885" w:type="dxa"/>
            <w:tcBorders>
              <w:top w:val="nil"/>
              <w:left w:val="nil"/>
              <w:bottom w:val="nil"/>
              <w:right w:val="nil"/>
            </w:tcBorders>
            <w:shd w:val="clear" w:color="auto" w:fill="E7E6E6" w:themeFill="background2"/>
          </w:tcPr>
          <w:p w14:paraId="4B1A6447" w14:textId="631021C7" w:rsidR="00137F6F" w:rsidRPr="007E74F0" w:rsidRDefault="00137F6F" w:rsidP="00137F6F">
            <w:pPr>
              <w:autoSpaceDE w:val="0"/>
              <w:autoSpaceDN w:val="0"/>
              <w:adjustRightInd w:val="0"/>
              <w:spacing w:after="0" w:line="276" w:lineRule="auto"/>
              <w:ind w:left="60" w:right="60"/>
              <w:jc w:val="right"/>
              <w:rPr>
                <w:rFonts w:cs="Times New Roman"/>
                <w:color w:val="000000"/>
                <w:sz w:val="22"/>
              </w:rPr>
            </w:pPr>
            <w:r w:rsidRPr="00137F6F">
              <w:rPr>
                <w:rFonts w:cs="Times New Roman"/>
                <w:color w:val="000000"/>
                <w:sz w:val="22"/>
              </w:rPr>
              <w:t>420124</w:t>
            </w:r>
          </w:p>
        </w:tc>
      </w:tr>
      <w:tr w:rsidR="009E6753" w:rsidRPr="00254ECE" w14:paraId="2884BBB4" w14:textId="77777777" w:rsidTr="003F251C">
        <w:trPr>
          <w:cantSplit/>
          <w:jc w:val="center"/>
        </w:trPr>
        <w:tc>
          <w:tcPr>
            <w:tcW w:w="737" w:type="dxa"/>
            <w:vMerge/>
            <w:tcBorders>
              <w:top w:val="single" w:sz="16" w:space="0" w:color="000000"/>
              <w:left w:val="nil"/>
              <w:bottom w:val="double" w:sz="8" w:space="0" w:color="000000"/>
              <w:right w:val="single" w:sz="2" w:space="0" w:color="auto"/>
            </w:tcBorders>
            <w:shd w:val="clear" w:color="auto" w:fill="FFFFFF"/>
          </w:tcPr>
          <w:p w14:paraId="00D8EDBB"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c>
          <w:tcPr>
            <w:tcW w:w="964" w:type="dxa"/>
            <w:tcBorders>
              <w:top w:val="nil"/>
              <w:left w:val="single" w:sz="2" w:space="0" w:color="auto"/>
              <w:bottom w:val="double" w:sz="8" w:space="0" w:color="000000"/>
              <w:right w:val="nil"/>
            </w:tcBorders>
            <w:shd w:val="clear" w:color="auto" w:fill="FFFFFF"/>
          </w:tcPr>
          <w:p w14:paraId="1D24DAF4"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r w:rsidRPr="007E74F0">
              <w:rPr>
                <w:rFonts w:cs="Times New Roman"/>
                <w:color w:val="000000"/>
                <w:sz w:val="22"/>
              </w:rPr>
              <w:t>Total</w:t>
            </w:r>
          </w:p>
        </w:tc>
        <w:tc>
          <w:tcPr>
            <w:tcW w:w="1030" w:type="dxa"/>
            <w:tcBorders>
              <w:top w:val="nil"/>
              <w:left w:val="nil"/>
              <w:bottom w:val="double" w:sz="8" w:space="0" w:color="000000"/>
              <w:right w:val="nil"/>
            </w:tcBorders>
            <w:shd w:val="clear" w:color="auto" w:fill="FFFFFF"/>
          </w:tcPr>
          <w:p w14:paraId="29F08913"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9E6753">
              <w:rPr>
                <w:rFonts w:cs="Times New Roman"/>
                <w:color w:val="000000"/>
                <w:sz w:val="22"/>
              </w:rPr>
              <w:t>1540</w:t>
            </w:r>
          </w:p>
        </w:tc>
        <w:tc>
          <w:tcPr>
            <w:tcW w:w="1338" w:type="dxa"/>
            <w:tcBorders>
              <w:top w:val="nil"/>
              <w:left w:val="nil"/>
              <w:bottom w:val="double" w:sz="8" w:space="0" w:color="000000"/>
              <w:right w:val="nil"/>
            </w:tcBorders>
            <w:shd w:val="clear" w:color="auto" w:fill="FFFFFF"/>
            <w:vAlign w:val="center"/>
          </w:tcPr>
          <w:p w14:paraId="0BC7795B"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c>
          <w:tcPr>
            <w:tcW w:w="1885" w:type="dxa"/>
            <w:tcBorders>
              <w:top w:val="nil"/>
              <w:left w:val="nil"/>
              <w:bottom w:val="double" w:sz="8" w:space="0" w:color="000000"/>
              <w:right w:val="nil"/>
            </w:tcBorders>
            <w:shd w:val="clear" w:color="auto" w:fill="FFFFFF"/>
            <w:vAlign w:val="center"/>
          </w:tcPr>
          <w:p w14:paraId="7E8752E9"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r>
    </w:tbl>
    <w:p w14:paraId="0721BEC9" w14:textId="77777777" w:rsidR="009E6753" w:rsidRDefault="009E6753" w:rsidP="009E6753">
      <w:pPr>
        <w:spacing w:line="360" w:lineRule="auto"/>
        <w:jc w:val="center"/>
      </w:pPr>
    </w:p>
    <w:tbl>
      <w:tblPr>
        <w:tblW w:w="595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964"/>
        <w:gridCol w:w="1030"/>
        <w:gridCol w:w="1338"/>
        <w:gridCol w:w="1885"/>
      </w:tblGrid>
      <w:tr w:rsidR="009E6753" w:rsidRPr="00254ECE" w14:paraId="1ADB68E8" w14:textId="77777777" w:rsidTr="007F6D51">
        <w:trPr>
          <w:cantSplit/>
          <w:jc w:val="center"/>
        </w:trPr>
        <w:tc>
          <w:tcPr>
            <w:tcW w:w="737" w:type="dxa"/>
            <w:tcBorders>
              <w:top w:val="double" w:sz="4" w:space="0" w:color="auto"/>
              <w:left w:val="nil"/>
              <w:bottom w:val="single" w:sz="2" w:space="0" w:color="auto"/>
              <w:right w:val="nil"/>
            </w:tcBorders>
            <w:shd w:val="clear" w:color="auto" w:fill="E7E6E6" w:themeFill="background2"/>
            <w:vAlign w:val="center"/>
          </w:tcPr>
          <w:p w14:paraId="34A0E90E"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c>
          <w:tcPr>
            <w:tcW w:w="964" w:type="dxa"/>
            <w:tcBorders>
              <w:top w:val="double" w:sz="8" w:space="0" w:color="000000"/>
              <w:left w:val="nil"/>
              <w:bottom w:val="single" w:sz="2" w:space="0" w:color="auto"/>
              <w:right w:val="nil"/>
            </w:tcBorders>
            <w:shd w:val="clear" w:color="auto" w:fill="E7E6E6" w:themeFill="background2"/>
            <w:vAlign w:val="center"/>
          </w:tcPr>
          <w:p w14:paraId="1C19953B" w14:textId="77777777" w:rsidR="009E6753" w:rsidRPr="009E6753" w:rsidRDefault="009E6753" w:rsidP="007F6D51">
            <w:pPr>
              <w:autoSpaceDE w:val="0"/>
              <w:autoSpaceDN w:val="0"/>
              <w:adjustRightInd w:val="0"/>
              <w:spacing w:after="0" w:line="276" w:lineRule="auto"/>
              <w:ind w:left="60" w:right="60"/>
              <w:rPr>
                <w:rFonts w:cs="Times New Roman"/>
                <w:b/>
                <w:bCs/>
                <w:color w:val="000000"/>
                <w:sz w:val="22"/>
              </w:rPr>
            </w:pPr>
            <w:proofErr w:type="spellStart"/>
            <w:r w:rsidRPr="009E6753">
              <w:rPr>
                <w:rFonts w:cs="Times New Roman"/>
                <w:b/>
                <w:bCs/>
                <w:color w:val="000000"/>
                <w:sz w:val="22"/>
              </w:rPr>
              <w:t>MTxPI</w:t>
            </w:r>
            <w:proofErr w:type="spellEnd"/>
          </w:p>
        </w:tc>
        <w:tc>
          <w:tcPr>
            <w:tcW w:w="1030" w:type="dxa"/>
            <w:tcBorders>
              <w:top w:val="double" w:sz="8" w:space="0" w:color="000000"/>
              <w:left w:val="nil"/>
              <w:bottom w:val="single" w:sz="2" w:space="0" w:color="auto"/>
              <w:right w:val="nil"/>
            </w:tcBorders>
            <w:shd w:val="clear" w:color="auto" w:fill="E7E6E6" w:themeFill="background2"/>
            <w:vAlign w:val="center"/>
          </w:tcPr>
          <w:p w14:paraId="1C7EB56D" w14:textId="77777777" w:rsidR="009E6753" w:rsidRPr="007E74F0" w:rsidRDefault="009E6753" w:rsidP="007F6D51">
            <w:pPr>
              <w:autoSpaceDE w:val="0"/>
              <w:autoSpaceDN w:val="0"/>
              <w:adjustRightInd w:val="0"/>
              <w:spacing w:after="0" w:line="276" w:lineRule="auto"/>
              <w:ind w:left="60" w:right="60"/>
              <w:jc w:val="center"/>
              <w:rPr>
                <w:rFonts w:cs="Times New Roman"/>
                <w:color w:val="000000"/>
                <w:sz w:val="22"/>
              </w:rPr>
            </w:pPr>
            <w:r w:rsidRPr="007E74F0">
              <w:rPr>
                <w:rFonts w:cs="Times New Roman"/>
                <w:color w:val="000000"/>
                <w:sz w:val="22"/>
              </w:rPr>
              <w:t>N</w:t>
            </w:r>
          </w:p>
        </w:tc>
        <w:tc>
          <w:tcPr>
            <w:tcW w:w="1338" w:type="dxa"/>
            <w:tcBorders>
              <w:top w:val="double" w:sz="8" w:space="0" w:color="000000"/>
              <w:left w:val="nil"/>
              <w:bottom w:val="single" w:sz="2" w:space="0" w:color="auto"/>
              <w:right w:val="nil"/>
            </w:tcBorders>
            <w:shd w:val="clear" w:color="auto" w:fill="E7E6E6" w:themeFill="background2"/>
            <w:vAlign w:val="center"/>
          </w:tcPr>
          <w:p w14:paraId="4402EAE4" w14:textId="77777777" w:rsidR="009E6753" w:rsidRPr="007E74F0" w:rsidRDefault="009E6753" w:rsidP="007F6D51">
            <w:pPr>
              <w:autoSpaceDE w:val="0"/>
              <w:autoSpaceDN w:val="0"/>
              <w:adjustRightInd w:val="0"/>
              <w:spacing w:after="0" w:line="276" w:lineRule="auto"/>
              <w:ind w:left="60" w:right="60"/>
              <w:jc w:val="center"/>
              <w:rPr>
                <w:rFonts w:cs="Times New Roman"/>
                <w:color w:val="000000"/>
                <w:sz w:val="22"/>
              </w:rPr>
            </w:pPr>
            <w:r w:rsidRPr="007E74F0">
              <w:rPr>
                <w:rFonts w:cs="Times New Roman"/>
                <w:color w:val="000000"/>
                <w:sz w:val="22"/>
              </w:rPr>
              <w:t>Posto Médio</w:t>
            </w:r>
          </w:p>
        </w:tc>
        <w:tc>
          <w:tcPr>
            <w:tcW w:w="1885" w:type="dxa"/>
            <w:tcBorders>
              <w:top w:val="double" w:sz="8" w:space="0" w:color="000000"/>
              <w:left w:val="nil"/>
              <w:bottom w:val="single" w:sz="2" w:space="0" w:color="auto"/>
              <w:right w:val="nil"/>
            </w:tcBorders>
            <w:shd w:val="clear" w:color="auto" w:fill="E7E6E6" w:themeFill="background2"/>
            <w:vAlign w:val="center"/>
          </w:tcPr>
          <w:p w14:paraId="3EFA13EE" w14:textId="77777777" w:rsidR="009E6753" w:rsidRPr="007E74F0" w:rsidRDefault="009E6753" w:rsidP="007F6D51">
            <w:pPr>
              <w:autoSpaceDE w:val="0"/>
              <w:autoSpaceDN w:val="0"/>
              <w:adjustRightInd w:val="0"/>
              <w:spacing w:after="0" w:line="276" w:lineRule="auto"/>
              <w:ind w:left="60" w:right="60"/>
              <w:jc w:val="center"/>
              <w:rPr>
                <w:rFonts w:cs="Times New Roman"/>
                <w:color w:val="000000"/>
                <w:sz w:val="22"/>
              </w:rPr>
            </w:pPr>
            <w:r w:rsidRPr="007E74F0">
              <w:rPr>
                <w:rFonts w:cs="Times New Roman"/>
                <w:color w:val="000000"/>
                <w:sz w:val="22"/>
              </w:rPr>
              <w:t>Soma de Classificações</w:t>
            </w:r>
          </w:p>
        </w:tc>
      </w:tr>
      <w:tr w:rsidR="009E6753" w:rsidRPr="007E74F0" w14:paraId="4E245E06" w14:textId="77777777" w:rsidTr="003F251C">
        <w:trPr>
          <w:cantSplit/>
          <w:jc w:val="center"/>
        </w:trPr>
        <w:tc>
          <w:tcPr>
            <w:tcW w:w="737" w:type="dxa"/>
            <w:vMerge w:val="restart"/>
            <w:tcBorders>
              <w:top w:val="single" w:sz="2" w:space="0" w:color="auto"/>
              <w:left w:val="nil"/>
              <w:bottom w:val="double" w:sz="8" w:space="0" w:color="000000"/>
              <w:right w:val="single" w:sz="2" w:space="0" w:color="auto"/>
            </w:tcBorders>
            <w:shd w:val="clear" w:color="auto" w:fill="FFFFFF"/>
            <w:vAlign w:val="center"/>
          </w:tcPr>
          <w:p w14:paraId="6E543EC8" w14:textId="77777777" w:rsidR="009E6753" w:rsidRPr="009E6753" w:rsidRDefault="009E6753" w:rsidP="007F6D51">
            <w:pPr>
              <w:autoSpaceDE w:val="0"/>
              <w:autoSpaceDN w:val="0"/>
              <w:adjustRightInd w:val="0"/>
              <w:spacing w:after="0" w:line="276" w:lineRule="auto"/>
              <w:ind w:left="60" w:right="60"/>
              <w:rPr>
                <w:rFonts w:cs="Times New Roman"/>
                <w:b/>
                <w:bCs/>
                <w:color w:val="000000"/>
                <w:sz w:val="22"/>
              </w:rPr>
            </w:pPr>
            <w:r w:rsidRPr="009E6753">
              <w:rPr>
                <w:rFonts w:cs="Times New Roman"/>
                <w:b/>
                <w:bCs/>
                <w:color w:val="000000"/>
                <w:sz w:val="22"/>
              </w:rPr>
              <w:t>ITM</w:t>
            </w:r>
          </w:p>
        </w:tc>
        <w:tc>
          <w:tcPr>
            <w:tcW w:w="964" w:type="dxa"/>
            <w:tcBorders>
              <w:top w:val="single" w:sz="2" w:space="0" w:color="auto"/>
              <w:left w:val="single" w:sz="2" w:space="0" w:color="auto"/>
              <w:bottom w:val="nil"/>
              <w:right w:val="nil"/>
            </w:tcBorders>
            <w:shd w:val="clear" w:color="auto" w:fill="FFFFFF"/>
          </w:tcPr>
          <w:p w14:paraId="30F968D5"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r w:rsidRPr="007E74F0">
              <w:rPr>
                <w:rFonts w:cs="Times New Roman"/>
                <w:color w:val="000000"/>
                <w:sz w:val="22"/>
              </w:rPr>
              <w:t>0</w:t>
            </w:r>
          </w:p>
        </w:tc>
        <w:tc>
          <w:tcPr>
            <w:tcW w:w="1030" w:type="dxa"/>
            <w:tcBorders>
              <w:top w:val="single" w:sz="2" w:space="0" w:color="auto"/>
              <w:left w:val="nil"/>
              <w:bottom w:val="nil"/>
              <w:right w:val="nil"/>
            </w:tcBorders>
            <w:shd w:val="clear" w:color="auto" w:fill="FFFFFF"/>
          </w:tcPr>
          <w:p w14:paraId="6B3775B0"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9E6753">
              <w:rPr>
                <w:rFonts w:cs="Times New Roman"/>
                <w:color w:val="000000"/>
                <w:sz w:val="22"/>
              </w:rPr>
              <w:t>814</w:t>
            </w:r>
          </w:p>
        </w:tc>
        <w:tc>
          <w:tcPr>
            <w:tcW w:w="1338" w:type="dxa"/>
            <w:tcBorders>
              <w:top w:val="single" w:sz="2" w:space="0" w:color="auto"/>
              <w:left w:val="nil"/>
              <w:bottom w:val="nil"/>
              <w:right w:val="nil"/>
            </w:tcBorders>
            <w:shd w:val="clear" w:color="auto" w:fill="FFFFFF"/>
          </w:tcPr>
          <w:p w14:paraId="49AAD7A0"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9E6753">
              <w:rPr>
                <w:rFonts w:cs="Times New Roman"/>
                <w:color w:val="000000"/>
                <w:sz w:val="22"/>
              </w:rPr>
              <w:t>817,74</w:t>
            </w:r>
          </w:p>
        </w:tc>
        <w:tc>
          <w:tcPr>
            <w:tcW w:w="1885" w:type="dxa"/>
            <w:tcBorders>
              <w:top w:val="single" w:sz="2" w:space="0" w:color="auto"/>
              <w:left w:val="nil"/>
              <w:bottom w:val="nil"/>
              <w:right w:val="nil"/>
            </w:tcBorders>
            <w:shd w:val="clear" w:color="auto" w:fill="FFFFFF"/>
          </w:tcPr>
          <w:p w14:paraId="3A1EE42D"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9E6753">
              <w:rPr>
                <w:rFonts w:cs="Times New Roman"/>
                <w:color w:val="000000"/>
                <w:sz w:val="22"/>
              </w:rPr>
              <w:t>665643,50</w:t>
            </w:r>
          </w:p>
        </w:tc>
      </w:tr>
      <w:tr w:rsidR="009E6753" w:rsidRPr="007E74F0" w14:paraId="7BE6BBBD" w14:textId="77777777" w:rsidTr="003F251C">
        <w:trPr>
          <w:cantSplit/>
          <w:jc w:val="center"/>
        </w:trPr>
        <w:tc>
          <w:tcPr>
            <w:tcW w:w="737" w:type="dxa"/>
            <w:vMerge/>
            <w:tcBorders>
              <w:top w:val="single" w:sz="16" w:space="0" w:color="000000"/>
              <w:left w:val="nil"/>
              <w:bottom w:val="double" w:sz="8" w:space="0" w:color="000000"/>
              <w:right w:val="single" w:sz="2" w:space="0" w:color="auto"/>
            </w:tcBorders>
            <w:shd w:val="clear" w:color="auto" w:fill="FFFFFF"/>
          </w:tcPr>
          <w:p w14:paraId="6437F78D"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c>
          <w:tcPr>
            <w:tcW w:w="964" w:type="dxa"/>
            <w:tcBorders>
              <w:top w:val="nil"/>
              <w:left w:val="single" w:sz="2" w:space="0" w:color="auto"/>
              <w:bottom w:val="nil"/>
              <w:right w:val="nil"/>
            </w:tcBorders>
            <w:shd w:val="clear" w:color="auto" w:fill="E7E6E6" w:themeFill="background2"/>
          </w:tcPr>
          <w:p w14:paraId="5220C13A"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r w:rsidRPr="007E74F0">
              <w:rPr>
                <w:rFonts w:cs="Times New Roman"/>
                <w:color w:val="000000"/>
                <w:sz w:val="22"/>
              </w:rPr>
              <w:t>1</w:t>
            </w:r>
          </w:p>
        </w:tc>
        <w:tc>
          <w:tcPr>
            <w:tcW w:w="1030" w:type="dxa"/>
            <w:tcBorders>
              <w:top w:val="nil"/>
              <w:left w:val="nil"/>
              <w:bottom w:val="nil"/>
              <w:right w:val="nil"/>
            </w:tcBorders>
            <w:shd w:val="clear" w:color="auto" w:fill="E7E6E6" w:themeFill="background2"/>
          </w:tcPr>
          <w:p w14:paraId="4DA1A237"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9E6753">
              <w:rPr>
                <w:rFonts w:cs="Times New Roman"/>
                <w:color w:val="000000"/>
                <w:sz w:val="22"/>
              </w:rPr>
              <w:t>726</w:t>
            </w:r>
          </w:p>
        </w:tc>
        <w:tc>
          <w:tcPr>
            <w:tcW w:w="1338" w:type="dxa"/>
            <w:tcBorders>
              <w:top w:val="nil"/>
              <w:left w:val="nil"/>
              <w:bottom w:val="nil"/>
              <w:right w:val="nil"/>
            </w:tcBorders>
            <w:shd w:val="clear" w:color="auto" w:fill="E7E6E6" w:themeFill="background2"/>
          </w:tcPr>
          <w:p w14:paraId="4CD8F125"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9E6753">
              <w:rPr>
                <w:rFonts w:cs="Times New Roman"/>
                <w:color w:val="000000"/>
                <w:sz w:val="22"/>
              </w:rPr>
              <w:t>717,53</w:t>
            </w:r>
          </w:p>
        </w:tc>
        <w:tc>
          <w:tcPr>
            <w:tcW w:w="1885" w:type="dxa"/>
            <w:tcBorders>
              <w:top w:val="nil"/>
              <w:left w:val="nil"/>
              <w:bottom w:val="nil"/>
              <w:right w:val="nil"/>
            </w:tcBorders>
            <w:shd w:val="clear" w:color="auto" w:fill="E7E6E6" w:themeFill="background2"/>
          </w:tcPr>
          <w:p w14:paraId="39A7F820"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9E6753">
              <w:rPr>
                <w:rFonts w:cs="Times New Roman"/>
                <w:color w:val="000000"/>
                <w:sz w:val="22"/>
              </w:rPr>
              <w:t>520926,50</w:t>
            </w:r>
          </w:p>
        </w:tc>
      </w:tr>
      <w:tr w:rsidR="009E6753" w:rsidRPr="00254ECE" w14:paraId="79E5AC8D" w14:textId="77777777" w:rsidTr="003F251C">
        <w:trPr>
          <w:cantSplit/>
          <w:jc w:val="center"/>
        </w:trPr>
        <w:tc>
          <w:tcPr>
            <w:tcW w:w="737" w:type="dxa"/>
            <w:vMerge/>
            <w:tcBorders>
              <w:top w:val="single" w:sz="16" w:space="0" w:color="000000"/>
              <w:left w:val="nil"/>
              <w:bottom w:val="double" w:sz="8" w:space="0" w:color="000000"/>
              <w:right w:val="single" w:sz="2" w:space="0" w:color="auto"/>
            </w:tcBorders>
            <w:shd w:val="clear" w:color="auto" w:fill="FFFFFF"/>
          </w:tcPr>
          <w:p w14:paraId="5DBD32E0"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c>
          <w:tcPr>
            <w:tcW w:w="964" w:type="dxa"/>
            <w:tcBorders>
              <w:top w:val="nil"/>
              <w:left w:val="single" w:sz="2" w:space="0" w:color="auto"/>
              <w:bottom w:val="double" w:sz="8" w:space="0" w:color="000000"/>
              <w:right w:val="nil"/>
            </w:tcBorders>
            <w:shd w:val="clear" w:color="auto" w:fill="FFFFFF"/>
          </w:tcPr>
          <w:p w14:paraId="3E55A6E6"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r w:rsidRPr="007E74F0">
              <w:rPr>
                <w:rFonts w:cs="Times New Roman"/>
                <w:color w:val="000000"/>
                <w:sz w:val="22"/>
              </w:rPr>
              <w:t>Total</w:t>
            </w:r>
          </w:p>
        </w:tc>
        <w:tc>
          <w:tcPr>
            <w:tcW w:w="1030" w:type="dxa"/>
            <w:tcBorders>
              <w:top w:val="nil"/>
              <w:left w:val="nil"/>
              <w:bottom w:val="double" w:sz="8" w:space="0" w:color="000000"/>
              <w:right w:val="nil"/>
            </w:tcBorders>
            <w:shd w:val="clear" w:color="auto" w:fill="FFFFFF"/>
          </w:tcPr>
          <w:p w14:paraId="76F09221"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9E6753">
              <w:rPr>
                <w:rFonts w:cs="Times New Roman"/>
                <w:color w:val="000000"/>
                <w:sz w:val="22"/>
              </w:rPr>
              <w:t>1540</w:t>
            </w:r>
          </w:p>
        </w:tc>
        <w:tc>
          <w:tcPr>
            <w:tcW w:w="1338" w:type="dxa"/>
            <w:tcBorders>
              <w:top w:val="nil"/>
              <w:left w:val="nil"/>
              <w:bottom w:val="double" w:sz="8" w:space="0" w:color="000000"/>
              <w:right w:val="nil"/>
            </w:tcBorders>
            <w:shd w:val="clear" w:color="auto" w:fill="FFFFFF"/>
            <w:vAlign w:val="center"/>
          </w:tcPr>
          <w:p w14:paraId="0622EE42"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c>
          <w:tcPr>
            <w:tcW w:w="1885" w:type="dxa"/>
            <w:tcBorders>
              <w:top w:val="nil"/>
              <w:left w:val="nil"/>
              <w:bottom w:val="double" w:sz="8" w:space="0" w:color="000000"/>
              <w:right w:val="nil"/>
            </w:tcBorders>
            <w:shd w:val="clear" w:color="auto" w:fill="FFFFFF"/>
            <w:vAlign w:val="center"/>
          </w:tcPr>
          <w:p w14:paraId="051B0D9B"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r>
    </w:tbl>
    <w:p w14:paraId="7B1994BB" w14:textId="3DE56BE0" w:rsidR="009E6753" w:rsidRDefault="009E6753" w:rsidP="009E6753">
      <w:pPr>
        <w:jc w:val="center"/>
      </w:pPr>
    </w:p>
    <w:p w14:paraId="256856CE" w14:textId="057EBF37" w:rsidR="009E6753" w:rsidRDefault="009E6753" w:rsidP="009E6753">
      <w:pPr>
        <w:jc w:val="center"/>
      </w:pPr>
    </w:p>
    <w:p w14:paraId="6A7A671C" w14:textId="77777777" w:rsidR="002079A9" w:rsidRDefault="002079A9" w:rsidP="009E6753">
      <w:pPr>
        <w:jc w:val="center"/>
      </w:pPr>
    </w:p>
    <w:tbl>
      <w:tblPr>
        <w:tblW w:w="595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964"/>
        <w:gridCol w:w="1030"/>
        <w:gridCol w:w="1338"/>
        <w:gridCol w:w="1885"/>
      </w:tblGrid>
      <w:tr w:rsidR="009E6753" w:rsidRPr="00254ECE" w14:paraId="307D0040" w14:textId="77777777" w:rsidTr="007F6D51">
        <w:trPr>
          <w:cantSplit/>
          <w:jc w:val="center"/>
        </w:trPr>
        <w:tc>
          <w:tcPr>
            <w:tcW w:w="737" w:type="dxa"/>
            <w:tcBorders>
              <w:top w:val="double" w:sz="4" w:space="0" w:color="auto"/>
              <w:left w:val="nil"/>
              <w:bottom w:val="single" w:sz="2" w:space="0" w:color="auto"/>
              <w:right w:val="nil"/>
            </w:tcBorders>
            <w:shd w:val="clear" w:color="auto" w:fill="E7E6E6" w:themeFill="background2"/>
            <w:vAlign w:val="center"/>
          </w:tcPr>
          <w:p w14:paraId="1F6BBF59"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c>
          <w:tcPr>
            <w:tcW w:w="964" w:type="dxa"/>
            <w:tcBorders>
              <w:top w:val="double" w:sz="8" w:space="0" w:color="000000"/>
              <w:left w:val="nil"/>
              <w:bottom w:val="single" w:sz="2" w:space="0" w:color="auto"/>
              <w:right w:val="nil"/>
            </w:tcBorders>
            <w:shd w:val="clear" w:color="auto" w:fill="E7E6E6" w:themeFill="background2"/>
            <w:vAlign w:val="center"/>
          </w:tcPr>
          <w:p w14:paraId="03988517" w14:textId="77777777" w:rsidR="009E6753" w:rsidRPr="009E6753" w:rsidRDefault="009E6753" w:rsidP="007F6D51">
            <w:pPr>
              <w:autoSpaceDE w:val="0"/>
              <w:autoSpaceDN w:val="0"/>
              <w:adjustRightInd w:val="0"/>
              <w:spacing w:after="0" w:line="276" w:lineRule="auto"/>
              <w:ind w:left="60" w:right="60"/>
              <w:rPr>
                <w:rFonts w:cs="Times New Roman"/>
                <w:b/>
                <w:bCs/>
                <w:color w:val="000000"/>
                <w:sz w:val="22"/>
              </w:rPr>
            </w:pPr>
            <w:r w:rsidRPr="009E6753">
              <w:rPr>
                <w:rFonts w:cs="Times New Roman"/>
                <w:b/>
                <w:bCs/>
                <w:color w:val="000000"/>
                <w:sz w:val="22"/>
              </w:rPr>
              <w:t>M</w:t>
            </w:r>
            <w:r>
              <w:rPr>
                <w:rFonts w:cs="Times New Roman"/>
                <w:b/>
                <w:bCs/>
                <w:color w:val="000000"/>
                <w:sz w:val="22"/>
              </w:rPr>
              <w:t>PA</w:t>
            </w:r>
          </w:p>
        </w:tc>
        <w:tc>
          <w:tcPr>
            <w:tcW w:w="1030" w:type="dxa"/>
            <w:tcBorders>
              <w:top w:val="double" w:sz="8" w:space="0" w:color="000000"/>
              <w:left w:val="nil"/>
              <w:bottom w:val="single" w:sz="2" w:space="0" w:color="auto"/>
              <w:right w:val="nil"/>
            </w:tcBorders>
            <w:shd w:val="clear" w:color="auto" w:fill="E7E6E6" w:themeFill="background2"/>
            <w:vAlign w:val="center"/>
          </w:tcPr>
          <w:p w14:paraId="0D3668F9" w14:textId="77777777" w:rsidR="009E6753" w:rsidRPr="007E74F0" w:rsidRDefault="009E6753" w:rsidP="007F6D51">
            <w:pPr>
              <w:autoSpaceDE w:val="0"/>
              <w:autoSpaceDN w:val="0"/>
              <w:adjustRightInd w:val="0"/>
              <w:spacing w:after="0" w:line="276" w:lineRule="auto"/>
              <w:ind w:left="60" w:right="60"/>
              <w:jc w:val="center"/>
              <w:rPr>
                <w:rFonts w:cs="Times New Roman"/>
                <w:color w:val="000000"/>
                <w:sz w:val="22"/>
              </w:rPr>
            </w:pPr>
            <w:r w:rsidRPr="007E74F0">
              <w:rPr>
                <w:rFonts w:cs="Times New Roman"/>
                <w:color w:val="000000"/>
                <w:sz w:val="22"/>
              </w:rPr>
              <w:t>N</w:t>
            </w:r>
          </w:p>
        </w:tc>
        <w:tc>
          <w:tcPr>
            <w:tcW w:w="1338" w:type="dxa"/>
            <w:tcBorders>
              <w:top w:val="double" w:sz="8" w:space="0" w:color="000000"/>
              <w:left w:val="nil"/>
              <w:bottom w:val="single" w:sz="2" w:space="0" w:color="auto"/>
              <w:right w:val="nil"/>
            </w:tcBorders>
            <w:shd w:val="clear" w:color="auto" w:fill="E7E6E6" w:themeFill="background2"/>
            <w:vAlign w:val="center"/>
          </w:tcPr>
          <w:p w14:paraId="7B65D2F9" w14:textId="77777777" w:rsidR="009E6753" w:rsidRPr="007E74F0" w:rsidRDefault="009E6753" w:rsidP="007F6D51">
            <w:pPr>
              <w:autoSpaceDE w:val="0"/>
              <w:autoSpaceDN w:val="0"/>
              <w:adjustRightInd w:val="0"/>
              <w:spacing w:after="0" w:line="276" w:lineRule="auto"/>
              <w:ind w:left="60" w:right="60"/>
              <w:jc w:val="center"/>
              <w:rPr>
                <w:rFonts w:cs="Times New Roman"/>
                <w:color w:val="000000"/>
                <w:sz w:val="22"/>
              </w:rPr>
            </w:pPr>
            <w:r w:rsidRPr="007E74F0">
              <w:rPr>
                <w:rFonts w:cs="Times New Roman"/>
                <w:color w:val="000000"/>
                <w:sz w:val="22"/>
              </w:rPr>
              <w:t>Posto Médio</w:t>
            </w:r>
          </w:p>
        </w:tc>
        <w:tc>
          <w:tcPr>
            <w:tcW w:w="1885" w:type="dxa"/>
            <w:tcBorders>
              <w:top w:val="double" w:sz="8" w:space="0" w:color="000000"/>
              <w:left w:val="nil"/>
              <w:bottom w:val="single" w:sz="2" w:space="0" w:color="auto"/>
              <w:right w:val="nil"/>
            </w:tcBorders>
            <w:shd w:val="clear" w:color="auto" w:fill="E7E6E6" w:themeFill="background2"/>
            <w:vAlign w:val="center"/>
          </w:tcPr>
          <w:p w14:paraId="0C5B9558" w14:textId="77777777" w:rsidR="009E6753" w:rsidRPr="007E74F0" w:rsidRDefault="009E6753" w:rsidP="007F6D51">
            <w:pPr>
              <w:autoSpaceDE w:val="0"/>
              <w:autoSpaceDN w:val="0"/>
              <w:adjustRightInd w:val="0"/>
              <w:spacing w:after="0" w:line="276" w:lineRule="auto"/>
              <w:ind w:left="60" w:right="60"/>
              <w:jc w:val="center"/>
              <w:rPr>
                <w:rFonts w:cs="Times New Roman"/>
                <w:color w:val="000000"/>
                <w:sz w:val="22"/>
              </w:rPr>
            </w:pPr>
            <w:r w:rsidRPr="007E74F0">
              <w:rPr>
                <w:rFonts w:cs="Times New Roman"/>
                <w:color w:val="000000"/>
                <w:sz w:val="22"/>
              </w:rPr>
              <w:t>Soma de Classificações</w:t>
            </w:r>
          </w:p>
        </w:tc>
      </w:tr>
      <w:tr w:rsidR="009E6753" w:rsidRPr="007E74F0" w14:paraId="36550EBB" w14:textId="77777777" w:rsidTr="003F251C">
        <w:trPr>
          <w:cantSplit/>
          <w:jc w:val="center"/>
        </w:trPr>
        <w:tc>
          <w:tcPr>
            <w:tcW w:w="737" w:type="dxa"/>
            <w:vMerge w:val="restart"/>
            <w:tcBorders>
              <w:top w:val="single" w:sz="2" w:space="0" w:color="auto"/>
              <w:left w:val="nil"/>
              <w:bottom w:val="double" w:sz="8" w:space="0" w:color="000000"/>
              <w:right w:val="single" w:sz="2" w:space="0" w:color="auto"/>
            </w:tcBorders>
            <w:shd w:val="clear" w:color="auto" w:fill="FFFFFF"/>
            <w:vAlign w:val="center"/>
          </w:tcPr>
          <w:p w14:paraId="467F6254" w14:textId="77777777" w:rsidR="009E6753" w:rsidRPr="009E6753" w:rsidRDefault="009E6753" w:rsidP="007F6D51">
            <w:pPr>
              <w:autoSpaceDE w:val="0"/>
              <w:autoSpaceDN w:val="0"/>
              <w:adjustRightInd w:val="0"/>
              <w:spacing w:after="0" w:line="276" w:lineRule="auto"/>
              <w:ind w:left="60" w:right="60"/>
              <w:rPr>
                <w:rFonts w:cs="Times New Roman"/>
                <w:b/>
                <w:bCs/>
                <w:color w:val="000000"/>
                <w:sz w:val="22"/>
              </w:rPr>
            </w:pPr>
            <w:r w:rsidRPr="009E6753">
              <w:rPr>
                <w:rFonts w:cs="Times New Roman"/>
                <w:b/>
                <w:bCs/>
                <w:color w:val="000000"/>
                <w:sz w:val="22"/>
              </w:rPr>
              <w:t>ITM</w:t>
            </w:r>
          </w:p>
        </w:tc>
        <w:tc>
          <w:tcPr>
            <w:tcW w:w="964" w:type="dxa"/>
            <w:tcBorders>
              <w:top w:val="single" w:sz="2" w:space="0" w:color="auto"/>
              <w:left w:val="single" w:sz="2" w:space="0" w:color="auto"/>
              <w:bottom w:val="nil"/>
              <w:right w:val="nil"/>
            </w:tcBorders>
            <w:shd w:val="clear" w:color="auto" w:fill="FFFFFF"/>
          </w:tcPr>
          <w:p w14:paraId="1FEC0A82"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r w:rsidRPr="007E74F0">
              <w:rPr>
                <w:rFonts w:cs="Times New Roman"/>
                <w:color w:val="000000"/>
                <w:sz w:val="22"/>
              </w:rPr>
              <w:t>0</w:t>
            </w:r>
          </w:p>
        </w:tc>
        <w:tc>
          <w:tcPr>
            <w:tcW w:w="1030" w:type="dxa"/>
            <w:tcBorders>
              <w:top w:val="single" w:sz="2" w:space="0" w:color="auto"/>
              <w:left w:val="nil"/>
              <w:bottom w:val="nil"/>
              <w:right w:val="nil"/>
            </w:tcBorders>
            <w:shd w:val="clear" w:color="auto" w:fill="FFFFFF"/>
          </w:tcPr>
          <w:p w14:paraId="3D5BD679"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9E6753">
              <w:rPr>
                <w:rFonts w:cs="Times New Roman"/>
                <w:color w:val="000000"/>
                <w:sz w:val="22"/>
              </w:rPr>
              <w:t>806</w:t>
            </w:r>
          </w:p>
        </w:tc>
        <w:tc>
          <w:tcPr>
            <w:tcW w:w="1338" w:type="dxa"/>
            <w:tcBorders>
              <w:top w:val="single" w:sz="2" w:space="0" w:color="auto"/>
              <w:left w:val="nil"/>
              <w:bottom w:val="nil"/>
              <w:right w:val="nil"/>
            </w:tcBorders>
            <w:shd w:val="clear" w:color="auto" w:fill="FFFFFF"/>
          </w:tcPr>
          <w:p w14:paraId="073FB11C"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9E6753">
              <w:rPr>
                <w:rFonts w:cs="Times New Roman"/>
                <w:color w:val="000000"/>
                <w:sz w:val="22"/>
              </w:rPr>
              <w:t>700,86</w:t>
            </w:r>
          </w:p>
        </w:tc>
        <w:tc>
          <w:tcPr>
            <w:tcW w:w="1885" w:type="dxa"/>
            <w:tcBorders>
              <w:top w:val="single" w:sz="2" w:space="0" w:color="auto"/>
              <w:left w:val="nil"/>
              <w:bottom w:val="nil"/>
              <w:right w:val="nil"/>
            </w:tcBorders>
            <w:shd w:val="clear" w:color="auto" w:fill="FFFFFF"/>
          </w:tcPr>
          <w:p w14:paraId="317A27C9"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9E6753">
              <w:rPr>
                <w:rFonts w:cs="Times New Roman"/>
                <w:color w:val="000000"/>
                <w:sz w:val="22"/>
              </w:rPr>
              <w:t>564891,50</w:t>
            </w:r>
          </w:p>
        </w:tc>
      </w:tr>
      <w:tr w:rsidR="009E6753" w:rsidRPr="007E74F0" w14:paraId="7549576A" w14:textId="77777777" w:rsidTr="003F251C">
        <w:trPr>
          <w:cantSplit/>
          <w:jc w:val="center"/>
        </w:trPr>
        <w:tc>
          <w:tcPr>
            <w:tcW w:w="737" w:type="dxa"/>
            <w:vMerge/>
            <w:tcBorders>
              <w:top w:val="single" w:sz="16" w:space="0" w:color="000000"/>
              <w:left w:val="nil"/>
              <w:bottom w:val="double" w:sz="8" w:space="0" w:color="000000"/>
              <w:right w:val="single" w:sz="2" w:space="0" w:color="auto"/>
            </w:tcBorders>
            <w:shd w:val="clear" w:color="auto" w:fill="FFFFFF"/>
          </w:tcPr>
          <w:p w14:paraId="7822E50F"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c>
          <w:tcPr>
            <w:tcW w:w="964" w:type="dxa"/>
            <w:tcBorders>
              <w:top w:val="nil"/>
              <w:left w:val="single" w:sz="2" w:space="0" w:color="auto"/>
              <w:bottom w:val="nil"/>
              <w:right w:val="nil"/>
            </w:tcBorders>
            <w:shd w:val="clear" w:color="auto" w:fill="E7E6E6" w:themeFill="background2"/>
          </w:tcPr>
          <w:p w14:paraId="6DBA7B70"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r w:rsidRPr="007E74F0">
              <w:rPr>
                <w:rFonts w:cs="Times New Roman"/>
                <w:color w:val="000000"/>
                <w:sz w:val="22"/>
              </w:rPr>
              <w:t>1</w:t>
            </w:r>
          </w:p>
        </w:tc>
        <w:tc>
          <w:tcPr>
            <w:tcW w:w="1030" w:type="dxa"/>
            <w:tcBorders>
              <w:top w:val="nil"/>
              <w:left w:val="nil"/>
              <w:bottom w:val="nil"/>
              <w:right w:val="nil"/>
            </w:tcBorders>
            <w:shd w:val="clear" w:color="auto" w:fill="E7E6E6" w:themeFill="background2"/>
          </w:tcPr>
          <w:p w14:paraId="261E75CB"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9E6753">
              <w:rPr>
                <w:rFonts w:cs="Times New Roman"/>
                <w:color w:val="000000"/>
                <w:sz w:val="22"/>
              </w:rPr>
              <w:t>734</w:t>
            </w:r>
          </w:p>
        </w:tc>
        <w:tc>
          <w:tcPr>
            <w:tcW w:w="1338" w:type="dxa"/>
            <w:tcBorders>
              <w:top w:val="nil"/>
              <w:left w:val="nil"/>
              <w:bottom w:val="nil"/>
              <w:right w:val="nil"/>
            </w:tcBorders>
            <w:shd w:val="clear" w:color="auto" w:fill="E7E6E6" w:themeFill="background2"/>
          </w:tcPr>
          <w:p w14:paraId="7999BB31"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9E6753">
              <w:rPr>
                <w:rFonts w:cs="Times New Roman"/>
                <w:color w:val="000000"/>
                <w:sz w:val="22"/>
              </w:rPr>
              <w:t>846,97</w:t>
            </w:r>
          </w:p>
        </w:tc>
        <w:tc>
          <w:tcPr>
            <w:tcW w:w="1885" w:type="dxa"/>
            <w:tcBorders>
              <w:top w:val="nil"/>
              <w:left w:val="nil"/>
              <w:bottom w:val="nil"/>
              <w:right w:val="nil"/>
            </w:tcBorders>
            <w:shd w:val="clear" w:color="auto" w:fill="E7E6E6" w:themeFill="background2"/>
          </w:tcPr>
          <w:p w14:paraId="19AF4DD3"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9E6753">
              <w:rPr>
                <w:rFonts w:cs="Times New Roman"/>
                <w:color w:val="000000"/>
                <w:sz w:val="22"/>
              </w:rPr>
              <w:t>621678,50</w:t>
            </w:r>
          </w:p>
        </w:tc>
      </w:tr>
      <w:tr w:rsidR="009E6753" w:rsidRPr="00254ECE" w14:paraId="67BAD668" w14:textId="77777777" w:rsidTr="003F251C">
        <w:trPr>
          <w:cantSplit/>
          <w:jc w:val="center"/>
        </w:trPr>
        <w:tc>
          <w:tcPr>
            <w:tcW w:w="737" w:type="dxa"/>
            <w:vMerge/>
            <w:tcBorders>
              <w:top w:val="single" w:sz="16" w:space="0" w:color="000000"/>
              <w:left w:val="nil"/>
              <w:bottom w:val="double" w:sz="8" w:space="0" w:color="000000"/>
              <w:right w:val="single" w:sz="2" w:space="0" w:color="auto"/>
            </w:tcBorders>
            <w:shd w:val="clear" w:color="auto" w:fill="FFFFFF"/>
          </w:tcPr>
          <w:p w14:paraId="19AB6D74"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p>
        </w:tc>
        <w:tc>
          <w:tcPr>
            <w:tcW w:w="964" w:type="dxa"/>
            <w:tcBorders>
              <w:top w:val="nil"/>
              <w:left w:val="single" w:sz="2" w:space="0" w:color="auto"/>
              <w:bottom w:val="double" w:sz="8" w:space="0" w:color="000000"/>
              <w:right w:val="nil"/>
            </w:tcBorders>
            <w:shd w:val="clear" w:color="auto" w:fill="FFFFFF"/>
          </w:tcPr>
          <w:p w14:paraId="6092BD00" w14:textId="77777777" w:rsidR="009E6753" w:rsidRPr="007E74F0" w:rsidRDefault="009E6753" w:rsidP="007F6D51">
            <w:pPr>
              <w:autoSpaceDE w:val="0"/>
              <w:autoSpaceDN w:val="0"/>
              <w:adjustRightInd w:val="0"/>
              <w:spacing w:after="0" w:line="276" w:lineRule="auto"/>
              <w:ind w:left="60" w:right="60"/>
              <w:rPr>
                <w:rFonts w:cs="Times New Roman"/>
                <w:color w:val="000000"/>
                <w:sz w:val="22"/>
              </w:rPr>
            </w:pPr>
            <w:r w:rsidRPr="007E74F0">
              <w:rPr>
                <w:rFonts w:cs="Times New Roman"/>
                <w:color w:val="000000"/>
                <w:sz w:val="22"/>
              </w:rPr>
              <w:t>Total</w:t>
            </w:r>
          </w:p>
        </w:tc>
        <w:tc>
          <w:tcPr>
            <w:tcW w:w="1030" w:type="dxa"/>
            <w:tcBorders>
              <w:top w:val="nil"/>
              <w:left w:val="nil"/>
              <w:bottom w:val="double" w:sz="8" w:space="0" w:color="000000"/>
              <w:right w:val="nil"/>
            </w:tcBorders>
            <w:shd w:val="clear" w:color="auto" w:fill="FFFFFF"/>
          </w:tcPr>
          <w:p w14:paraId="78699C3D"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r w:rsidRPr="009E6753">
              <w:rPr>
                <w:rFonts w:cs="Times New Roman"/>
                <w:color w:val="000000"/>
                <w:sz w:val="22"/>
              </w:rPr>
              <w:t>1540</w:t>
            </w:r>
          </w:p>
        </w:tc>
        <w:tc>
          <w:tcPr>
            <w:tcW w:w="1338" w:type="dxa"/>
            <w:tcBorders>
              <w:top w:val="nil"/>
              <w:left w:val="nil"/>
              <w:bottom w:val="double" w:sz="8" w:space="0" w:color="000000"/>
              <w:right w:val="nil"/>
            </w:tcBorders>
            <w:shd w:val="clear" w:color="auto" w:fill="FFFFFF"/>
            <w:vAlign w:val="center"/>
          </w:tcPr>
          <w:p w14:paraId="069BB7F1"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p>
        </w:tc>
        <w:tc>
          <w:tcPr>
            <w:tcW w:w="1885" w:type="dxa"/>
            <w:tcBorders>
              <w:top w:val="nil"/>
              <w:left w:val="nil"/>
              <w:bottom w:val="double" w:sz="8" w:space="0" w:color="000000"/>
              <w:right w:val="nil"/>
            </w:tcBorders>
            <w:shd w:val="clear" w:color="auto" w:fill="FFFFFF"/>
            <w:vAlign w:val="center"/>
          </w:tcPr>
          <w:p w14:paraId="1EEC3BB2" w14:textId="77777777" w:rsidR="009E6753" w:rsidRPr="007E74F0" w:rsidRDefault="009E6753" w:rsidP="007F6D51">
            <w:pPr>
              <w:autoSpaceDE w:val="0"/>
              <w:autoSpaceDN w:val="0"/>
              <w:adjustRightInd w:val="0"/>
              <w:spacing w:after="0" w:line="276" w:lineRule="auto"/>
              <w:ind w:left="60" w:right="60"/>
              <w:jc w:val="right"/>
              <w:rPr>
                <w:rFonts w:cs="Times New Roman"/>
                <w:color w:val="000000"/>
                <w:sz w:val="22"/>
              </w:rPr>
            </w:pPr>
          </w:p>
        </w:tc>
      </w:tr>
    </w:tbl>
    <w:p w14:paraId="05C03D36" w14:textId="77777777" w:rsidR="009E6753" w:rsidRDefault="009E6753" w:rsidP="009E6753">
      <w:pPr>
        <w:jc w:val="center"/>
      </w:pPr>
    </w:p>
    <w:p w14:paraId="0F5139C4" w14:textId="72A38341" w:rsidR="009E6753" w:rsidRDefault="009E6753" w:rsidP="00AA47DC">
      <w:pPr>
        <w:rPr>
          <w:rFonts w:eastAsiaTheme="majorEastAsia" w:cstheme="majorBidi"/>
          <w:b/>
          <w:bCs/>
          <w:spacing w:val="20"/>
          <w:sz w:val="26"/>
          <w:szCs w:val="26"/>
        </w:rPr>
      </w:pPr>
    </w:p>
    <w:p w14:paraId="05EF51BF" w14:textId="491FCD0D" w:rsidR="009E6753" w:rsidRDefault="009E6753" w:rsidP="00AA47DC">
      <w:pPr>
        <w:rPr>
          <w:rFonts w:eastAsiaTheme="majorEastAsia" w:cstheme="majorBidi"/>
          <w:b/>
          <w:bCs/>
          <w:spacing w:val="20"/>
          <w:sz w:val="26"/>
          <w:szCs w:val="26"/>
        </w:rPr>
      </w:pPr>
    </w:p>
    <w:p w14:paraId="640A3C32" w14:textId="77B42726" w:rsidR="009E6753" w:rsidRDefault="009E6753" w:rsidP="00AA47DC">
      <w:pPr>
        <w:rPr>
          <w:rFonts w:eastAsiaTheme="majorEastAsia" w:cstheme="majorBidi"/>
          <w:b/>
          <w:bCs/>
          <w:spacing w:val="20"/>
          <w:sz w:val="26"/>
          <w:szCs w:val="26"/>
        </w:rPr>
      </w:pPr>
    </w:p>
    <w:p w14:paraId="554EC69A" w14:textId="4A25EE11" w:rsidR="009E6753" w:rsidRDefault="009E6753" w:rsidP="00AA47DC">
      <w:pPr>
        <w:rPr>
          <w:rFonts w:eastAsiaTheme="majorEastAsia" w:cstheme="majorBidi"/>
          <w:b/>
          <w:bCs/>
          <w:spacing w:val="20"/>
          <w:sz w:val="26"/>
          <w:szCs w:val="26"/>
        </w:rPr>
      </w:pPr>
    </w:p>
    <w:p w14:paraId="2C2AE023" w14:textId="03E57004" w:rsidR="009E6753" w:rsidRDefault="009E6753" w:rsidP="00AA47DC">
      <w:pPr>
        <w:rPr>
          <w:rFonts w:eastAsiaTheme="majorEastAsia" w:cstheme="majorBidi"/>
          <w:b/>
          <w:bCs/>
          <w:spacing w:val="20"/>
          <w:sz w:val="26"/>
          <w:szCs w:val="26"/>
        </w:rPr>
      </w:pPr>
    </w:p>
    <w:p w14:paraId="14070001" w14:textId="6B97E2D4" w:rsidR="009E6753" w:rsidRDefault="009E6753" w:rsidP="00AA47DC">
      <w:pPr>
        <w:rPr>
          <w:rFonts w:eastAsiaTheme="majorEastAsia" w:cstheme="majorBidi"/>
          <w:b/>
          <w:bCs/>
          <w:spacing w:val="20"/>
          <w:sz w:val="26"/>
          <w:szCs w:val="26"/>
        </w:rPr>
      </w:pPr>
    </w:p>
    <w:p w14:paraId="3CE5CF42" w14:textId="574CF4B6" w:rsidR="009E6753" w:rsidRDefault="009E6753" w:rsidP="00AA47DC">
      <w:pPr>
        <w:rPr>
          <w:rFonts w:eastAsiaTheme="majorEastAsia" w:cstheme="majorBidi"/>
          <w:b/>
          <w:bCs/>
          <w:spacing w:val="20"/>
          <w:sz w:val="26"/>
          <w:szCs w:val="26"/>
        </w:rPr>
      </w:pPr>
    </w:p>
    <w:p w14:paraId="3E54CCE0" w14:textId="56447049" w:rsidR="009E6753" w:rsidRDefault="009E6753" w:rsidP="00AA47DC">
      <w:pPr>
        <w:rPr>
          <w:rFonts w:eastAsiaTheme="majorEastAsia" w:cstheme="majorBidi"/>
          <w:b/>
          <w:bCs/>
          <w:spacing w:val="20"/>
          <w:sz w:val="26"/>
          <w:szCs w:val="26"/>
        </w:rPr>
      </w:pPr>
    </w:p>
    <w:p w14:paraId="1A94823B" w14:textId="4E54BF84" w:rsidR="009E6753" w:rsidRDefault="009E6753" w:rsidP="00AA47DC">
      <w:pPr>
        <w:rPr>
          <w:rFonts w:eastAsiaTheme="majorEastAsia" w:cstheme="majorBidi"/>
          <w:b/>
          <w:bCs/>
          <w:spacing w:val="20"/>
          <w:sz w:val="26"/>
          <w:szCs w:val="26"/>
        </w:rPr>
      </w:pPr>
    </w:p>
    <w:p w14:paraId="2443F9A1" w14:textId="5ECC64B0" w:rsidR="009E6753" w:rsidRDefault="009E6753" w:rsidP="00AA47DC">
      <w:pPr>
        <w:rPr>
          <w:rFonts w:eastAsiaTheme="majorEastAsia" w:cstheme="majorBidi"/>
          <w:b/>
          <w:bCs/>
          <w:spacing w:val="20"/>
          <w:sz w:val="26"/>
          <w:szCs w:val="26"/>
        </w:rPr>
      </w:pPr>
    </w:p>
    <w:p w14:paraId="623F8D8D" w14:textId="3B263D5A" w:rsidR="009E6753" w:rsidRDefault="009E6753" w:rsidP="00AA47DC">
      <w:pPr>
        <w:rPr>
          <w:rFonts w:eastAsiaTheme="majorEastAsia" w:cstheme="majorBidi"/>
          <w:b/>
          <w:bCs/>
          <w:spacing w:val="20"/>
          <w:sz w:val="26"/>
          <w:szCs w:val="26"/>
        </w:rPr>
      </w:pPr>
    </w:p>
    <w:p w14:paraId="450C8B73" w14:textId="0D4E87E2" w:rsidR="009E6753" w:rsidRDefault="009E6753" w:rsidP="00AA47DC">
      <w:pPr>
        <w:rPr>
          <w:rFonts w:eastAsiaTheme="majorEastAsia" w:cstheme="majorBidi"/>
          <w:b/>
          <w:bCs/>
          <w:spacing w:val="20"/>
          <w:sz w:val="26"/>
          <w:szCs w:val="26"/>
        </w:rPr>
      </w:pPr>
    </w:p>
    <w:p w14:paraId="18BF990F" w14:textId="095F9185" w:rsidR="009E6753" w:rsidRDefault="009E6753" w:rsidP="00AA47DC">
      <w:pPr>
        <w:rPr>
          <w:rFonts w:eastAsiaTheme="majorEastAsia" w:cstheme="majorBidi"/>
          <w:b/>
          <w:bCs/>
          <w:spacing w:val="20"/>
          <w:sz w:val="26"/>
          <w:szCs w:val="26"/>
        </w:rPr>
      </w:pPr>
    </w:p>
    <w:p w14:paraId="325E5038" w14:textId="673830F5" w:rsidR="009E6753" w:rsidRDefault="009E6753" w:rsidP="00AA47DC">
      <w:pPr>
        <w:rPr>
          <w:rFonts w:eastAsiaTheme="majorEastAsia" w:cstheme="majorBidi"/>
          <w:b/>
          <w:bCs/>
          <w:spacing w:val="20"/>
          <w:sz w:val="26"/>
          <w:szCs w:val="26"/>
        </w:rPr>
      </w:pPr>
    </w:p>
    <w:p w14:paraId="71BB252E" w14:textId="338E516B" w:rsidR="009E6753" w:rsidRDefault="009E6753" w:rsidP="00AA47DC">
      <w:pPr>
        <w:rPr>
          <w:rFonts w:eastAsiaTheme="majorEastAsia" w:cstheme="majorBidi"/>
          <w:b/>
          <w:bCs/>
          <w:spacing w:val="20"/>
          <w:sz w:val="26"/>
          <w:szCs w:val="26"/>
        </w:rPr>
      </w:pPr>
    </w:p>
    <w:p w14:paraId="75D64B83" w14:textId="391BD208" w:rsidR="009E6753" w:rsidRDefault="009E6753" w:rsidP="00AA47DC">
      <w:pPr>
        <w:rPr>
          <w:rFonts w:eastAsiaTheme="majorEastAsia" w:cstheme="majorBidi"/>
          <w:b/>
          <w:bCs/>
          <w:spacing w:val="20"/>
          <w:sz w:val="26"/>
          <w:szCs w:val="26"/>
        </w:rPr>
      </w:pPr>
    </w:p>
    <w:p w14:paraId="7B55570B" w14:textId="13F92E8B" w:rsidR="009E6753" w:rsidRDefault="009E6753" w:rsidP="00AA47DC">
      <w:pPr>
        <w:rPr>
          <w:rFonts w:eastAsiaTheme="majorEastAsia" w:cstheme="majorBidi"/>
          <w:b/>
          <w:bCs/>
          <w:spacing w:val="20"/>
          <w:sz w:val="26"/>
          <w:szCs w:val="26"/>
        </w:rPr>
      </w:pPr>
    </w:p>
    <w:p w14:paraId="597B538D" w14:textId="6B4125E1" w:rsidR="009E6753" w:rsidRDefault="009E6753" w:rsidP="00AA47DC">
      <w:pPr>
        <w:rPr>
          <w:rFonts w:eastAsiaTheme="majorEastAsia" w:cstheme="majorBidi"/>
          <w:b/>
          <w:bCs/>
          <w:spacing w:val="20"/>
          <w:sz w:val="26"/>
          <w:szCs w:val="26"/>
        </w:rPr>
      </w:pPr>
    </w:p>
    <w:p w14:paraId="3D572AE4" w14:textId="541533EF" w:rsidR="009E6753" w:rsidRDefault="009E6753" w:rsidP="00AA47DC">
      <w:pPr>
        <w:rPr>
          <w:rFonts w:eastAsiaTheme="majorEastAsia" w:cstheme="majorBidi"/>
          <w:b/>
          <w:bCs/>
          <w:spacing w:val="20"/>
          <w:sz w:val="26"/>
          <w:szCs w:val="26"/>
        </w:rPr>
      </w:pPr>
    </w:p>
    <w:p w14:paraId="4C764020" w14:textId="6F86DF78" w:rsidR="009E6753" w:rsidRDefault="009E6753" w:rsidP="00AA47DC">
      <w:pPr>
        <w:rPr>
          <w:rFonts w:eastAsiaTheme="majorEastAsia" w:cstheme="majorBidi"/>
          <w:b/>
          <w:bCs/>
          <w:spacing w:val="20"/>
          <w:sz w:val="26"/>
          <w:szCs w:val="26"/>
        </w:rPr>
      </w:pPr>
    </w:p>
    <w:p w14:paraId="2437E240" w14:textId="0EEF7B35" w:rsidR="009E6753" w:rsidRDefault="009E6753" w:rsidP="00AA47DC">
      <w:pPr>
        <w:rPr>
          <w:rFonts w:eastAsiaTheme="majorEastAsia" w:cstheme="majorBidi"/>
          <w:b/>
          <w:bCs/>
          <w:spacing w:val="20"/>
          <w:sz w:val="26"/>
          <w:szCs w:val="26"/>
        </w:rPr>
      </w:pPr>
    </w:p>
    <w:p w14:paraId="5C74BAB3" w14:textId="77777777" w:rsidR="00AA47DC" w:rsidRPr="00AA47DC" w:rsidRDefault="00AA47DC" w:rsidP="00AA47DC"/>
    <w:p w14:paraId="4C186050" w14:textId="42478010" w:rsidR="005A6604" w:rsidRPr="007F6D51" w:rsidRDefault="005A6604" w:rsidP="005A6604">
      <w:pPr>
        <w:pStyle w:val="Ttulo2"/>
        <w:rPr>
          <w:sz w:val="24"/>
          <w:szCs w:val="24"/>
        </w:rPr>
      </w:pPr>
      <w:bookmarkStart w:id="146" w:name="_Toc66624224"/>
      <w:r w:rsidRPr="0087119D">
        <w:lastRenderedPageBreak/>
        <w:t xml:space="preserve">Apêndice </w:t>
      </w:r>
      <w:r w:rsidR="009E6753">
        <w:t>5</w:t>
      </w:r>
      <w:r w:rsidRPr="0087119D">
        <w:t xml:space="preserve"> – </w:t>
      </w:r>
      <w:r w:rsidRPr="007F6D51">
        <w:rPr>
          <w:b w:val="0"/>
          <w:bCs w:val="0"/>
          <w:sz w:val="24"/>
          <w:szCs w:val="24"/>
        </w:rPr>
        <w:t>Modelo Pooled</w:t>
      </w:r>
      <w:bookmarkEnd w:id="146"/>
    </w:p>
    <w:p w14:paraId="5E33B27B" w14:textId="77777777" w:rsidR="005A6604" w:rsidRPr="0087119D" w:rsidRDefault="005A6604" w:rsidP="005A6604"/>
    <w:p w14:paraId="0052F539" w14:textId="3AA0B70F" w:rsidR="005A6604" w:rsidRDefault="0041381A" w:rsidP="005A6604">
      <w:pPr>
        <w:jc w:val="center"/>
      </w:pPr>
      <w:r w:rsidRPr="008025F9">
        <w:rPr>
          <w:noProof/>
        </w:rPr>
        <w:drawing>
          <wp:inline distT="0" distB="0" distL="0" distR="0" wp14:anchorId="429B982F" wp14:editId="1829AB82">
            <wp:extent cx="5791835" cy="6698615"/>
            <wp:effectExtent l="0" t="0" r="0" b="698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91835" cy="6698615"/>
                    </a:xfrm>
                    <a:prstGeom prst="rect">
                      <a:avLst/>
                    </a:prstGeom>
                    <a:noFill/>
                    <a:ln>
                      <a:noFill/>
                    </a:ln>
                  </pic:spPr>
                </pic:pic>
              </a:graphicData>
            </a:graphic>
          </wp:inline>
        </w:drawing>
      </w:r>
    </w:p>
    <w:p w14:paraId="09964BB3" w14:textId="77777777" w:rsidR="005A6604" w:rsidRDefault="005A6604" w:rsidP="005A6604"/>
    <w:p w14:paraId="4871FDE5" w14:textId="11A54D7B" w:rsidR="005A6604" w:rsidRDefault="005A6604" w:rsidP="005A6604">
      <w:pPr>
        <w:tabs>
          <w:tab w:val="left" w:pos="1872"/>
        </w:tabs>
      </w:pPr>
      <w:r>
        <w:tab/>
      </w:r>
    </w:p>
    <w:p w14:paraId="58260C89" w14:textId="07373523" w:rsidR="005A6604" w:rsidRDefault="005A6604" w:rsidP="005A6604">
      <w:pPr>
        <w:pStyle w:val="Ttulo2"/>
      </w:pPr>
      <w:bookmarkStart w:id="147" w:name="_Toc66624225"/>
      <w:r>
        <w:lastRenderedPageBreak/>
        <w:t xml:space="preserve">Apêndice </w:t>
      </w:r>
      <w:r w:rsidR="009E6753">
        <w:t>6</w:t>
      </w:r>
      <w:r>
        <w:t xml:space="preserve"> – Modelo de Efeito Aleatório</w:t>
      </w:r>
      <w:bookmarkEnd w:id="147"/>
    </w:p>
    <w:p w14:paraId="46BBD583" w14:textId="77777777" w:rsidR="005A6604" w:rsidRPr="006D0F80" w:rsidRDefault="005A6604" w:rsidP="005A6604"/>
    <w:p w14:paraId="17A5C055" w14:textId="12D8FE88" w:rsidR="005A6604" w:rsidRDefault="0041381A" w:rsidP="00D85EEC">
      <w:pPr>
        <w:jc w:val="center"/>
      </w:pPr>
      <w:r w:rsidRPr="008025F9">
        <w:rPr>
          <w:noProof/>
        </w:rPr>
        <w:drawing>
          <wp:inline distT="0" distB="0" distL="0" distR="0" wp14:anchorId="29A9708A" wp14:editId="644F1C65">
            <wp:extent cx="5707380" cy="7147560"/>
            <wp:effectExtent l="0" t="0" r="762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07380" cy="7147560"/>
                    </a:xfrm>
                    <a:prstGeom prst="rect">
                      <a:avLst/>
                    </a:prstGeom>
                    <a:noFill/>
                    <a:ln>
                      <a:noFill/>
                    </a:ln>
                  </pic:spPr>
                </pic:pic>
              </a:graphicData>
            </a:graphic>
          </wp:inline>
        </w:drawing>
      </w:r>
    </w:p>
    <w:p w14:paraId="0C38C25E" w14:textId="2D423EA1" w:rsidR="005A6604" w:rsidRDefault="005A6604" w:rsidP="005A6604">
      <w:pPr>
        <w:pStyle w:val="Ttulo1"/>
        <w:jc w:val="center"/>
      </w:pPr>
      <w:bookmarkStart w:id="148" w:name="_Toc66624226"/>
      <w:r>
        <w:lastRenderedPageBreak/>
        <w:t>Anexos</w:t>
      </w:r>
      <w:bookmarkEnd w:id="148"/>
      <w:r>
        <w:t xml:space="preserve"> </w:t>
      </w:r>
    </w:p>
    <w:p w14:paraId="616971F0" w14:textId="77777777" w:rsidR="005A6604" w:rsidRPr="005A6604" w:rsidRDefault="005A6604" w:rsidP="005A6604"/>
    <w:p w14:paraId="3C3D0AF4" w14:textId="2E993E08" w:rsidR="005A6604" w:rsidRPr="005A6604" w:rsidRDefault="005A6604" w:rsidP="00EF6D4F">
      <w:pPr>
        <w:pStyle w:val="Ttulo2"/>
        <w:spacing w:after="60"/>
        <w:ind w:left="1276" w:hanging="1276"/>
      </w:pPr>
      <w:bookmarkStart w:id="149" w:name="_Toc66624227"/>
      <w:r w:rsidRPr="005A6604">
        <w:t xml:space="preserve">Anexo 1 - </w:t>
      </w:r>
      <w:r w:rsidR="00C6718C">
        <w:t>V</w:t>
      </w:r>
      <w:r w:rsidRPr="005A6604">
        <w:rPr>
          <w:sz w:val="24"/>
          <w:szCs w:val="24"/>
        </w:rPr>
        <w:t>alor</w:t>
      </w:r>
      <w:r w:rsidR="00C6718C">
        <w:rPr>
          <w:sz w:val="24"/>
          <w:szCs w:val="24"/>
        </w:rPr>
        <w:t>es</w:t>
      </w:r>
      <w:r w:rsidRPr="005A6604">
        <w:rPr>
          <w:sz w:val="24"/>
          <w:szCs w:val="24"/>
        </w:rPr>
        <w:t xml:space="preserve"> médio</w:t>
      </w:r>
      <w:r w:rsidR="00C6718C">
        <w:rPr>
          <w:sz w:val="24"/>
          <w:szCs w:val="24"/>
        </w:rPr>
        <w:t>s</w:t>
      </w:r>
      <w:r w:rsidRPr="005A6604">
        <w:rPr>
          <w:sz w:val="24"/>
          <w:szCs w:val="24"/>
        </w:rPr>
        <w:t xml:space="preserve"> do ITM por regiões, por ano, por ideologia</w:t>
      </w:r>
      <w:bookmarkEnd w:id="149"/>
    </w:p>
    <w:tbl>
      <w:tblPr>
        <w:tblW w:w="7812" w:type="dxa"/>
        <w:jc w:val="center"/>
        <w:tblCellMar>
          <w:left w:w="70" w:type="dxa"/>
          <w:right w:w="70" w:type="dxa"/>
        </w:tblCellMar>
        <w:tblLook w:val="04A0" w:firstRow="1" w:lastRow="0" w:firstColumn="1" w:lastColumn="0" w:noHBand="0" w:noVBand="1"/>
      </w:tblPr>
      <w:tblGrid>
        <w:gridCol w:w="1660"/>
        <w:gridCol w:w="960"/>
        <w:gridCol w:w="960"/>
        <w:gridCol w:w="960"/>
        <w:gridCol w:w="960"/>
        <w:gridCol w:w="960"/>
        <w:gridCol w:w="1352"/>
      </w:tblGrid>
      <w:tr w:rsidR="005A6604" w:rsidRPr="00A32816" w14:paraId="18B4F258" w14:textId="77777777" w:rsidTr="005A6604">
        <w:trPr>
          <w:trHeight w:val="300"/>
          <w:jc w:val="center"/>
        </w:trPr>
        <w:tc>
          <w:tcPr>
            <w:tcW w:w="1660" w:type="dxa"/>
            <w:tcBorders>
              <w:top w:val="double" w:sz="4" w:space="0" w:color="auto"/>
              <w:left w:val="nil"/>
              <w:bottom w:val="single" w:sz="4" w:space="0" w:color="auto"/>
              <w:right w:val="nil"/>
            </w:tcBorders>
            <w:shd w:val="clear" w:color="auto" w:fill="E7E6E6" w:themeFill="background2"/>
            <w:noWrap/>
            <w:vAlign w:val="bottom"/>
            <w:hideMark/>
          </w:tcPr>
          <w:p w14:paraId="0CDA0AAF" w14:textId="77777777" w:rsidR="005A6604" w:rsidRPr="00A32816" w:rsidRDefault="005A6604" w:rsidP="000E2549">
            <w:pPr>
              <w:spacing w:after="60" w:line="276" w:lineRule="auto"/>
              <w:rPr>
                <w:rFonts w:eastAsia="Times New Roman" w:cs="Times New Roman"/>
                <w:b/>
                <w:color w:val="000000"/>
                <w:sz w:val="22"/>
                <w:szCs w:val="32"/>
                <w:lang w:eastAsia="pt-PT"/>
              </w:rPr>
            </w:pPr>
            <w:r w:rsidRPr="00A32816">
              <w:rPr>
                <w:rFonts w:eastAsia="Times New Roman" w:cs="Times New Roman"/>
                <w:b/>
                <w:color w:val="000000"/>
                <w:sz w:val="22"/>
                <w:szCs w:val="32"/>
                <w:lang w:eastAsia="pt-PT"/>
              </w:rPr>
              <w:t>IPP direita</w:t>
            </w:r>
          </w:p>
        </w:tc>
        <w:tc>
          <w:tcPr>
            <w:tcW w:w="960" w:type="dxa"/>
            <w:tcBorders>
              <w:top w:val="double" w:sz="4" w:space="0" w:color="auto"/>
              <w:left w:val="nil"/>
              <w:bottom w:val="single" w:sz="4" w:space="0" w:color="auto"/>
              <w:right w:val="nil"/>
            </w:tcBorders>
            <w:shd w:val="clear" w:color="auto" w:fill="E7E6E6" w:themeFill="background2"/>
            <w:noWrap/>
            <w:vAlign w:val="bottom"/>
            <w:hideMark/>
          </w:tcPr>
          <w:p w14:paraId="23D89F76" w14:textId="77777777" w:rsidR="005A6604" w:rsidRPr="00A32816" w:rsidRDefault="005A6604" w:rsidP="000E2549">
            <w:pPr>
              <w:spacing w:after="60" w:line="276" w:lineRule="auto"/>
              <w:jc w:val="right"/>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2013</w:t>
            </w:r>
          </w:p>
        </w:tc>
        <w:tc>
          <w:tcPr>
            <w:tcW w:w="960" w:type="dxa"/>
            <w:tcBorders>
              <w:top w:val="double" w:sz="4" w:space="0" w:color="auto"/>
              <w:left w:val="nil"/>
              <w:bottom w:val="single" w:sz="4" w:space="0" w:color="auto"/>
              <w:right w:val="nil"/>
            </w:tcBorders>
            <w:shd w:val="clear" w:color="auto" w:fill="E7E6E6" w:themeFill="background2"/>
            <w:noWrap/>
            <w:vAlign w:val="bottom"/>
            <w:hideMark/>
          </w:tcPr>
          <w:p w14:paraId="486A3B12" w14:textId="77777777" w:rsidR="005A6604" w:rsidRPr="00A32816" w:rsidRDefault="005A6604" w:rsidP="000E2549">
            <w:pPr>
              <w:spacing w:after="60" w:line="276" w:lineRule="auto"/>
              <w:jc w:val="right"/>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2014</w:t>
            </w:r>
          </w:p>
        </w:tc>
        <w:tc>
          <w:tcPr>
            <w:tcW w:w="960" w:type="dxa"/>
            <w:tcBorders>
              <w:top w:val="double" w:sz="4" w:space="0" w:color="auto"/>
              <w:left w:val="nil"/>
              <w:bottom w:val="single" w:sz="4" w:space="0" w:color="auto"/>
              <w:right w:val="nil"/>
            </w:tcBorders>
            <w:shd w:val="clear" w:color="auto" w:fill="E7E6E6" w:themeFill="background2"/>
            <w:noWrap/>
            <w:vAlign w:val="bottom"/>
            <w:hideMark/>
          </w:tcPr>
          <w:p w14:paraId="2E690D23" w14:textId="77777777" w:rsidR="005A6604" w:rsidRPr="00A32816" w:rsidRDefault="005A6604" w:rsidP="000E2549">
            <w:pPr>
              <w:spacing w:after="60" w:line="276" w:lineRule="auto"/>
              <w:jc w:val="right"/>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2015</w:t>
            </w:r>
          </w:p>
        </w:tc>
        <w:tc>
          <w:tcPr>
            <w:tcW w:w="960" w:type="dxa"/>
            <w:tcBorders>
              <w:top w:val="double" w:sz="4" w:space="0" w:color="auto"/>
              <w:left w:val="nil"/>
              <w:bottom w:val="single" w:sz="4" w:space="0" w:color="auto"/>
              <w:right w:val="nil"/>
            </w:tcBorders>
            <w:shd w:val="clear" w:color="auto" w:fill="E7E6E6" w:themeFill="background2"/>
            <w:noWrap/>
            <w:vAlign w:val="bottom"/>
            <w:hideMark/>
          </w:tcPr>
          <w:p w14:paraId="0F29CB43" w14:textId="77777777" w:rsidR="005A6604" w:rsidRPr="00A32816" w:rsidRDefault="005A6604" w:rsidP="000E2549">
            <w:pPr>
              <w:spacing w:after="60" w:line="276" w:lineRule="auto"/>
              <w:jc w:val="right"/>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2016</w:t>
            </w:r>
          </w:p>
        </w:tc>
        <w:tc>
          <w:tcPr>
            <w:tcW w:w="960" w:type="dxa"/>
            <w:tcBorders>
              <w:top w:val="double" w:sz="4" w:space="0" w:color="auto"/>
              <w:left w:val="nil"/>
              <w:bottom w:val="single" w:sz="4" w:space="0" w:color="auto"/>
              <w:right w:val="nil"/>
            </w:tcBorders>
            <w:shd w:val="clear" w:color="auto" w:fill="E7E6E6" w:themeFill="background2"/>
            <w:noWrap/>
            <w:vAlign w:val="bottom"/>
            <w:hideMark/>
          </w:tcPr>
          <w:p w14:paraId="5167911F" w14:textId="77777777" w:rsidR="005A6604" w:rsidRPr="00A32816" w:rsidRDefault="005A6604" w:rsidP="000E2549">
            <w:pPr>
              <w:spacing w:after="60" w:line="276" w:lineRule="auto"/>
              <w:jc w:val="right"/>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2017</w:t>
            </w:r>
          </w:p>
        </w:tc>
        <w:tc>
          <w:tcPr>
            <w:tcW w:w="1352" w:type="dxa"/>
            <w:tcBorders>
              <w:top w:val="double" w:sz="4" w:space="0" w:color="auto"/>
              <w:left w:val="nil"/>
              <w:bottom w:val="single" w:sz="4" w:space="0" w:color="auto"/>
              <w:right w:val="nil"/>
            </w:tcBorders>
            <w:shd w:val="clear" w:color="auto" w:fill="E7E6E6" w:themeFill="background2"/>
            <w:noWrap/>
            <w:vAlign w:val="bottom"/>
            <w:hideMark/>
          </w:tcPr>
          <w:p w14:paraId="0D372C8E" w14:textId="77777777" w:rsidR="005A6604" w:rsidRPr="00A32816" w:rsidRDefault="005A6604" w:rsidP="000E2549">
            <w:pPr>
              <w:spacing w:after="60" w:line="276" w:lineRule="auto"/>
              <w:jc w:val="center"/>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Geral</w:t>
            </w:r>
          </w:p>
        </w:tc>
      </w:tr>
      <w:tr w:rsidR="005A6604" w:rsidRPr="00A32816" w14:paraId="0ECF9E1D" w14:textId="77777777" w:rsidTr="005A6604">
        <w:trPr>
          <w:trHeight w:val="300"/>
          <w:jc w:val="center"/>
        </w:trPr>
        <w:tc>
          <w:tcPr>
            <w:tcW w:w="1660" w:type="dxa"/>
            <w:tcBorders>
              <w:top w:val="single" w:sz="4" w:space="0" w:color="auto"/>
              <w:left w:val="nil"/>
              <w:bottom w:val="single" w:sz="4" w:space="0" w:color="auto"/>
              <w:right w:val="nil"/>
            </w:tcBorders>
            <w:shd w:val="clear" w:color="auto" w:fill="auto"/>
            <w:noWrap/>
            <w:vAlign w:val="bottom"/>
            <w:hideMark/>
          </w:tcPr>
          <w:p w14:paraId="70C1DAA1" w14:textId="77777777" w:rsidR="005A6604" w:rsidRPr="00A32816" w:rsidRDefault="005A6604" w:rsidP="000E2549">
            <w:pPr>
              <w:spacing w:after="0" w:line="276" w:lineRule="auto"/>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MÉDIA</w:t>
            </w:r>
          </w:p>
        </w:tc>
        <w:tc>
          <w:tcPr>
            <w:tcW w:w="960" w:type="dxa"/>
            <w:tcBorders>
              <w:top w:val="single" w:sz="4" w:space="0" w:color="auto"/>
              <w:left w:val="nil"/>
              <w:bottom w:val="single" w:sz="4" w:space="0" w:color="auto"/>
              <w:right w:val="nil"/>
            </w:tcBorders>
            <w:shd w:val="clear" w:color="auto" w:fill="auto"/>
            <w:noWrap/>
            <w:vAlign w:val="bottom"/>
            <w:hideMark/>
          </w:tcPr>
          <w:p w14:paraId="57ED4953" w14:textId="77777777" w:rsidR="005A6604" w:rsidRPr="00A32816" w:rsidRDefault="005A6604" w:rsidP="000E2549">
            <w:pPr>
              <w:spacing w:after="0" w:line="276" w:lineRule="auto"/>
              <w:jc w:val="right"/>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34,1</w:t>
            </w:r>
          </w:p>
        </w:tc>
        <w:tc>
          <w:tcPr>
            <w:tcW w:w="960" w:type="dxa"/>
            <w:tcBorders>
              <w:top w:val="single" w:sz="4" w:space="0" w:color="auto"/>
              <w:left w:val="nil"/>
              <w:bottom w:val="single" w:sz="4" w:space="0" w:color="auto"/>
              <w:right w:val="nil"/>
            </w:tcBorders>
            <w:shd w:val="clear" w:color="auto" w:fill="auto"/>
            <w:noWrap/>
            <w:vAlign w:val="bottom"/>
            <w:hideMark/>
          </w:tcPr>
          <w:p w14:paraId="4522D24A" w14:textId="77777777" w:rsidR="005A6604" w:rsidRPr="00A32816" w:rsidRDefault="005A6604" w:rsidP="000E2549">
            <w:pPr>
              <w:spacing w:after="0" w:line="276" w:lineRule="auto"/>
              <w:jc w:val="right"/>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33,3</w:t>
            </w:r>
          </w:p>
        </w:tc>
        <w:tc>
          <w:tcPr>
            <w:tcW w:w="960" w:type="dxa"/>
            <w:tcBorders>
              <w:top w:val="single" w:sz="4" w:space="0" w:color="auto"/>
              <w:left w:val="nil"/>
              <w:bottom w:val="single" w:sz="4" w:space="0" w:color="auto"/>
              <w:right w:val="nil"/>
            </w:tcBorders>
            <w:shd w:val="clear" w:color="auto" w:fill="auto"/>
            <w:noWrap/>
            <w:vAlign w:val="bottom"/>
            <w:hideMark/>
          </w:tcPr>
          <w:p w14:paraId="63EA3241" w14:textId="77777777" w:rsidR="005A6604" w:rsidRPr="00A32816" w:rsidRDefault="005A6604" w:rsidP="000E2549">
            <w:pPr>
              <w:spacing w:after="0" w:line="276" w:lineRule="auto"/>
              <w:jc w:val="right"/>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43,0</w:t>
            </w:r>
          </w:p>
        </w:tc>
        <w:tc>
          <w:tcPr>
            <w:tcW w:w="960" w:type="dxa"/>
            <w:tcBorders>
              <w:top w:val="single" w:sz="4" w:space="0" w:color="auto"/>
              <w:left w:val="nil"/>
              <w:bottom w:val="single" w:sz="4" w:space="0" w:color="auto"/>
              <w:right w:val="nil"/>
            </w:tcBorders>
            <w:shd w:val="clear" w:color="auto" w:fill="auto"/>
            <w:noWrap/>
            <w:vAlign w:val="bottom"/>
            <w:hideMark/>
          </w:tcPr>
          <w:p w14:paraId="2A96CB7F" w14:textId="77777777" w:rsidR="005A6604" w:rsidRPr="00A32816" w:rsidRDefault="005A6604" w:rsidP="000E2549">
            <w:pPr>
              <w:spacing w:after="0" w:line="276" w:lineRule="auto"/>
              <w:jc w:val="right"/>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50,5</w:t>
            </w:r>
          </w:p>
        </w:tc>
        <w:tc>
          <w:tcPr>
            <w:tcW w:w="960" w:type="dxa"/>
            <w:tcBorders>
              <w:top w:val="single" w:sz="4" w:space="0" w:color="auto"/>
              <w:left w:val="nil"/>
              <w:bottom w:val="single" w:sz="4" w:space="0" w:color="auto"/>
              <w:right w:val="nil"/>
            </w:tcBorders>
            <w:shd w:val="clear" w:color="auto" w:fill="auto"/>
            <w:noWrap/>
            <w:vAlign w:val="bottom"/>
            <w:hideMark/>
          </w:tcPr>
          <w:p w14:paraId="76097F7B" w14:textId="77777777" w:rsidR="005A6604" w:rsidRPr="00A32816" w:rsidRDefault="005A6604" w:rsidP="000E2549">
            <w:pPr>
              <w:spacing w:after="0" w:line="276" w:lineRule="auto"/>
              <w:jc w:val="right"/>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51,1</w:t>
            </w:r>
          </w:p>
        </w:tc>
        <w:tc>
          <w:tcPr>
            <w:tcW w:w="1352" w:type="dxa"/>
            <w:tcBorders>
              <w:top w:val="single" w:sz="4" w:space="0" w:color="auto"/>
              <w:left w:val="nil"/>
              <w:bottom w:val="single" w:sz="4" w:space="0" w:color="auto"/>
              <w:right w:val="nil"/>
            </w:tcBorders>
            <w:shd w:val="clear" w:color="auto" w:fill="auto"/>
            <w:noWrap/>
            <w:vAlign w:val="bottom"/>
            <w:hideMark/>
          </w:tcPr>
          <w:p w14:paraId="656C824D" w14:textId="77777777" w:rsidR="005A6604" w:rsidRPr="00A32816" w:rsidRDefault="005A6604" w:rsidP="000E2549">
            <w:pPr>
              <w:spacing w:after="0" w:line="276" w:lineRule="auto"/>
              <w:jc w:val="right"/>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42,3</w:t>
            </w:r>
          </w:p>
        </w:tc>
      </w:tr>
      <w:tr w:rsidR="005A6604" w:rsidRPr="00A32816" w14:paraId="3714EF5C" w14:textId="77777777" w:rsidTr="005A6604">
        <w:trPr>
          <w:trHeight w:val="300"/>
          <w:jc w:val="center"/>
        </w:trPr>
        <w:tc>
          <w:tcPr>
            <w:tcW w:w="1660" w:type="dxa"/>
            <w:tcBorders>
              <w:top w:val="nil"/>
              <w:left w:val="nil"/>
              <w:bottom w:val="nil"/>
              <w:right w:val="nil"/>
            </w:tcBorders>
            <w:shd w:val="clear" w:color="auto" w:fill="auto"/>
            <w:noWrap/>
            <w:vAlign w:val="bottom"/>
            <w:hideMark/>
          </w:tcPr>
          <w:p w14:paraId="4DF185B7" w14:textId="77777777" w:rsidR="005A6604" w:rsidRPr="00A32816" w:rsidRDefault="005A6604" w:rsidP="000E2549">
            <w:pPr>
              <w:spacing w:after="0" w:line="276" w:lineRule="auto"/>
              <w:ind w:firstLineChars="100" w:firstLine="220"/>
              <w:rPr>
                <w:rFonts w:eastAsia="Times New Roman" w:cs="Times New Roman"/>
                <w:color w:val="000000"/>
                <w:sz w:val="22"/>
                <w:szCs w:val="32"/>
                <w:lang w:eastAsia="pt-PT"/>
              </w:rPr>
            </w:pPr>
            <w:r w:rsidRPr="00A32816">
              <w:rPr>
                <w:rFonts w:eastAsia="Times New Roman" w:cs="Times New Roman"/>
                <w:color w:val="000000"/>
                <w:sz w:val="22"/>
                <w:szCs w:val="32"/>
                <w:lang w:eastAsia="pt-PT"/>
              </w:rPr>
              <w:t>Açores</w:t>
            </w:r>
          </w:p>
        </w:tc>
        <w:tc>
          <w:tcPr>
            <w:tcW w:w="960" w:type="dxa"/>
            <w:tcBorders>
              <w:top w:val="nil"/>
              <w:left w:val="nil"/>
              <w:bottom w:val="nil"/>
              <w:right w:val="nil"/>
            </w:tcBorders>
            <w:shd w:val="clear" w:color="auto" w:fill="auto"/>
            <w:noWrap/>
            <w:vAlign w:val="bottom"/>
            <w:hideMark/>
          </w:tcPr>
          <w:p w14:paraId="45A3ACC0"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38,4</w:t>
            </w:r>
          </w:p>
        </w:tc>
        <w:tc>
          <w:tcPr>
            <w:tcW w:w="960" w:type="dxa"/>
            <w:tcBorders>
              <w:top w:val="nil"/>
              <w:left w:val="nil"/>
              <w:bottom w:val="nil"/>
              <w:right w:val="nil"/>
            </w:tcBorders>
            <w:shd w:val="clear" w:color="auto" w:fill="auto"/>
            <w:noWrap/>
            <w:vAlign w:val="bottom"/>
            <w:hideMark/>
          </w:tcPr>
          <w:p w14:paraId="3327117A"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32,9</w:t>
            </w:r>
          </w:p>
        </w:tc>
        <w:tc>
          <w:tcPr>
            <w:tcW w:w="960" w:type="dxa"/>
            <w:tcBorders>
              <w:top w:val="nil"/>
              <w:left w:val="nil"/>
              <w:bottom w:val="nil"/>
              <w:right w:val="nil"/>
            </w:tcBorders>
            <w:shd w:val="clear" w:color="auto" w:fill="auto"/>
            <w:noWrap/>
            <w:vAlign w:val="bottom"/>
            <w:hideMark/>
          </w:tcPr>
          <w:p w14:paraId="7CD632FC"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48,7</w:t>
            </w:r>
          </w:p>
        </w:tc>
        <w:tc>
          <w:tcPr>
            <w:tcW w:w="960" w:type="dxa"/>
            <w:tcBorders>
              <w:top w:val="nil"/>
              <w:left w:val="nil"/>
              <w:bottom w:val="nil"/>
              <w:right w:val="nil"/>
            </w:tcBorders>
            <w:shd w:val="clear" w:color="auto" w:fill="auto"/>
            <w:noWrap/>
            <w:vAlign w:val="bottom"/>
            <w:hideMark/>
          </w:tcPr>
          <w:p w14:paraId="406EDA31"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48,8</w:t>
            </w:r>
          </w:p>
        </w:tc>
        <w:tc>
          <w:tcPr>
            <w:tcW w:w="960" w:type="dxa"/>
            <w:tcBorders>
              <w:top w:val="nil"/>
              <w:left w:val="nil"/>
              <w:bottom w:val="nil"/>
              <w:right w:val="nil"/>
            </w:tcBorders>
            <w:shd w:val="clear" w:color="auto" w:fill="auto"/>
            <w:noWrap/>
            <w:vAlign w:val="bottom"/>
            <w:hideMark/>
          </w:tcPr>
          <w:p w14:paraId="77B57253"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52,7</w:t>
            </w:r>
          </w:p>
        </w:tc>
        <w:tc>
          <w:tcPr>
            <w:tcW w:w="1352" w:type="dxa"/>
            <w:tcBorders>
              <w:top w:val="nil"/>
              <w:left w:val="nil"/>
              <w:bottom w:val="nil"/>
              <w:right w:val="nil"/>
            </w:tcBorders>
            <w:shd w:val="clear" w:color="auto" w:fill="auto"/>
            <w:noWrap/>
            <w:vAlign w:val="bottom"/>
            <w:hideMark/>
          </w:tcPr>
          <w:p w14:paraId="06EFC2E8"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44,9</w:t>
            </w:r>
          </w:p>
        </w:tc>
      </w:tr>
      <w:tr w:rsidR="005A6604" w:rsidRPr="00A32816" w14:paraId="199499B0" w14:textId="77777777" w:rsidTr="005A6604">
        <w:trPr>
          <w:trHeight w:val="300"/>
          <w:jc w:val="center"/>
        </w:trPr>
        <w:tc>
          <w:tcPr>
            <w:tcW w:w="1660" w:type="dxa"/>
            <w:tcBorders>
              <w:top w:val="nil"/>
              <w:left w:val="nil"/>
              <w:bottom w:val="nil"/>
              <w:right w:val="nil"/>
            </w:tcBorders>
            <w:shd w:val="clear" w:color="auto" w:fill="auto"/>
            <w:noWrap/>
            <w:vAlign w:val="bottom"/>
            <w:hideMark/>
          </w:tcPr>
          <w:p w14:paraId="392F754A" w14:textId="77777777" w:rsidR="005A6604" w:rsidRPr="00A32816" w:rsidRDefault="005A6604" w:rsidP="000E2549">
            <w:pPr>
              <w:spacing w:after="0" w:line="276" w:lineRule="auto"/>
              <w:ind w:firstLineChars="100" w:firstLine="220"/>
              <w:rPr>
                <w:rFonts w:eastAsia="Times New Roman" w:cs="Times New Roman"/>
                <w:color w:val="000000"/>
                <w:sz w:val="22"/>
                <w:szCs w:val="32"/>
                <w:lang w:eastAsia="pt-PT"/>
              </w:rPr>
            </w:pPr>
            <w:r w:rsidRPr="00A32816">
              <w:rPr>
                <w:rFonts w:eastAsia="Times New Roman" w:cs="Times New Roman"/>
                <w:color w:val="000000"/>
                <w:sz w:val="22"/>
                <w:szCs w:val="32"/>
                <w:lang w:eastAsia="pt-PT"/>
              </w:rPr>
              <w:t>Alentejo</w:t>
            </w:r>
          </w:p>
        </w:tc>
        <w:tc>
          <w:tcPr>
            <w:tcW w:w="960" w:type="dxa"/>
            <w:tcBorders>
              <w:top w:val="nil"/>
              <w:left w:val="nil"/>
              <w:bottom w:val="nil"/>
              <w:right w:val="nil"/>
            </w:tcBorders>
            <w:shd w:val="clear" w:color="auto" w:fill="auto"/>
            <w:noWrap/>
            <w:vAlign w:val="bottom"/>
            <w:hideMark/>
          </w:tcPr>
          <w:p w14:paraId="6CB35BB1"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29,6</w:t>
            </w:r>
          </w:p>
        </w:tc>
        <w:tc>
          <w:tcPr>
            <w:tcW w:w="960" w:type="dxa"/>
            <w:tcBorders>
              <w:top w:val="nil"/>
              <w:left w:val="nil"/>
              <w:bottom w:val="nil"/>
              <w:right w:val="nil"/>
            </w:tcBorders>
            <w:shd w:val="clear" w:color="auto" w:fill="auto"/>
            <w:noWrap/>
            <w:vAlign w:val="bottom"/>
            <w:hideMark/>
          </w:tcPr>
          <w:p w14:paraId="37D17DE7"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31,5</w:t>
            </w:r>
          </w:p>
        </w:tc>
        <w:tc>
          <w:tcPr>
            <w:tcW w:w="960" w:type="dxa"/>
            <w:tcBorders>
              <w:top w:val="nil"/>
              <w:left w:val="nil"/>
              <w:bottom w:val="nil"/>
              <w:right w:val="nil"/>
            </w:tcBorders>
            <w:shd w:val="clear" w:color="auto" w:fill="auto"/>
            <w:noWrap/>
            <w:vAlign w:val="bottom"/>
            <w:hideMark/>
          </w:tcPr>
          <w:p w14:paraId="7AD7D045"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50,8</w:t>
            </w:r>
          </w:p>
        </w:tc>
        <w:tc>
          <w:tcPr>
            <w:tcW w:w="960" w:type="dxa"/>
            <w:tcBorders>
              <w:top w:val="nil"/>
              <w:left w:val="nil"/>
              <w:bottom w:val="nil"/>
              <w:right w:val="nil"/>
            </w:tcBorders>
            <w:shd w:val="clear" w:color="auto" w:fill="auto"/>
            <w:noWrap/>
            <w:vAlign w:val="bottom"/>
            <w:hideMark/>
          </w:tcPr>
          <w:p w14:paraId="445DE09A"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59,4</w:t>
            </w:r>
          </w:p>
        </w:tc>
        <w:tc>
          <w:tcPr>
            <w:tcW w:w="960" w:type="dxa"/>
            <w:tcBorders>
              <w:top w:val="nil"/>
              <w:left w:val="nil"/>
              <w:bottom w:val="nil"/>
              <w:right w:val="nil"/>
            </w:tcBorders>
            <w:shd w:val="clear" w:color="auto" w:fill="auto"/>
            <w:noWrap/>
            <w:vAlign w:val="bottom"/>
            <w:hideMark/>
          </w:tcPr>
          <w:p w14:paraId="607E3F65"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52,9</w:t>
            </w:r>
          </w:p>
        </w:tc>
        <w:tc>
          <w:tcPr>
            <w:tcW w:w="1352" w:type="dxa"/>
            <w:tcBorders>
              <w:top w:val="nil"/>
              <w:left w:val="nil"/>
              <w:bottom w:val="nil"/>
              <w:right w:val="nil"/>
            </w:tcBorders>
            <w:shd w:val="clear" w:color="auto" w:fill="auto"/>
            <w:noWrap/>
            <w:vAlign w:val="bottom"/>
            <w:hideMark/>
          </w:tcPr>
          <w:p w14:paraId="66530285"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44,4</w:t>
            </w:r>
          </w:p>
        </w:tc>
      </w:tr>
      <w:tr w:rsidR="005A6604" w:rsidRPr="00A32816" w14:paraId="02CBC8C5" w14:textId="77777777" w:rsidTr="005A6604">
        <w:trPr>
          <w:trHeight w:val="300"/>
          <w:jc w:val="center"/>
        </w:trPr>
        <w:tc>
          <w:tcPr>
            <w:tcW w:w="1660" w:type="dxa"/>
            <w:tcBorders>
              <w:top w:val="nil"/>
              <w:left w:val="nil"/>
              <w:bottom w:val="nil"/>
              <w:right w:val="nil"/>
            </w:tcBorders>
            <w:shd w:val="clear" w:color="auto" w:fill="auto"/>
            <w:noWrap/>
            <w:vAlign w:val="bottom"/>
            <w:hideMark/>
          </w:tcPr>
          <w:p w14:paraId="74D8A198" w14:textId="77777777" w:rsidR="005A6604" w:rsidRPr="00A32816" w:rsidRDefault="005A6604" w:rsidP="000E2549">
            <w:pPr>
              <w:spacing w:after="0" w:line="276" w:lineRule="auto"/>
              <w:ind w:firstLineChars="100" w:firstLine="220"/>
              <w:rPr>
                <w:rFonts w:eastAsia="Times New Roman" w:cs="Times New Roman"/>
                <w:color w:val="000000"/>
                <w:sz w:val="22"/>
                <w:szCs w:val="32"/>
                <w:lang w:eastAsia="pt-PT"/>
              </w:rPr>
            </w:pPr>
            <w:r w:rsidRPr="00A32816">
              <w:rPr>
                <w:rFonts w:eastAsia="Times New Roman" w:cs="Times New Roman"/>
                <w:color w:val="000000"/>
                <w:sz w:val="22"/>
                <w:szCs w:val="32"/>
                <w:lang w:eastAsia="pt-PT"/>
              </w:rPr>
              <w:t>Algarve</w:t>
            </w:r>
          </w:p>
        </w:tc>
        <w:tc>
          <w:tcPr>
            <w:tcW w:w="960" w:type="dxa"/>
            <w:tcBorders>
              <w:top w:val="nil"/>
              <w:left w:val="nil"/>
              <w:bottom w:val="nil"/>
              <w:right w:val="nil"/>
            </w:tcBorders>
            <w:shd w:val="clear" w:color="auto" w:fill="auto"/>
            <w:noWrap/>
            <w:vAlign w:val="bottom"/>
            <w:hideMark/>
          </w:tcPr>
          <w:p w14:paraId="35BC27F3"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35,6</w:t>
            </w:r>
          </w:p>
        </w:tc>
        <w:tc>
          <w:tcPr>
            <w:tcW w:w="960" w:type="dxa"/>
            <w:tcBorders>
              <w:top w:val="nil"/>
              <w:left w:val="nil"/>
              <w:bottom w:val="nil"/>
              <w:right w:val="nil"/>
            </w:tcBorders>
            <w:shd w:val="clear" w:color="auto" w:fill="auto"/>
            <w:noWrap/>
            <w:vAlign w:val="bottom"/>
            <w:hideMark/>
          </w:tcPr>
          <w:p w14:paraId="0E556621"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34,5</w:t>
            </w:r>
          </w:p>
        </w:tc>
        <w:tc>
          <w:tcPr>
            <w:tcW w:w="960" w:type="dxa"/>
            <w:tcBorders>
              <w:top w:val="nil"/>
              <w:left w:val="nil"/>
              <w:bottom w:val="nil"/>
              <w:right w:val="nil"/>
            </w:tcBorders>
            <w:shd w:val="clear" w:color="auto" w:fill="auto"/>
            <w:noWrap/>
            <w:vAlign w:val="bottom"/>
            <w:hideMark/>
          </w:tcPr>
          <w:p w14:paraId="7D3BB316"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33,1</w:t>
            </w:r>
          </w:p>
        </w:tc>
        <w:tc>
          <w:tcPr>
            <w:tcW w:w="960" w:type="dxa"/>
            <w:tcBorders>
              <w:top w:val="nil"/>
              <w:left w:val="nil"/>
              <w:bottom w:val="nil"/>
              <w:right w:val="nil"/>
            </w:tcBorders>
            <w:shd w:val="clear" w:color="auto" w:fill="auto"/>
            <w:noWrap/>
            <w:vAlign w:val="bottom"/>
            <w:hideMark/>
          </w:tcPr>
          <w:p w14:paraId="76524E8C"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36,4</w:t>
            </w:r>
          </w:p>
        </w:tc>
        <w:tc>
          <w:tcPr>
            <w:tcW w:w="960" w:type="dxa"/>
            <w:tcBorders>
              <w:top w:val="nil"/>
              <w:left w:val="nil"/>
              <w:bottom w:val="nil"/>
              <w:right w:val="nil"/>
            </w:tcBorders>
            <w:shd w:val="clear" w:color="auto" w:fill="auto"/>
            <w:noWrap/>
            <w:vAlign w:val="bottom"/>
            <w:hideMark/>
          </w:tcPr>
          <w:p w14:paraId="4E9C3EEE"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47,6</w:t>
            </w:r>
          </w:p>
        </w:tc>
        <w:tc>
          <w:tcPr>
            <w:tcW w:w="1352" w:type="dxa"/>
            <w:tcBorders>
              <w:top w:val="nil"/>
              <w:left w:val="nil"/>
              <w:bottom w:val="nil"/>
              <w:right w:val="nil"/>
            </w:tcBorders>
            <w:shd w:val="clear" w:color="auto" w:fill="auto"/>
            <w:noWrap/>
            <w:vAlign w:val="bottom"/>
            <w:hideMark/>
          </w:tcPr>
          <w:p w14:paraId="5B2703DB"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37,8</w:t>
            </w:r>
          </w:p>
        </w:tc>
      </w:tr>
      <w:tr w:rsidR="005A6604" w:rsidRPr="00A32816" w14:paraId="75269FAA" w14:textId="77777777" w:rsidTr="005A6604">
        <w:trPr>
          <w:trHeight w:val="300"/>
          <w:jc w:val="center"/>
        </w:trPr>
        <w:tc>
          <w:tcPr>
            <w:tcW w:w="1660" w:type="dxa"/>
            <w:tcBorders>
              <w:top w:val="nil"/>
              <w:left w:val="nil"/>
              <w:bottom w:val="nil"/>
              <w:right w:val="nil"/>
            </w:tcBorders>
            <w:shd w:val="clear" w:color="auto" w:fill="auto"/>
            <w:noWrap/>
            <w:vAlign w:val="bottom"/>
            <w:hideMark/>
          </w:tcPr>
          <w:p w14:paraId="5EE1E9BB" w14:textId="77777777" w:rsidR="005A6604" w:rsidRPr="00A32816" w:rsidRDefault="005A6604" w:rsidP="000E2549">
            <w:pPr>
              <w:spacing w:after="0" w:line="276" w:lineRule="auto"/>
              <w:ind w:firstLineChars="100" w:firstLine="220"/>
              <w:rPr>
                <w:rFonts w:eastAsia="Times New Roman" w:cs="Times New Roman"/>
                <w:color w:val="000000"/>
                <w:sz w:val="22"/>
                <w:szCs w:val="32"/>
                <w:lang w:eastAsia="pt-PT"/>
              </w:rPr>
            </w:pPr>
            <w:r w:rsidRPr="00A32816">
              <w:rPr>
                <w:rFonts w:eastAsia="Times New Roman" w:cs="Times New Roman"/>
                <w:color w:val="000000"/>
                <w:sz w:val="22"/>
                <w:szCs w:val="32"/>
                <w:lang w:eastAsia="pt-PT"/>
              </w:rPr>
              <w:t>Centro</w:t>
            </w:r>
          </w:p>
        </w:tc>
        <w:tc>
          <w:tcPr>
            <w:tcW w:w="960" w:type="dxa"/>
            <w:tcBorders>
              <w:top w:val="nil"/>
              <w:left w:val="nil"/>
              <w:bottom w:val="nil"/>
              <w:right w:val="nil"/>
            </w:tcBorders>
            <w:shd w:val="clear" w:color="auto" w:fill="auto"/>
            <w:noWrap/>
            <w:vAlign w:val="bottom"/>
            <w:hideMark/>
          </w:tcPr>
          <w:p w14:paraId="1BD0A5AC"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35,5</w:t>
            </w:r>
          </w:p>
        </w:tc>
        <w:tc>
          <w:tcPr>
            <w:tcW w:w="960" w:type="dxa"/>
            <w:tcBorders>
              <w:top w:val="nil"/>
              <w:left w:val="nil"/>
              <w:bottom w:val="nil"/>
              <w:right w:val="nil"/>
            </w:tcBorders>
            <w:shd w:val="clear" w:color="auto" w:fill="auto"/>
            <w:noWrap/>
            <w:vAlign w:val="bottom"/>
            <w:hideMark/>
          </w:tcPr>
          <w:p w14:paraId="2E706FD5"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35,2</w:t>
            </w:r>
          </w:p>
        </w:tc>
        <w:tc>
          <w:tcPr>
            <w:tcW w:w="960" w:type="dxa"/>
            <w:tcBorders>
              <w:top w:val="nil"/>
              <w:left w:val="nil"/>
              <w:bottom w:val="nil"/>
              <w:right w:val="nil"/>
            </w:tcBorders>
            <w:shd w:val="clear" w:color="auto" w:fill="auto"/>
            <w:noWrap/>
            <w:vAlign w:val="bottom"/>
            <w:hideMark/>
          </w:tcPr>
          <w:p w14:paraId="2A7F08A2"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44,4</w:t>
            </w:r>
          </w:p>
        </w:tc>
        <w:tc>
          <w:tcPr>
            <w:tcW w:w="960" w:type="dxa"/>
            <w:tcBorders>
              <w:top w:val="nil"/>
              <w:left w:val="nil"/>
              <w:bottom w:val="nil"/>
              <w:right w:val="nil"/>
            </w:tcBorders>
            <w:shd w:val="clear" w:color="auto" w:fill="auto"/>
            <w:noWrap/>
            <w:vAlign w:val="bottom"/>
            <w:hideMark/>
          </w:tcPr>
          <w:p w14:paraId="667B08EA"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50,1</w:t>
            </w:r>
          </w:p>
        </w:tc>
        <w:tc>
          <w:tcPr>
            <w:tcW w:w="960" w:type="dxa"/>
            <w:tcBorders>
              <w:top w:val="nil"/>
              <w:left w:val="nil"/>
              <w:bottom w:val="nil"/>
              <w:right w:val="nil"/>
            </w:tcBorders>
            <w:shd w:val="clear" w:color="auto" w:fill="auto"/>
            <w:noWrap/>
            <w:vAlign w:val="bottom"/>
            <w:hideMark/>
          </w:tcPr>
          <w:p w14:paraId="1911DF96"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50,7</w:t>
            </w:r>
          </w:p>
        </w:tc>
        <w:tc>
          <w:tcPr>
            <w:tcW w:w="1352" w:type="dxa"/>
            <w:tcBorders>
              <w:top w:val="nil"/>
              <w:left w:val="nil"/>
              <w:bottom w:val="nil"/>
              <w:right w:val="nil"/>
            </w:tcBorders>
            <w:shd w:val="clear" w:color="auto" w:fill="auto"/>
            <w:noWrap/>
            <w:vAlign w:val="bottom"/>
            <w:hideMark/>
          </w:tcPr>
          <w:p w14:paraId="5DBB4A84"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43,2</w:t>
            </w:r>
          </w:p>
        </w:tc>
      </w:tr>
      <w:tr w:rsidR="005A6604" w:rsidRPr="00A32816" w14:paraId="5E343C10" w14:textId="77777777" w:rsidTr="005A6604">
        <w:trPr>
          <w:trHeight w:val="300"/>
          <w:jc w:val="center"/>
        </w:trPr>
        <w:tc>
          <w:tcPr>
            <w:tcW w:w="1660" w:type="dxa"/>
            <w:tcBorders>
              <w:top w:val="nil"/>
              <w:left w:val="nil"/>
              <w:bottom w:val="nil"/>
              <w:right w:val="nil"/>
            </w:tcBorders>
            <w:shd w:val="clear" w:color="auto" w:fill="auto"/>
            <w:noWrap/>
            <w:vAlign w:val="bottom"/>
            <w:hideMark/>
          </w:tcPr>
          <w:p w14:paraId="65C8244F" w14:textId="77777777" w:rsidR="005A6604" w:rsidRPr="00A32816" w:rsidRDefault="005A6604" w:rsidP="000E2549">
            <w:pPr>
              <w:spacing w:after="0" w:line="276" w:lineRule="auto"/>
              <w:ind w:firstLineChars="100" w:firstLine="220"/>
              <w:rPr>
                <w:rFonts w:eastAsia="Times New Roman" w:cs="Times New Roman"/>
                <w:color w:val="000000"/>
                <w:sz w:val="22"/>
                <w:szCs w:val="32"/>
                <w:lang w:eastAsia="pt-PT"/>
              </w:rPr>
            </w:pPr>
            <w:r w:rsidRPr="00A32816">
              <w:rPr>
                <w:rFonts w:eastAsia="Times New Roman" w:cs="Times New Roman"/>
                <w:color w:val="000000"/>
                <w:sz w:val="22"/>
                <w:szCs w:val="32"/>
                <w:lang w:eastAsia="pt-PT"/>
              </w:rPr>
              <w:t>Lisboa</w:t>
            </w:r>
          </w:p>
        </w:tc>
        <w:tc>
          <w:tcPr>
            <w:tcW w:w="960" w:type="dxa"/>
            <w:tcBorders>
              <w:top w:val="nil"/>
              <w:left w:val="nil"/>
              <w:bottom w:val="nil"/>
              <w:right w:val="nil"/>
            </w:tcBorders>
            <w:shd w:val="clear" w:color="auto" w:fill="auto"/>
            <w:noWrap/>
            <w:vAlign w:val="bottom"/>
            <w:hideMark/>
          </w:tcPr>
          <w:p w14:paraId="4A25C5BD"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39,0</w:t>
            </w:r>
          </w:p>
        </w:tc>
        <w:tc>
          <w:tcPr>
            <w:tcW w:w="960" w:type="dxa"/>
            <w:tcBorders>
              <w:top w:val="nil"/>
              <w:left w:val="nil"/>
              <w:bottom w:val="nil"/>
              <w:right w:val="nil"/>
            </w:tcBorders>
            <w:shd w:val="clear" w:color="auto" w:fill="auto"/>
            <w:noWrap/>
            <w:vAlign w:val="bottom"/>
            <w:hideMark/>
          </w:tcPr>
          <w:p w14:paraId="261FB1BD"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41,6</w:t>
            </w:r>
          </w:p>
        </w:tc>
        <w:tc>
          <w:tcPr>
            <w:tcW w:w="960" w:type="dxa"/>
            <w:tcBorders>
              <w:top w:val="nil"/>
              <w:left w:val="nil"/>
              <w:bottom w:val="nil"/>
              <w:right w:val="nil"/>
            </w:tcBorders>
            <w:shd w:val="clear" w:color="auto" w:fill="auto"/>
            <w:noWrap/>
            <w:vAlign w:val="bottom"/>
            <w:hideMark/>
          </w:tcPr>
          <w:p w14:paraId="28F25D7A"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45,8</w:t>
            </w:r>
          </w:p>
        </w:tc>
        <w:tc>
          <w:tcPr>
            <w:tcW w:w="960" w:type="dxa"/>
            <w:tcBorders>
              <w:top w:val="nil"/>
              <w:left w:val="nil"/>
              <w:bottom w:val="nil"/>
              <w:right w:val="nil"/>
            </w:tcBorders>
            <w:shd w:val="clear" w:color="auto" w:fill="auto"/>
            <w:noWrap/>
            <w:vAlign w:val="bottom"/>
            <w:hideMark/>
          </w:tcPr>
          <w:p w14:paraId="74F8E589"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53,8</w:t>
            </w:r>
          </w:p>
        </w:tc>
        <w:tc>
          <w:tcPr>
            <w:tcW w:w="960" w:type="dxa"/>
            <w:tcBorders>
              <w:top w:val="nil"/>
              <w:left w:val="nil"/>
              <w:bottom w:val="nil"/>
              <w:right w:val="nil"/>
            </w:tcBorders>
            <w:shd w:val="clear" w:color="auto" w:fill="auto"/>
            <w:noWrap/>
            <w:vAlign w:val="bottom"/>
            <w:hideMark/>
          </w:tcPr>
          <w:p w14:paraId="0B8ABF45"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65,9</w:t>
            </w:r>
          </w:p>
        </w:tc>
        <w:tc>
          <w:tcPr>
            <w:tcW w:w="1352" w:type="dxa"/>
            <w:tcBorders>
              <w:top w:val="nil"/>
              <w:left w:val="nil"/>
              <w:bottom w:val="nil"/>
              <w:right w:val="nil"/>
            </w:tcBorders>
            <w:shd w:val="clear" w:color="auto" w:fill="auto"/>
            <w:noWrap/>
            <w:vAlign w:val="bottom"/>
            <w:hideMark/>
          </w:tcPr>
          <w:p w14:paraId="64D86F57"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50,7</w:t>
            </w:r>
          </w:p>
        </w:tc>
      </w:tr>
      <w:tr w:rsidR="005A6604" w:rsidRPr="00A32816" w14:paraId="53EC9C31" w14:textId="77777777" w:rsidTr="005A6604">
        <w:trPr>
          <w:trHeight w:val="300"/>
          <w:jc w:val="center"/>
        </w:trPr>
        <w:tc>
          <w:tcPr>
            <w:tcW w:w="1660" w:type="dxa"/>
            <w:tcBorders>
              <w:top w:val="nil"/>
              <w:left w:val="nil"/>
              <w:bottom w:val="nil"/>
              <w:right w:val="nil"/>
            </w:tcBorders>
            <w:shd w:val="clear" w:color="auto" w:fill="auto"/>
            <w:noWrap/>
            <w:vAlign w:val="bottom"/>
            <w:hideMark/>
          </w:tcPr>
          <w:p w14:paraId="14F11B64" w14:textId="77777777" w:rsidR="005A6604" w:rsidRPr="00A32816" w:rsidRDefault="005A6604" w:rsidP="000E2549">
            <w:pPr>
              <w:spacing w:after="0" w:line="276" w:lineRule="auto"/>
              <w:ind w:firstLineChars="100" w:firstLine="220"/>
              <w:rPr>
                <w:rFonts w:eastAsia="Times New Roman" w:cs="Times New Roman"/>
                <w:color w:val="000000"/>
                <w:sz w:val="22"/>
                <w:szCs w:val="32"/>
                <w:lang w:eastAsia="pt-PT"/>
              </w:rPr>
            </w:pPr>
            <w:r w:rsidRPr="00A32816">
              <w:rPr>
                <w:rFonts w:eastAsia="Times New Roman" w:cs="Times New Roman"/>
                <w:color w:val="000000"/>
                <w:sz w:val="22"/>
                <w:szCs w:val="32"/>
                <w:lang w:eastAsia="pt-PT"/>
              </w:rPr>
              <w:t>Madeira</w:t>
            </w:r>
          </w:p>
        </w:tc>
        <w:tc>
          <w:tcPr>
            <w:tcW w:w="960" w:type="dxa"/>
            <w:tcBorders>
              <w:top w:val="nil"/>
              <w:left w:val="nil"/>
              <w:bottom w:val="nil"/>
              <w:right w:val="nil"/>
            </w:tcBorders>
            <w:shd w:val="clear" w:color="auto" w:fill="auto"/>
            <w:noWrap/>
            <w:vAlign w:val="bottom"/>
            <w:hideMark/>
          </w:tcPr>
          <w:p w14:paraId="00B47C30"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24,0</w:t>
            </w:r>
          </w:p>
        </w:tc>
        <w:tc>
          <w:tcPr>
            <w:tcW w:w="960" w:type="dxa"/>
            <w:tcBorders>
              <w:top w:val="nil"/>
              <w:left w:val="nil"/>
              <w:bottom w:val="nil"/>
              <w:right w:val="nil"/>
            </w:tcBorders>
            <w:shd w:val="clear" w:color="auto" w:fill="auto"/>
            <w:noWrap/>
            <w:vAlign w:val="bottom"/>
            <w:hideMark/>
          </w:tcPr>
          <w:p w14:paraId="270CDB09"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21,7</w:t>
            </w:r>
          </w:p>
        </w:tc>
        <w:tc>
          <w:tcPr>
            <w:tcW w:w="960" w:type="dxa"/>
            <w:tcBorders>
              <w:top w:val="nil"/>
              <w:left w:val="nil"/>
              <w:bottom w:val="nil"/>
              <w:right w:val="nil"/>
            </w:tcBorders>
            <w:shd w:val="clear" w:color="auto" w:fill="auto"/>
            <w:noWrap/>
            <w:vAlign w:val="bottom"/>
            <w:hideMark/>
          </w:tcPr>
          <w:p w14:paraId="333BB872"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29,1</w:t>
            </w:r>
          </w:p>
        </w:tc>
        <w:tc>
          <w:tcPr>
            <w:tcW w:w="960" w:type="dxa"/>
            <w:tcBorders>
              <w:top w:val="nil"/>
              <w:left w:val="nil"/>
              <w:bottom w:val="nil"/>
              <w:right w:val="nil"/>
            </w:tcBorders>
            <w:shd w:val="clear" w:color="auto" w:fill="auto"/>
            <w:noWrap/>
            <w:vAlign w:val="bottom"/>
            <w:hideMark/>
          </w:tcPr>
          <w:p w14:paraId="151FBA08"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35,7</w:t>
            </w:r>
          </w:p>
        </w:tc>
        <w:tc>
          <w:tcPr>
            <w:tcW w:w="960" w:type="dxa"/>
            <w:tcBorders>
              <w:top w:val="nil"/>
              <w:left w:val="nil"/>
              <w:bottom w:val="nil"/>
              <w:right w:val="nil"/>
            </w:tcBorders>
            <w:shd w:val="clear" w:color="auto" w:fill="auto"/>
            <w:noWrap/>
            <w:vAlign w:val="bottom"/>
            <w:hideMark/>
          </w:tcPr>
          <w:p w14:paraId="7D30811C"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36,9</w:t>
            </w:r>
          </w:p>
        </w:tc>
        <w:tc>
          <w:tcPr>
            <w:tcW w:w="1352" w:type="dxa"/>
            <w:tcBorders>
              <w:top w:val="nil"/>
              <w:left w:val="nil"/>
              <w:bottom w:val="nil"/>
              <w:right w:val="nil"/>
            </w:tcBorders>
            <w:shd w:val="clear" w:color="auto" w:fill="auto"/>
            <w:noWrap/>
            <w:vAlign w:val="bottom"/>
            <w:hideMark/>
          </w:tcPr>
          <w:p w14:paraId="48D5FA35"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29,2</w:t>
            </w:r>
          </w:p>
        </w:tc>
      </w:tr>
      <w:tr w:rsidR="005A6604" w:rsidRPr="00A32816" w14:paraId="17EFDEBA" w14:textId="77777777" w:rsidTr="005A6604">
        <w:trPr>
          <w:trHeight w:val="300"/>
          <w:jc w:val="center"/>
        </w:trPr>
        <w:tc>
          <w:tcPr>
            <w:tcW w:w="1660" w:type="dxa"/>
            <w:tcBorders>
              <w:top w:val="nil"/>
              <w:left w:val="nil"/>
              <w:bottom w:val="nil"/>
              <w:right w:val="nil"/>
            </w:tcBorders>
            <w:shd w:val="clear" w:color="auto" w:fill="auto"/>
            <w:noWrap/>
            <w:vAlign w:val="bottom"/>
            <w:hideMark/>
          </w:tcPr>
          <w:p w14:paraId="3730F4F2" w14:textId="77777777" w:rsidR="005A6604" w:rsidRPr="00A32816" w:rsidRDefault="005A6604" w:rsidP="000E2549">
            <w:pPr>
              <w:spacing w:after="0" w:line="276" w:lineRule="auto"/>
              <w:ind w:firstLineChars="100" w:firstLine="220"/>
              <w:rPr>
                <w:rFonts w:eastAsia="Times New Roman" w:cs="Times New Roman"/>
                <w:color w:val="000000"/>
                <w:sz w:val="22"/>
                <w:szCs w:val="32"/>
                <w:lang w:eastAsia="pt-PT"/>
              </w:rPr>
            </w:pPr>
            <w:r w:rsidRPr="00A32816">
              <w:rPr>
                <w:rFonts w:eastAsia="Times New Roman" w:cs="Times New Roman"/>
                <w:color w:val="000000"/>
                <w:sz w:val="22"/>
                <w:szCs w:val="32"/>
                <w:lang w:eastAsia="pt-PT"/>
              </w:rPr>
              <w:t>Norte</w:t>
            </w:r>
          </w:p>
        </w:tc>
        <w:tc>
          <w:tcPr>
            <w:tcW w:w="960" w:type="dxa"/>
            <w:tcBorders>
              <w:top w:val="nil"/>
              <w:left w:val="nil"/>
              <w:bottom w:val="nil"/>
              <w:right w:val="nil"/>
            </w:tcBorders>
            <w:shd w:val="clear" w:color="auto" w:fill="auto"/>
            <w:noWrap/>
            <w:vAlign w:val="bottom"/>
            <w:hideMark/>
          </w:tcPr>
          <w:p w14:paraId="6C31A607"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33,7</w:t>
            </w:r>
          </w:p>
        </w:tc>
        <w:tc>
          <w:tcPr>
            <w:tcW w:w="960" w:type="dxa"/>
            <w:tcBorders>
              <w:top w:val="nil"/>
              <w:left w:val="nil"/>
              <w:bottom w:val="nil"/>
              <w:right w:val="nil"/>
            </w:tcBorders>
            <w:shd w:val="clear" w:color="auto" w:fill="auto"/>
            <w:noWrap/>
            <w:vAlign w:val="bottom"/>
            <w:hideMark/>
          </w:tcPr>
          <w:p w14:paraId="47BB4AA3"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32,7</w:t>
            </w:r>
          </w:p>
        </w:tc>
        <w:tc>
          <w:tcPr>
            <w:tcW w:w="960" w:type="dxa"/>
            <w:tcBorders>
              <w:top w:val="nil"/>
              <w:left w:val="nil"/>
              <w:bottom w:val="nil"/>
              <w:right w:val="nil"/>
            </w:tcBorders>
            <w:shd w:val="clear" w:color="auto" w:fill="auto"/>
            <w:noWrap/>
            <w:vAlign w:val="bottom"/>
            <w:hideMark/>
          </w:tcPr>
          <w:p w14:paraId="772B1EDC"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42,2</w:t>
            </w:r>
          </w:p>
        </w:tc>
        <w:tc>
          <w:tcPr>
            <w:tcW w:w="960" w:type="dxa"/>
            <w:tcBorders>
              <w:top w:val="nil"/>
              <w:left w:val="nil"/>
              <w:bottom w:val="nil"/>
              <w:right w:val="nil"/>
            </w:tcBorders>
            <w:shd w:val="clear" w:color="auto" w:fill="auto"/>
            <w:noWrap/>
            <w:vAlign w:val="bottom"/>
            <w:hideMark/>
          </w:tcPr>
          <w:p w14:paraId="4C4BE158"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52,7</w:t>
            </w:r>
          </w:p>
        </w:tc>
        <w:tc>
          <w:tcPr>
            <w:tcW w:w="960" w:type="dxa"/>
            <w:tcBorders>
              <w:top w:val="nil"/>
              <w:left w:val="nil"/>
              <w:bottom w:val="nil"/>
              <w:right w:val="nil"/>
            </w:tcBorders>
            <w:shd w:val="clear" w:color="auto" w:fill="auto"/>
            <w:noWrap/>
            <w:vAlign w:val="bottom"/>
            <w:hideMark/>
          </w:tcPr>
          <w:p w14:paraId="1610DDE3"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51,9</w:t>
            </w:r>
          </w:p>
        </w:tc>
        <w:tc>
          <w:tcPr>
            <w:tcW w:w="1352" w:type="dxa"/>
            <w:tcBorders>
              <w:top w:val="nil"/>
              <w:left w:val="nil"/>
              <w:bottom w:val="nil"/>
              <w:right w:val="nil"/>
            </w:tcBorders>
            <w:shd w:val="clear" w:color="auto" w:fill="auto"/>
            <w:noWrap/>
            <w:vAlign w:val="bottom"/>
            <w:hideMark/>
          </w:tcPr>
          <w:p w14:paraId="201D1D0A"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42,3</w:t>
            </w:r>
          </w:p>
        </w:tc>
      </w:tr>
      <w:tr w:rsidR="005A6604" w:rsidRPr="00A32816" w14:paraId="03EA68C9" w14:textId="77777777" w:rsidTr="005A6604">
        <w:trPr>
          <w:trHeight w:val="300"/>
          <w:jc w:val="center"/>
        </w:trPr>
        <w:tc>
          <w:tcPr>
            <w:tcW w:w="1660" w:type="dxa"/>
            <w:tcBorders>
              <w:top w:val="nil"/>
              <w:left w:val="nil"/>
              <w:bottom w:val="single" w:sz="4" w:space="0" w:color="auto"/>
              <w:right w:val="nil"/>
            </w:tcBorders>
            <w:shd w:val="clear" w:color="auto" w:fill="E7E6E6" w:themeFill="background2"/>
            <w:noWrap/>
            <w:vAlign w:val="bottom"/>
            <w:hideMark/>
          </w:tcPr>
          <w:p w14:paraId="68405418" w14:textId="77777777" w:rsidR="005A6604" w:rsidRPr="00A32816" w:rsidRDefault="005A6604" w:rsidP="000E2549">
            <w:pPr>
              <w:spacing w:after="60" w:line="276" w:lineRule="auto"/>
              <w:rPr>
                <w:rFonts w:eastAsia="Times New Roman" w:cs="Times New Roman"/>
                <w:b/>
                <w:color w:val="000000"/>
                <w:sz w:val="22"/>
                <w:szCs w:val="32"/>
                <w:lang w:eastAsia="pt-PT"/>
              </w:rPr>
            </w:pPr>
            <w:r w:rsidRPr="00A32816">
              <w:rPr>
                <w:rFonts w:eastAsia="Times New Roman" w:cs="Times New Roman"/>
                <w:b/>
                <w:color w:val="000000"/>
                <w:sz w:val="22"/>
                <w:szCs w:val="32"/>
                <w:lang w:eastAsia="pt-PT"/>
              </w:rPr>
              <w:t>IPP esquerda</w:t>
            </w:r>
          </w:p>
        </w:tc>
        <w:tc>
          <w:tcPr>
            <w:tcW w:w="960" w:type="dxa"/>
            <w:tcBorders>
              <w:top w:val="nil"/>
              <w:left w:val="nil"/>
              <w:bottom w:val="single" w:sz="4" w:space="0" w:color="auto"/>
              <w:right w:val="nil"/>
            </w:tcBorders>
            <w:shd w:val="clear" w:color="auto" w:fill="E7E6E6" w:themeFill="background2"/>
            <w:noWrap/>
            <w:vAlign w:val="bottom"/>
            <w:hideMark/>
          </w:tcPr>
          <w:p w14:paraId="06E70459" w14:textId="77777777" w:rsidR="005A6604" w:rsidRPr="00A32816" w:rsidRDefault="005A6604" w:rsidP="000E2549">
            <w:pPr>
              <w:spacing w:after="60" w:line="276" w:lineRule="auto"/>
              <w:jc w:val="right"/>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2013</w:t>
            </w:r>
          </w:p>
        </w:tc>
        <w:tc>
          <w:tcPr>
            <w:tcW w:w="960" w:type="dxa"/>
            <w:tcBorders>
              <w:top w:val="nil"/>
              <w:left w:val="nil"/>
              <w:bottom w:val="single" w:sz="4" w:space="0" w:color="auto"/>
              <w:right w:val="nil"/>
            </w:tcBorders>
            <w:shd w:val="clear" w:color="auto" w:fill="E7E6E6" w:themeFill="background2"/>
            <w:noWrap/>
            <w:vAlign w:val="bottom"/>
            <w:hideMark/>
          </w:tcPr>
          <w:p w14:paraId="679E85D3" w14:textId="77777777" w:rsidR="005A6604" w:rsidRPr="00A32816" w:rsidRDefault="005A6604" w:rsidP="000E2549">
            <w:pPr>
              <w:spacing w:after="60" w:line="276" w:lineRule="auto"/>
              <w:jc w:val="right"/>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2014</w:t>
            </w:r>
          </w:p>
        </w:tc>
        <w:tc>
          <w:tcPr>
            <w:tcW w:w="960" w:type="dxa"/>
            <w:tcBorders>
              <w:top w:val="nil"/>
              <w:left w:val="nil"/>
              <w:bottom w:val="single" w:sz="4" w:space="0" w:color="auto"/>
              <w:right w:val="nil"/>
            </w:tcBorders>
            <w:shd w:val="clear" w:color="auto" w:fill="E7E6E6" w:themeFill="background2"/>
            <w:noWrap/>
            <w:vAlign w:val="bottom"/>
            <w:hideMark/>
          </w:tcPr>
          <w:p w14:paraId="4780D208" w14:textId="77777777" w:rsidR="005A6604" w:rsidRPr="00A32816" w:rsidRDefault="005A6604" w:rsidP="000E2549">
            <w:pPr>
              <w:spacing w:after="60" w:line="276" w:lineRule="auto"/>
              <w:jc w:val="right"/>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2015</w:t>
            </w:r>
          </w:p>
        </w:tc>
        <w:tc>
          <w:tcPr>
            <w:tcW w:w="960" w:type="dxa"/>
            <w:tcBorders>
              <w:top w:val="nil"/>
              <w:left w:val="nil"/>
              <w:bottom w:val="single" w:sz="4" w:space="0" w:color="auto"/>
              <w:right w:val="nil"/>
            </w:tcBorders>
            <w:shd w:val="clear" w:color="auto" w:fill="E7E6E6" w:themeFill="background2"/>
            <w:noWrap/>
            <w:vAlign w:val="bottom"/>
            <w:hideMark/>
          </w:tcPr>
          <w:p w14:paraId="340669B4" w14:textId="77777777" w:rsidR="005A6604" w:rsidRPr="00A32816" w:rsidRDefault="005A6604" w:rsidP="000E2549">
            <w:pPr>
              <w:spacing w:after="60" w:line="276" w:lineRule="auto"/>
              <w:jc w:val="right"/>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2016</w:t>
            </w:r>
          </w:p>
        </w:tc>
        <w:tc>
          <w:tcPr>
            <w:tcW w:w="960" w:type="dxa"/>
            <w:tcBorders>
              <w:top w:val="nil"/>
              <w:left w:val="nil"/>
              <w:bottom w:val="single" w:sz="4" w:space="0" w:color="auto"/>
              <w:right w:val="nil"/>
            </w:tcBorders>
            <w:shd w:val="clear" w:color="auto" w:fill="E7E6E6" w:themeFill="background2"/>
            <w:noWrap/>
            <w:vAlign w:val="bottom"/>
            <w:hideMark/>
          </w:tcPr>
          <w:p w14:paraId="7511EE56" w14:textId="77777777" w:rsidR="005A6604" w:rsidRPr="00A32816" w:rsidRDefault="005A6604" w:rsidP="000E2549">
            <w:pPr>
              <w:spacing w:after="60" w:line="276" w:lineRule="auto"/>
              <w:jc w:val="right"/>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2017</w:t>
            </w:r>
          </w:p>
        </w:tc>
        <w:tc>
          <w:tcPr>
            <w:tcW w:w="1352" w:type="dxa"/>
            <w:tcBorders>
              <w:top w:val="nil"/>
              <w:left w:val="nil"/>
              <w:bottom w:val="single" w:sz="4" w:space="0" w:color="auto"/>
              <w:right w:val="nil"/>
            </w:tcBorders>
            <w:shd w:val="clear" w:color="auto" w:fill="E7E6E6" w:themeFill="background2"/>
            <w:noWrap/>
            <w:vAlign w:val="bottom"/>
            <w:hideMark/>
          </w:tcPr>
          <w:p w14:paraId="4BF1522D" w14:textId="77777777" w:rsidR="005A6604" w:rsidRPr="00A32816" w:rsidRDefault="005A6604" w:rsidP="000E2549">
            <w:pPr>
              <w:spacing w:after="60" w:line="276" w:lineRule="auto"/>
              <w:jc w:val="center"/>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 xml:space="preserve"> Geral</w:t>
            </w:r>
          </w:p>
        </w:tc>
      </w:tr>
      <w:tr w:rsidR="005A6604" w:rsidRPr="00A32816" w14:paraId="79ECE2B0" w14:textId="77777777" w:rsidTr="005A6604">
        <w:trPr>
          <w:trHeight w:val="300"/>
          <w:jc w:val="center"/>
        </w:trPr>
        <w:tc>
          <w:tcPr>
            <w:tcW w:w="1660" w:type="dxa"/>
            <w:tcBorders>
              <w:top w:val="single" w:sz="4" w:space="0" w:color="auto"/>
              <w:left w:val="nil"/>
              <w:bottom w:val="single" w:sz="4" w:space="0" w:color="auto"/>
              <w:right w:val="nil"/>
            </w:tcBorders>
            <w:shd w:val="clear" w:color="auto" w:fill="auto"/>
            <w:noWrap/>
            <w:vAlign w:val="bottom"/>
            <w:hideMark/>
          </w:tcPr>
          <w:p w14:paraId="52C291BA" w14:textId="77777777" w:rsidR="005A6604" w:rsidRPr="00A32816" w:rsidRDefault="005A6604" w:rsidP="000E2549">
            <w:pPr>
              <w:spacing w:after="0" w:line="276" w:lineRule="auto"/>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MÉDIA</w:t>
            </w:r>
          </w:p>
        </w:tc>
        <w:tc>
          <w:tcPr>
            <w:tcW w:w="960" w:type="dxa"/>
            <w:tcBorders>
              <w:top w:val="single" w:sz="4" w:space="0" w:color="auto"/>
              <w:left w:val="nil"/>
              <w:bottom w:val="single" w:sz="4" w:space="0" w:color="auto"/>
              <w:right w:val="nil"/>
            </w:tcBorders>
            <w:shd w:val="clear" w:color="auto" w:fill="auto"/>
            <w:noWrap/>
            <w:vAlign w:val="bottom"/>
            <w:hideMark/>
          </w:tcPr>
          <w:p w14:paraId="0D5D7AF1" w14:textId="77777777" w:rsidR="005A6604" w:rsidRPr="00A32816" w:rsidRDefault="005A6604" w:rsidP="000E2549">
            <w:pPr>
              <w:spacing w:after="0" w:line="276" w:lineRule="auto"/>
              <w:jc w:val="right"/>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32,6</w:t>
            </w:r>
          </w:p>
        </w:tc>
        <w:tc>
          <w:tcPr>
            <w:tcW w:w="960" w:type="dxa"/>
            <w:tcBorders>
              <w:top w:val="single" w:sz="4" w:space="0" w:color="auto"/>
              <w:left w:val="nil"/>
              <w:bottom w:val="single" w:sz="4" w:space="0" w:color="auto"/>
              <w:right w:val="nil"/>
            </w:tcBorders>
            <w:shd w:val="clear" w:color="auto" w:fill="auto"/>
            <w:noWrap/>
            <w:vAlign w:val="bottom"/>
            <w:hideMark/>
          </w:tcPr>
          <w:p w14:paraId="56423861" w14:textId="77777777" w:rsidR="005A6604" w:rsidRPr="00A32816" w:rsidRDefault="005A6604" w:rsidP="000E2549">
            <w:pPr>
              <w:spacing w:after="0" w:line="276" w:lineRule="auto"/>
              <w:jc w:val="right"/>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33,8</w:t>
            </w:r>
          </w:p>
        </w:tc>
        <w:tc>
          <w:tcPr>
            <w:tcW w:w="960" w:type="dxa"/>
            <w:tcBorders>
              <w:top w:val="single" w:sz="4" w:space="0" w:color="auto"/>
              <w:left w:val="nil"/>
              <w:bottom w:val="single" w:sz="4" w:space="0" w:color="auto"/>
              <w:right w:val="nil"/>
            </w:tcBorders>
            <w:shd w:val="clear" w:color="auto" w:fill="auto"/>
            <w:noWrap/>
            <w:vAlign w:val="bottom"/>
            <w:hideMark/>
          </w:tcPr>
          <w:p w14:paraId="4579D05B" w14:textId="77777777" w:rsidR="005A6604" w:rsidRPr="00A32816" w:rsidRDefault="005A6604" w:rsidP="000E2549">
            <w:pPr>
              <w:spacing w:after="0" w:line="276" w:lineRule="auto"/>
              <w:jc w:val="right"/>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45,0</w:t>
            </w:r>
          </w:p>
        </w:tc>
        <w:tc>
          <w:tcPr>
            <w:tcW w:w="960" w:type="dxa"/>
            <w:tcBorders>
              <w:top w:val="single" w:sz="4" w:space="0" w:color="auto"/>
              <w:left w:val="nil"/>
              <w:bottom w:val="single" w:sz="4" w:space="0" w:color="auto"/>
              <w:right w:val="nil"/>
            </w:tcBorders>
            <w:shd w:val="clear" w:color="auto" w:fill="auto"/>
            <w:noWrap/>
            <w:vAlign w:val="bottom"/>
            <w:hideMark/>
          </w:tcPr>
          <w:p w14:paraId="6D3B1B35" w14:textId="77777777" w:rsidR="005A6604" w:rsidRPr="00A32816" w:rsidRDefault="005A6604" w:rsidP="000E2549">
            <w:pPr>
              <w:spacing w:after="0" w:line="276" w:lineRule="auto"/>
              <w:jc w:val="right"/>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53,5</w:t>
            </w:r>
          </w:p>
        </w:tc>
        <w:tc>
          <w:tcPr>
            <w:tcW w:w="960" w:type="dxa"/>
            <w:tcBorders>
              <w:top w:val="single" w:sz="4" w:space="0" w:color="auto"/>
              <w:left w:val="nil"/>
              <w:bottom w:val="single" w:sz="4" w:space="0" w:color="auto"/>
              <w:right w:val="nil"/>
            </w:tcBorders>
            <w:shd w:val="clear" w:color="auto" w:fill="auto"/>
            <w:noWrap/>
            <w:vAlign w:val="bottom"/>
            <w:hideMark/>
          </w:tcPr>
          <w:p w14:paraId="0F8FAC87" w14:textId="77777777" w:rsidR="005A6604" w:rsidRPr="00A32816" w:rsidRDefault="005A6604" w:rsidP="000E2549">
            <w:pPr>
              <w:spacing w:after="0" w:line="276" w:lineRule="auto"/>
              <w:jc w:val="right"/>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50,8</w:t>
            </w:r>
          </w:p>
        </w:tc>
        <w:tc>
          <w:tcPr>
            <w:tcW w:w="1352" w:type="dxa"/>
            <w:tcBorders>
              <w:top w:val="single" w:sz="4" w:space="0" w:color="auto"/>
              <w:left w:val="nil"/>
              <w:bottom w:val="single" w:sz="4" w:space="0" w:color="auto"/>
              <w:right w:val="nil"/>
            </w:tcBorders>
            <w:shd w:val="clear" w:color="auto" w:fill="auto"/>
            <w:noWrap/>
            <w:vAlign w:val="bottom"/>
            <w:hideMark/>
          </w:tcPr>
          <w:p w14:paraId="15DA7CA7" w14:textId="77777777" w:rsidR="005A6604" w:rsidRPr="00A32816" w:rsidRDefault="005A6604" w:rsidP="000E2549">
            <w:pPr>
              <w:spacing w:after="0" w:line="276" w:lineRule="auto"/>
              <w:jc w:val="right"/>
              <w:rPr>
                <w:rFonts w:eastAsia="Times New Roman" w:cs="Times New Roman"/>
                <w:b/>
                <w:bCs/>
                <w:color w:val="000000"/>
                <w:sz w:val="22"/>
                <w:szCs w:val="32"/>
                <w:lang w:eastAsia="pt-PT"/>
              </w:rPr>
            </w:pPr>
            <w:r w:rsidRPr="00A32816">
              <w:rPr>
                <w:rFonts w:eastAsia="Times New Roman" w:cs="Times New Roman"/>
                <w:b/>
                <w:bCs/>
                <w:color w:val="000000"/>
                <w:sz w:val="22"/>
                <w:szCs w:val="32"/>
                <w:lang w:eastAsia="pt-PT"/>
              </w:rPr>
              <w:t>43,2</w:t>
            </w:r>
          </w:p>
        </w:tc>
      </w:tr>
      <w:tr w:rsidR="005A6604" w:rsidRPr="00A32816" w14:paraId="7E593AB0" w14:textId="77777777" w:rsidTr="005A6604">
        <w:trPr>
          <w:trHeight w:val="300"/>
          <w:jc w:val="center"/>
        </w:trPr>
        <w:tc>
          <w:tcPr>
            <w:tcW w:w="1660" w:type="dxa"/>
            <w:tcBorders>
              <w:top w:val="nil"/>
              <w:left w:val="nil"/>
              <w:bottom w:val="nil"/>
              <w:right w:val="nil"/>
            </w:tcBorders>
            <w:shd w:val="clear" w:color="auto" w:fill="auto"/>
            <w:noWrap/>
            <w:vAlign w:val="bottom"/>
            <w:hideMark/>
          </w:tcPr>
          <w:p w14:paraId="0FC179D8" w14:textId="77777777" w:rsidR="005A6604" w:rsidRPr="00A32816" w:rsidRDefault="005A6604" w:rsidP="000E2549">
            <w:pPr>
              <w:spacing w:after="0" w:line="276" w:lineRule="auto"/>
              <w:ind w:firstLineChars="100" w:firstLine="220"/>
              <w:rPr>
                <w:rFonts w:eastAsia="Times New Roman" w:cs="Times New Roman"/>
                <w:color w:val="000000"/>
                <w:sz w:val="22"/>
                <w:szCs w:val="32"/>
                <w:lang w:eastAsia="pt-PT"/>
              </w:rPr>
            </w:pPr>
            <w:r w:rsidRPr="00A32816">
              <w:rPr>
                <w:rFonts w:eastAsia="Times New Roman" w:cs="Times New Roman"/>
                <w:color w:val="000000"/>
                <w:sz w:val="22"/>
                <w:szCs w:val="32"/>
                <w:lang w:eastAsia="pt-PT"/>
              </w:rPr>
              <w:t>Açores</w:t>
            </w:r>
          </w:p>
        </w:tc>
        <w:tc>
          <w:tcPr>
            <w:tcW w:w="960" w:type="dxa"/>
            <w:tcBorders>
              <w:top w:val="nil"/>
              <w:left w:val="nil"/>
              <w:bottom w:val="nil"/>
              <w:right w:val="nil"/>
            </w:tcBorders>
            <w:shd w:val="clear" w:color="auto" w:fill="auto"/>
            <w:noWrap/>
            <w:vAlign w:val="bottom"/>
            <w:hideMark/>
          </w:tcPr>
          <w:p w14:paraId="0C6C0958"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27,4</w:t>
            </w:r>
          </w:p>
        </w:tc>
        <w:tc>
          <w:tcPr>
            <w:tcW w:w="960" w:type="dxa"/>
            <w:tcBorders>
              <w:top w:val="nil"/>
              <w:left w:val="nil"/>
              <w:bottom w:val="nil"/>
              <w:right w:val="nil"/>
            </w:tcBorders>
            <w:shd w:val="clear" w:color="auto" w:fill="auto"/>
            <w:noWrap/>
            <w:vAlign w:val="bottom"/>
            <w:hideMark/>
          </w:tcPr>
          <w:p w14:paraId="27AF3F73"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27,9</w:t>
            </w:r>
          </w:p>
        </w:tc>
        <w:tc>
          <w:tcPr>
            <w:tcW w:w="960" w:type="dxa"/>
            <w:tcBorders>
              <w:top w:val="nil"/>
              <w:left w:val="nil"/>
              <w:bottom w:val="nil"/>
              <w:right w:val="nil"/>
            </w:tcBorders>
            <w:shd w:val="clear" w:color="auto" w:fill="auto"/>
            <w:noWrap/>
            <w:vAlign w:val="bottom"/>
            <w:hideMark/>
          </w:tcPr>
          <w:p w14:paraId="0921E763"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37,9</w:t>
            </w:r>
          </w:p>
        </w:tc>
        <w:tc>
          <w:tcPr>
            <w:tcW w:w="960" w:type="dxa"/>
            <w:tcBorders>
              <w:top w:val="nil"/>
              <w:left w:val="nil"/>
              <w:bottom w:val="nil"/>
              <w:right w:val="nil"/>
            </w:tcBorders>
            <w:shd w:val="clear" w:color="auto" w:fill="auto"/>
            <w:noWrap/>
            <w:vAlign w:val="bottom"/>
            <w:hideMark/>
          </w:tcPr>
          <w:p w14:paraId="74B674D0"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53,5</w:t>
            </w:r>
          </w:p>
        </w:tc>
        <w:tc>
          <w:tcPr>
            <w:tcW w:w="960" w:type="dxa"/>
            <w:tcBorders>
              <w:top w:val="nil"/>
              <w:left w:val="nil"/>
              <w:bottom w:val="nil"/>
              <w:right w:val="nil"/>
            </w:tcBorders>
            <w:shd w:val="clear" w:color="auto" w:fill="auto"/>
            <w:noWrap/>
            <w:vAlign w:val="bottom"/>
            <w:hideMark/>
          </w:tcPr>
          <w:p w14:paraId="16AC4414"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44,1</w:t>
            </w:r>
          </w:p>
        </w:tc>
        <w:tc>
          <w:tcPr>
            <w:tcW w:w="1352" w:type="dxa"/>
            <w:tcBorders>
              <w:top w:val="nil"/>
              <w:left w:val="nil"/>
              <w:bottom w:val="nil"/>
              <w:right w:val="nil"/>
            </w:tcBorders>
            <w:shd w:val="clear" w:color="auto" w:fill="auto"/>
            <w:noWrap/>
            <w:vAlign w:val="bottom"/>
            <w:hideMark/>
          </w:tcPr>
          <w:p w14:paraId="69BC781F"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38,0</w:t>
            </w:r>
          </w:p>
        </w:tc>
      </w:tr>
      <w:tr w:rsidR="005A6604" w:rsidRPr="00A32816" w14:paraId="6D0D5DE6" w14:textId="77777777" w:rsidTr="005A6604">
        <w:trPr>
          <w:trHeight w:val="300"/>
          <w:jc w:val="center"/>
        </w:trPr>
        <w:tc>
          <w:tcPr>
            <w:tcW w:w="1660" w:type="dxa"/>
            <w:tcBorders>
              <w:top w:val="nil"/>
              <w:left w:val="nil"/>
              <w:bottom w:val="nil"/>
              <w:right w:val="nil"/>
            </w:tcBorders>
            <w:shd w:val="clear" w:color="auto" w:fill="auto"/>
            <w:noWrap/>
            <w:vAlign w:val="bottom"/>
            <w:hideMark/>
          </w:tcPr>
          <w:p w14:paraId="402D74B0" w14:textId="77777777" w:rsidR="005A6604" w:rsidRPr="00A32816" w:rsidRDefault="005A6604" w:rsidP="000E2549">
            <w:pPr>
              <w:spacing w:after="0" w:line="276" w:lineRule="auto"/>
              <w:ind w:firstLineChars="100" w:firstLine="220"/>
              <w:rPr>
                <w:rFonts w:eastAsia="Times New Roman" w:cs="Times New Roman"/>
                <w:color w:val="000000"/>
                <w:sz w:val="22"/>
                <w:szCs w:val="32"/>
                <w:lang w:eastAsia="pt-PT"/>
              </w:rPr>
            </w:pPr>
            <w:r w:rsidRPr="00A32816">
              <w:rPr>
                <w:rFonts w:eastAsia="Times New Roman" w:cs="Times New Roman"/>
                <w:color w:val="000000"/>
                <w:sz w:val="22"/>
                <w:szCs w:val="32"/>
                <w:lang w:eastAsia="pt-PT"/>
              </w:rPr>
              <w:t>Alentejo</w:t>
            </w:r>
          </w:p>
        </w:tc>
        <w:tc>
          <w:tcPr>
            <w:tcW w:w="960" w:type="dxa"/>
            <w:tcBorders>
              <w:top w:val="nil"/>
              <w:left w:val="nil"/>
              <w:bottom w:val="nil"/>
              <w:right w:val="nil"/>
            </w:tcBorders>
            <w:shd w:val="clear" w:color="auto" w:fill="auto"/>
            <w:noWrap/>
            <w:vAlign w:val="bottom"/>
            <w:hideMark/>
          </w:tcPr>
          <w:p w14:paraId="2AE25C6E"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33,2</w:t>
            </w:r>
          </w:p>
        </w:tc>
        <w:tc>
          <w:tcPr>
            <w:tcW w:w="960" w:type="dxa"/>
            <w:tcBorders>
              <w:top w:val="nil"/>
              <w:left w:val="nil"/>
              <w:bottom w:val="nil"/>
              <w:right w:val="nil"/>
            </w:tcBorders>
            <w:shd w:val="clear" w:color="auto" w:fill="auto"/>
            <w:noWrap/>
            <w:vAlign w:val="bottom"/>
            <w:hideMark/>
          </w:tcPr>
          <w:p w14:paraId="4900AF4B"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32,9</w:t>
            </w:r>
          </w:p>
        </w:tc>
        <w:tc>
          <w:tcPr>
            <w:tcW w:w="960" w:type="dxa"/>
            <w:tcBorders>
              <w:top w:val="nil"/>
              <w:left w:val="nil"/>
              <w:bottom w:val="nil"/>
              <w:right w:val="nil"/>
            </w:tcBorders>
            <w:shd w:val="clear" w:color="auto" w:fill="auto"/>
            <w:noWrap/>
            <w:vAlign w:val="bottom"/>
            <w:hideMark/>
          </w:tcPr>
          <w:p w14:paraId="3A51A717"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41,1</w:t>
            </w:r>
          </w:p>
        </w:tc>
        <w:tc>
          <w:tcPr>
            <w:tcW w:w="960" w:type="dxa"/>
            <w:tcBorders>
              <w:top w:val="nil"/>
              <w:left w:val="nil"/>
              <w:bottom w:val="nil"/>
              <w:right w:val="nil"/>
            </w:tcBorders>
            <w:shd w:val="clear" w:color="auto" w:fill="auto"/>
            <w:noWrap/>
            <w:vAlign w:val="bottom"/>
            <w:hideMark/>
          </w:tcPr>
          <w:p w14:paraId="6983E4D6"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48,2</w:t>
            </w:r>
          </w:p>
        </w:tc>
        <w:tc>
          <w:tcPr>
            <w:tcW w:w="960" w:type="dxa"/>
            <w:tcBorders>
              <w:top w:val="nil"/>
              <w:left w:val="nil"/>
              <w:bottom w:val="nil"/>
              <w:right w:val="nil"/>
            </w:tcBorders>
            <w:shd w:val="clear" w:color="auto" w:fill="auto"/>
            <w:noWrap/>
            <w:vAlign w:val="bottom"/>
            <w:hideMark/>
          </w:tcPr>
          <w:p w14:paraId="03EECA86"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47,4</w:t>
            </w:r>
          </w:p>
        </w:tc>
        <w:tc>
          <w:tcPr>
            <w:tcW w:w="1352" w:type="dxa"/>
            <w:tcBorders>
              <w:top w:val="nil"/>
              <w:left w:val="nil"/>
              <w:bottom w:val="nil"/>
              <w:right w:val="nil"/>
            </w:tcBorders>
            <w:shd w:val="clear" w:color="auto" w:fill="auto"/>
            <w:noWrap/>
            <w:vAlign w:val="bottom"/>
            <w:hideMark/>
          </w:tcPr>
          <w:p w14:paraId="7ADC35EA"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40,6</w:t>
            </w:r>
          </w:p>
        </w:tc>
      </w:tr>
      <w:tr w:rsidR="005A6604" w:rsidRPr="00A32816" w14:paraId="7E4F7DEC" w14:textId="77777777" w:rsidTr="005A6604">
        <w:trPr>
          <w:trHeight w:val="300"/>
          <w:jc w:val="center"/>
        </w:trPr>
        <w:tc>
          <w:tcPr>
            <w:tcW w:w="1660" w:type="dxa"/>
            <w:tcBorders>
              <w:top w:val="nil"/>
              <w:left w:val="nil"/>
              <w:bottom w:val="nil"/>
              <w:right w:val="nil"/>
            </w:tcBorders>
            <w:shd w:val="clear" w:color="auto" w:fill="auto"/>
            <w:noWrap/>
            <w:vAlign w:val="bottom"/>
            <w:hideMark/>
          </w:tcPr>
          <w:p w14:paraId="34D81F31" w14:textId="77777777" w:rsidR="005A6604" w:rsidRPr="00A32816" w:rsidRDefault="005A6604" w:rsidP="000E2549">
            <w:pPr>
              <w:spacing w:after="0" w:line="276" w:lineRule="auto"/>
              <w:ind w:firstLineChars="100" w:firstLine="220"/>
              <w:rPr>
                <w:rFonts w:eastAsia="Times New Roman" w:cs="Times New Roman"/>
                <w:color w:val="000000"/>
                <w:sz w:val="22"/>
                <w:szCs w:val="32"/>
                <w:lang w:eastAsia="pt-PT"/>
              </w:rPr>
            </w:pPr>
            <w:r w:rsidRPr="00A32816">
              <w:rPr>
                <w:rFonts w:eastAsia="Times New Roman" w:cs="Times New Roman"/>
                <w:color w:val="000000"/>
                <w:sz w:val="22"/>
                <w:szCs w:val="32"/>
                <w:lang w:eastAsia="pt-PT"/>
              </w:rPr>
              <w:t>Algarve</w:t>
            </w:r>
          </w:p>
        </w:tc>
        <w:tc>
          <w:tcPr>
            <w:tcW w:w="960" w:type="dxa"/>
            <w:tcBorders>
              <w:top w:val="nil"/>
              <w:left w:val="nil"/>
              <w:bottom w:val="nil"/>
              <w:right w:val="nil"/>
            </w:tcBorders>
            <w:shd w:val="clear" w:color="auto" w:fill="auto"/>
            <w:noWrap/>
            <w:vAlign w:val="bottom"/>
            <w:hideMark/>
          </w:tcPr>
          <w:p w14:paraId="62315E29"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32,0</w:t>
            </w:r>
          </w:p>
        </w:tc>
        <w:tc>
          <w:tcPr>
            <w:tcW w:w="960" w:type="dxa"/>
            <w:tcBorders>
              <w:top w:val="nil"/>
              <w:left w:val="nil"/>
              <w:bottom w:val="nil"/>
              <w:right w:val="nil"/>
            </w:tcBorders>
            <w:shd w:val="clear" w:color="auto" w:fill="auto"/>
            <w:noWrap/>
            <w:vAlign w:val="bottom"/>
            <w:hideMark/>
          </w:tcPr>
          <w:p w14:paraId="1AF6300D"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35,8</w:t>
            </w:r>
          </w:p>
        </w:tc>
        <w:tc>
          <w:tcPr>
            <w:tcW w:w="960" w:type="dxa"/>
            <w:tcBorders>
              <w:top w:val="nil"/>
              <w:left w:val="nil"/>
              <w:bottom w:val="nil"/>
              <w:right w:val="nil"/>
            </w:tcBorders>
            <w:shd w:val="clear" w:color="auto" w:fill="auto"/>
            <w:noWrap/>
            <w:vAlign w:val="bottom"/>
            <w:hideMark/>
          </w:tcPr>
          <w:p w14:paraId="719E1E70"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52,7</w:t>
            </w:r>
          </w:p>
        </w:tc>
        <w:tc>
          <w:tcPr>
            <w:tcW w:w="960" w:type="dxa"/>
            <w:tcBorders>
              <w:top w:val="nil"/>
              <w:left w:val="nil"/>
              <w:bottom w:val="nil"/>
              <w:right w:val="nil"/>
            </w:tcBorders>
            <w:shd w:val="clear" w:color="auto" w:fill="auto"/>
            <w:noWrap/>
            <w:vAlign w:val="bottom"/>
            <w:hideMark/>
          </w:tcPr>
          <w:p w14:paraId="5A02A5F9"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65,3</w:t>
            </w:r>
          </w:p>
        </w:tc>
        <w:tc>
          <w:tcPr>
            <w:tcW w:w="960" w:type="dxa"/>
            <w:tcBorders>
              <w:top w:val="nil"/>
              <w:left w:val="nil"/>
              <w:bottom w:val="nil"/>
              <w:right w:val="nil"/>
            </w:tcBorders>
            <w:shd w:val="clear" w:color="auto" w:fill="auto"/>
            <w:noWrap/>
            <w:vAlign w:val="bottom"/>
            <w:hideMark/>
          </w:tcPr>
          <w:p w14:paraId="32A621E4"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61,7</w:t>
            </w:r>
          </w:p>
        </w:tc>
        <w:tc>
          <w:tcPr>
            <w:tcW w:w="1352" w:type="dxa"/>
            <w:tcBorders>
              <w:top w:val="nil"/>
              <w:left w:val="nil"/>
              <w:bottom w:val="nil"/>
              <w:right w:val="nil"/>
            </w:tcBorders>
            <w:shd w:val="clear" w:color="auto" w:fill="auto"/>
            <w:noWrap/>
            <w:vAlign w:val="bottom"/>
            <w:hideMark/>
          </w:tcPr>
          <w:p w14:paraId="2A6EF8E7"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49,3</w:t>
            </w:r>
          </w:p>
        </w:tc>
      </w:tr>
      <w:tr w:rsidR="005A6604" w:rsidRPr="00A32816" w14:paraId="54C089C0" w14:textId="77777777" w:rsidTr="005A6604">
        <w:trPr>
          <w:trHeight w:val="300"/>
          <w:jc w:val="center"/>
        </w:trPr>
        <w:tc>
          <w:tcPr>
            <w:tcW w:w="1660" w:type="dxa"/>
            <w:tcBorders>
              <w:top w:val="nil"/>
              <w:left w:val="nil"/>
              <w:bottom w:val="nil"/>
              <w:right w:val="nil"/>
            </w:tcBorders>
            <w:shd w:val="clear" w:color="auto" w:fill="auto"/>
            <w:noWrap/>
            <w:vAlign w:val="bottom"/>
            <w:hideMark/>
          </w:tcPr>
          <w:p w14:paraId="4A9EB5ED" w14:textId="77777777" w:rsidR="005A6604" w:rsidRPr="00A32816" w:rsidRDefault="005A6604" w:rsidP="000E2549">
            <w:pPr>
              <w:spacing w:after="0" w:line="276" w:lineRule="auto"/>
              <w:ind w:firstLineChars="100" w:firstLine="220"/>
              <w:rPr>
                <w:rFonts w:eastAsia="Times New Roman" w:cs="Times New Roman"/>
                <w:color w:val="000000"/>
                <w:sz w:val="22"/>
                <w:szCs w:val="32"/>
                <w:lang w:eastAsia="pt-PT"/>
              </w:rPr>
            </w:pPr>
            <w:r w:rsidRPr="00A32816">
              <w:rPr>
                <w:rFonts w:eastAsia="Times New Roman" w:cs="Times New Roman"/>
                <w:color w:val="000000"/>
                <w:sz w:val="22"/>
                <w:szCs w:val="32"/>
                <w:lang w:eastAsia="pt-PT"/>
              </w:rPr>
              <w:t>Centro</w:t>
            </w:r>
          </w:p>
        </w:tc>
        <w:tc>
          <w:tcPr>
            <w:tcW w:w="960" w:type="dxa"/>
            <w:tcBorders>
              <w:top w:val="nil"/>
              <w:left w:val="nil"/>
              <w:bottom w:val="nil"/>
              <w:right w:val="nil"/>
            </w:tcBorders>
            <w:shd w:val="clear" w:color="auto" w:fill="auto"/>
            <w:noWrap/>
            <w:vAlign w:val="bottom"/>
            <w:hideMark/>
          </w:tcPr>
          <w:p w14:paraId="45B63437"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33,5</w:t>
            </w:r>
          </w:p>
        </w:tc>
        <w:tc>
          <w:tcPr>
            <w:tcW w:w="960" w:type="dxa"/>
            <w:tcBorders>
              <w:top w:val="nil"/>
              <w:left w:val="nil"/>
              <w:bottom w:val="nil"/>
              <w:right w:val="nil"/>
            </w:tcBorders>
            <w:shd w:val="clear" w:color="auto" w:fill="auto"/>
            <w:noWrap/>
            <w:vAlign w:val="bottom"/>
            <w:hideMark/>
          </w:tcPr>
          <w:p w14:paraId="79FE0A21"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35,2</w:t>
            </w:r>
          </w:p>
        </w:tc>
        <w:tc>
          <w:tcPr>
            <w:tcW w:w="960" w:type="dxa"/>
            <w:tcBorders>
              <w:top w:val="nil"/>
              <w:left w:val="nil"/>
              <w:bottom w:val="nil"/>
              <w:right w:val="nil"/>
            </w:tcBorders>
            <w:shd w:val="clear" w:color="auto" w:fill="auto"/>
            <w:noWrap/>
            <w:vAlign w:val="bottom"/>
            <w:hideMark/>
          </w:tcPr>
          <w:p w14:paraId="21D78043"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46,3</w:t>
            </w:r>
          </w:p>
        </w:tc>
        <w:tc>
          <w:tcPr>
            <w:tcW w:w="960" w:type="dxa"/>
            <w:tcBorders>
              <w:top w:val="nil"/>
              <w:left w:val="nil"/>
              <w:bottom w:val="nil"/>
              <w:right w:val="nil"/>
            </w:tcBorders>
            <w:shd w:val="clear" w:color="auto" w:fill="auto"/>
            <w:noWrap/>
            <w:vAlign w:val="bottom"/>
            <w:hideMark/>
          </w:tcPr>
          <w:p w14:paraId="63604FF2"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53,2</w:t>
            </w:r>
          </w:p>
        </w:tc>
        <w:tc>
          <w:tcPr>
            <w:tcW w:w="960" w:type="dxa"/>
            <w:tcBorders>
              <w:top w:val="nil"/>
              <w:left w:val="nil"/>
              <w:bottom w:val="nil"/>
              <w:right w:val="nil"/>
            </w:tcBorders>
            <w:shd w:val="clear" w:color="auto" w:fill="auto"/>
            <w:noWrap/>
            <w:vAlign w:val="bottom"/>
            <w:hideMark/>
          </w:tcPr>
          <w:p w14:paraId="00E7ED4E"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51,9</w:t>
            </w:r>
          </w:p>
        </w:tc>
        <w:tc>
          <w:tcPr>
            <w:tcW w:w="1352" w:type="dxa"/>
            <w:tcBorders>
              <w:top w:val="nil"/>
              <w:left w:val="nil"/>
              <w:bottom w:val="nil"/>
              <w:right w:val="nil"/>
            </w:tcBorders>
            <w:shd w:val="clear" w:color="auto" w:fill="auto"/>
            <w:noWrap/>
            <w:vAlign w:val="bottom"/>
            <w:hideMark/>
          </w:tcPr>
          <w:p w14:paraId="5C877C83"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44,0</w:t>
            </w:r>
          </w:p>
        </w:tc>
      </w:tr>
      <w:tr w:rsidR="005A6604" w:rsidRPr="00A32816" w14:paraId="3019A8C7" w14:textId="77777777" w:rsidTr="005A6604">
        <w:trPr>
          <w:trHeight w:val="300"/>
          <w:jc w:val="center"/>
        </w:trPr>
        <w:tc>
          <w:tcPr>
            <w:tcW w:w="1660" w:type="dxa"/>
            <w:tcBorders>
              <w:top w:val="nil"/>
              <w:left w:val="nil"/>
              <w:bottom w:val="nil"/>
              <w:right w:val="nil"/>
            </w:tcBorders>
            <w:shd w:val="clear" w:color="auto" w:fill="auto"/>
            <w:noWrap/>
            <w:vAlign w:val="bottom"/>
            <w:hideMark/>
          </w:tcPr>
          <w:p w14:paraId="79718016" w14:textId="77777777" w:rsidR="005A6604" w:rsidRPr="00A32816" w:rsidRDefault="005A6604" w:rsidP="000E2549">
            <w:pPr>
              <w:spacing w:after="0" w:line="276" w:lineRule="auto"/>
              <w:ind w:firstLineChars="100" w:firstLine="220"/>
              <w:rPr>
                <w:rFonts w:eastAsia="Times New Roman" w:cs="Times New Roman"/>
                <w:color w:val="000000"/>
                <w:sz w:val="22"/>
                <w:szCs w:val="32"/>
                <w:lang w:eastAsia="pt-PT"/>
              </w:rPr>
            </w:pPr>
            <w:r w:rsidRPr="00A32816">
              <w:rPr>
                <w:rFonts w:eastAsia="Times New Roman" w:cs="Times New Roman"/>
                <w:color w:val="000000"/>
                <w:sz w:val="22"/>
                <w:szCs w:val="32"/>
                <w:lang w:eastAsia="pt-PT"/>
              </w:rPr>
              <w:t>Lisboa</w:t>
            </w:r>
          </w:p>
        </w:tc>
        <w:tc>
          <w:tcPr>
            <w:tcW w:w="960" w:type="dxa"/>
            <w:tcBorders>
              <w:top w:val="nil"/>
              <w:left w:val="nil"/>
              <w:bottom w:val="nil"/>
              <w:right w:val="nil"/>
            </w:tcBorders>
            <w:shd w:val="clear" w:color="auto" w:fill="auto"/>
            <w:noWrap/>
            <w:vAlign w:val="bottom"/>
            <w:hideMark/>
          </w:tcPr>
          <w:p w14:paraId="124BB711"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39,6</w:t>
            </w:r>
          </w:p>
        </w:tc>
        <w:tc>
          <w:tcPr>
            <w:tcW w:w="960" w:type="dxa"/>
            <w:tcBorders>
              <w:top w:val="nil"/>
              <w:left w:val="nil"/>
              <w:bottom w:val="nil"/>
              <w:right w:val="nil"/>
            </w:tcBorders>
            <w:shd w:val="clear" w:color="auto" w:fill="auto"/>
            <w:noWrap/>
            <w:vAlign w:val="bottom"/>
            <w:hideMark/>
          </w:tcPr>
          <w:p w14:paraId="7DBAD061"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41,0</w:t>
            </w:r>
          </w:p>
        </w:tc>
        <w:tc>
          <w:tcPr>
            <w:tcW w:w="960" w:type="dxa"/>
            <w:tcBorders>
              <w:top w:val="nil"/>
              <w:left w:val="nil"/>
              <w:bottom w:val="nil"/>
              <w:right w:val="nil"/>
            </w:tcBorders>
            <w:shd w:val="clear" w:color="auto" w:fill="auto"/>
            <w:noWrap/>
            <w:vAlign w:val="bottom"/>
            <w:hideMark/>
          </w:tcPr>
          <w:p w14:paraId="02D904D7"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44,0</w:t>
            </w:r>
          </w:p>
        </w:tc>
        <w:tc>
          <w:tcPr>
            <w:tcW w:w="960" w:type="dxa"/>
            <w:tcBorders>
              <w:top w:val="nil"/>
              <w:left w:val="nil"/>
              <w:bottom w:val="nil"/>
              <w:right w:val="nil"/>
            </w:tcBorders>
            <w:shd w:val="clear" w:color="auto" w:fill="auto"/>
            <w:noWrap/>
            <w:vAlign w:val="bottom"/>
            <w:hideMark/>
          </w:tcPr>
          <w:p w14:paraId="5A9B5949"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49,0</w:t>
            </w:r>
          </w:p>
        </w:tc>
        <w:tc>
          <w:tcPr>
            <w:tcW w:w="960" w:type="dxa"/>
            <w:tcBorders>
              <w:top w:val="nil"/>
              <w:left w:val="nil"/>
              <w:bottom w:val="nil"/>
              <w:right w:val="nil"/>
            </w:tcBorders>
            <w:shd w:val="clear" w:color="auto" w:fill="auto"/>
            <w:noWrap/>
            <w:vAlign w:val="bottom"/>
            <w:hideMark/>
          </w:tcPr>
          <w:p w14:paraId="14BD33AB"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47,1</w:t>
            </w:r>
          </w:p>
        </w:tc>
        <w:tc>
          <w:tcPr>
            <w:tcW w:w="1352" w:type="dxa"/>
            <w:tcBorders>
              <w:top w:val="nil"/>
              <w:left w:val="nil"/>
              <w:bottom w:val="nil"/>
              <w:right w:val="nil"/>
            </w:tcBorders>
            <w:shd w:val="clear" w:color="auto" w:fill="auto"/>
            <w:noWrap/>
            <w:vAlign w:val="bottom"/>
            <w:hideMark/>
          </w:tcPr>
          <w:p w14:paraId="3973F20D"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44,1</w:t>
            </w:r>
          </w:p>
        </w:tc>
      </w:tr>
      <w:tr w:rsidR="005A6604" w:rsidRPr="00A32816" w14:paraId="458AEA30" w14:textId="77777777" w:rsidTr="005A6604">
        <w:trPr>
          <w:trHeight w:val="300"/>
          <w:jc w:val="center"/>
        </w:trPr>
        <w:tc>
          <w:tcPr>
            <w:tcW w:w="1660" w:type="dxa"/>
            <w:tcBorders>
              <w:top w:val="nil"/>
              <w:left w:val="nil"/>
              <w:bottom w:val="nil"/>
              <w:right w:val="nil"/>
            </w:tcBorders>
            <w:shd w:val="clear" w:color="auto" w:fill="auto"/>
            <w:noWrap/>
            <w:vAlign w:val="bottom"/>
            <w:hideMark/>
          </w:tcPr>
          <w:p w14:paraId="636C9BC7" w14:textId="77777777" w:rsidR="005A6604" w:rsidRPr="00A32816" w:rsidRDefault="005A6604" w:rsidP="000E2549">
            <w:pPr>
              <w:spacing w:after="0" w:line="276" w:lineRule="auto"/>
              <w:ind w:firstLineChars="100" w:firstLine="220"/>
              <w:rPr>
                <w:rFonts w:eastAsia="Times New Roman" w:cs="Times New Roman"/>
                <w:color w:val="000000"/>
                <w:sz w:val="22"/>
                <w:szCs w:val="32"/>
                <w:lang w:eastAsia="pt-PT"/>
              </w:rPr>
            </w:pPr>
            <w:r w:rsidRPr="00A32816">
              <w:rPr>
                <w:rFonts w:eastAsia="Times New Roman" w:cs="Times New Roman"/>
                <w:color w:val="000000"/>
                <w:sz w:val="22"/>
                <w:szCs w:val="32"/>
                <w:lang w:eastAsia="pt-PT"/>
              </w:rPr>
              <w:t>Madeira</w:t>
            </w:r>
          </w:p>
        </w:tc>
        <w:tc>
          <w:tcPr>
            <w:tcW w:w="960" w:type="dxa"/>
            <w:tcBorders>
              <w:top w:val="nil"/>
              <w:left w:val="nil"/>
              <w:bottom w:val="nil"/>
              <w:right w:val="nil"/>
            </w:tcBorders>
            <w:shd w:val="clear" w:color="auto" w:fill="auto"/>
            <w:noWrap/>
            <w:vAlign w:val="bottom"/>
            <w:hideMark/>
          </w:tcPr>
          <w:p w14:paraId="58A1180E"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23,5</w:t>
            </w:r>
          </w:p>
        </w:tc>
        <w:tc>
          <w:tcPr>
            <w:tcW w:w="960" w:type="dxa"/>
            <w:tcBorders>
              <w:top w:val="nil"/>
              <w:left w:val="nil"/>
              <w:bottom w:val="nil"/>
              <w:right w:val="nil"/>
            </w:tcBorders>
            <w:shd w:val="clear" w:color="auto" w:fill="auto"/>
            <w:noWrap/>
            <w:vAlign w:val="bottom"/>
            <w:hideMark/>
          </w:tcPr>
          <w:p w14:paraId="3724A71B"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20,5</w:t>
            </w:r>
          </w:p>
        </w:tc>
        <w:tc>
          <w:tcPr>
            <w:tcW w:w="960" w:type="dxa"/>
            <w:tcBorders>
              <w:top w:val="nil"/>
              <w:left w:val="nil"/>
              <w:bottom w:val="nil"/>
              <w:right w:val="nil"/>
            </w:tcBorders>
            <w:shd w:val="clear" w:color="auto" w:fill="auto"/>
            <w:noWrap/>
            <w:vAlign w:val="bottom"/>
            <w:hideMark/>
          </w:tcPr>
          <w:p w14:paraId="142B7E5E"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29,0</w:t>
            </w:r>
          </w:p>
        </w:tc>
        <w:tc>
          <w:tcPr>
            <w:tcW w:w="960" w:type="dxa"/>
            <w:tcBorders>
              <w:top w:val="nil"/>
              <w:left w:val="nil"/>
              <w:bottom w:val="nil"/>
              <w:right w:val="nil"/>
            </w:tcBorders>
            <w:shd w:val="clear" w:color="auto" w:fill="auto"/>
            <w:noWrap/>
            <w:vAlign w:val="bottom"/>
            <w:hideMark/>
          </w:tcPr>
          <w:p w14:paraId="639BA188"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30,0</w:t>
            </w:r>
          </w:p>
        </w:tc>
        <w:tc>
          <w:tcPr>
            <w:tcW w:w="960" w:type="dxa"/>
            <w:tcBorders>
              <w:top w:val="nil"/>
              <w:left w:val="nil"/>
              <w:bottom w:val="nil"/>
              <w:right w:val="nil"/>
            </w:tcBorders>
            <w:shd w:val="clear" w:color="auto" w:fill="auto"/>
            <w:noWrap/>
            <w:vAlign w:val="bottom"/>
            <w:hideMark/>
          </w:tcPr>
          <w:p w14:paraId="6490BFE3"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38,9</w:t>
            </w:r>
          </w:p>
        </w:tc>
        <w:tc>
          <w:tcPr>
            <w:tcW w:w="1352" w:type="dxa"/>
            <w:tcBorders>
              <w:top w:val="nil"/>
              <w:left w:val="nil"/>
              <w:bottom w:val="nil"/>
              <w:right w:val="nil"/>
            </w:tcBorders>
            <w:shd w:val="clear" w:color="auto" w:fill="auto"/>
            <w:noWrap/>
            <w:vAlign w:val="bottom"/>
            <w:hideMark/>
          </w:tcPr>
          <w:p w14:paraId="201E4D5F"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28,7</w:t>
            </w:r>
          </w:p>
        </w:tc>
      </w:tr>
      <w:tr w:rsidR="005A6604" w:rsidRPr="00A32816" w14:paraId="50266335" w14:textId="77777777" w:rsidTr="005A6604">
        <w:trPr>
          <w:trHeight w:val="300"/>
          <w:jc w:val="center"/>
        </w:trPr>
        <w:tc>
          <w:tcPr>
            <w:tcW w:w="1660" w:type="dxa"/>
            <w:tcBorders>
              <w:top w:val="nil"/>
              <w:left w:val="nil"/>
              <w:bottom w:val="double" w:sz="4" w:space="0" w:color="auto"/>
              <w:right w:val="nil"/>
            </w:tcBorders>
            <w:shd w:val="clear" w:color="auto" w:fill="auto"/>
            <w:noWrap/>
            <w:vAlign w:val="bottom"/>
            <w:hideMark/>
          </w:tcPr>
          <w:p w14:paraId="7D470182" w14:textId="77777777" w:rsidR="005A6604" w:rsidRPr="00A32816" w:rsidRDefault="005A6604" w:rsidP="000E2549">
            <w:pPr>
              <w:spacing w:after="0" w:line="276" w:lineRule="auto"/>
              <w:ind w:firstLineChars="100" w:firstLine="220"/>
              <w:rPr>
                <w:rFonts w:eastAsia="Times New Roman" w:cs="Times New Roman"/>
                <w:color w:val="000000"/>
                <w:sz w:val="22"/>
                <w:szCs w:val="32"/>
                <w:lang w:eastAsia="pt-PT"/>
              </w:rPr>
            </w:pPr>
            <w:r w:rsidRPr="00A32816">
              <w:rPr>
                <w:rFonts w:eastAsia="Times New Roman" w:cs="Times New Roman"/>
                <w:color w:val="000000"/>
                <w:sz w:val="22"/>
                <w:szCs w:val="32"/>
                <w:lang w:eastAsia="pt-PT"/>
              </w:rPr>
              <w:t>Norte</w:t>
            </w:r>
          </w:p>
        </w:tc>
        <w:tc>
          <w:tcPr>
            <w:tcW w:w="960" w:type="dxa"/>
            <w:tcBorders>
              <w:top w:val="nil"/>
              <w:left w:val="nil"/>
              <w:bottom w:val="double" w:sz="4" w:space="0" w:color="auto"/>
              <w:right w:val="nil"/>
            </w:tcBorders>
            <w:shd w:val="clear" w:color="auto" w:fill="auto"/>
            <w:noWrap/>
            <w:vAlign w:val="bottom"/>
            <w:hideMark/>
          </w:tcPr>
          <w:p w14:paraId="2811E2C5"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31,3</w:t>
            </w:r>
          </w:p>
        </w:tc>
        <w:tc>
          <w:tcPr>
            <w:tcW w:w="960" w:type="dxa"/>
            <w:tcBorders>
              <w:top w:val="nil"/>
              <w:left w:val="nil"/>
              <w:bottom w:val="double" w:sz="4" w:space="0" w:color="auto"/>
              <w:right w:val="nil"/>
            </w:tcBorders>
            <w:shd w:val="clear" w:color="auto" w:fill="auto"/>
            <w:noWrap/>
            <w:vAlign w:val="bottom"/>
            <w:hideMark/>
          </w:tcPr>
          <w:p w14:paraId="513573DC"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33,6</w:t>
            </w:r>
          </w:p>
        </w:tc>
        <w:tc>
          <w:tcPr>
            <w:tcW w:w="960" w:type="dxa"/>
            <w:tcBorders>
              <w:top w:val="nil"/>
              <w:left w:val="nil"/>
              <w:bottom w:val="double" w:sz="4" w:space="0" w:color="auto"/>
              <w:right w:val="nil"/>
            </w:tcBorders>
            <w:shd w:val="clear" w:color="auto" w:fill="auto"/>
            <w:noWrap/>
            <w:vAlign w:val="bottom"/>
            <w:hideMark/>
          </w:tcPr>
          <w:p w14:paraId="0AAAA607"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51,0</w:t>
            </w:r>
          </w:p>
        </w:tc>
        <w:tc>
          <w:tcPr>
            <w:tcW w:w="960" w:type="dxa"/>
            <w:tcBorders>
              <w:top w:val="nil"/>
              <w:left w:val="nil"/>
              <w:bottom w:val="double" w:sz="4" w:space="0" w:color="auto"/>
              <w:right w:val="nil"/>
            </w:tcBorders>
            <w:shd w:val="clear" w:color="auto" w:fill="auto"/>
            <w:noWrap/>
            <w:vAlign w:val="bottom"/>
            <w:hideMark/>
          </w:tcPr>
          <w:p w14:paraId="4FB00B9F"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62,3</w:t>
            </w:r>
          </w:p>
        </w:tc>
        <w:tc>
          <w:tcPr>
            <w:tcW w:w="960" w:type="dxa"/>
            <w:tcBorders>
              <w:top w:val="nil"/>
              <w:left w:val="nil"/>
              <w:bottom w:val="double" w:sz="4" w:space="0" w:color="auto"/>
              <w:right w:val="nil"/>
            </w:tcBorders>
            <w:shd w:val="clear" w:color="auto" w:fill="auto"/>
            <w:noWrap/>
            <w:vAlign w:val="bottom"/>
            <w:hideMark/>
          </w:tcPr>
          <w:p w14:paraId="2FBAABA1"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55,1</w:t>
            </w:r>
          </w:p>
        </w:tc>
        <w:tc>
          <w:tcPr>
            <w:tcW w:w="1352" w:type="dxa"/>
            <w:tcBorders>
              <w:top w:val="nil"/>
              <w:left w:val="nil"/>
              <w:bottom w:val="double" w:sz="4" w:space="0" w:color="auto"/>
              <w:right w:val="nil"/>
            </w:tcBorders>
            <w:shd w:val="clear" w:color="auto" w:fill="auto"/>
            <w:noWrap/>
            <w:vAlign w:val="bottom"/>
            <w:hideMark/>
          </w:tcPr>
          <w:p w14:paraId="2757034D" w14:textId="77777777" w:rsidR="005A6604" w:rsidRPr="00A32816" w:rsidRDefault="005A6604" w:rsidP="000E2549">
            <w:pPr>
              <w:spacing w:after="0" w:line="276" w:lineRule="auto"/>
              <w:jc w:val="right"/>
              <w:rPr>
                <w:rFonts w:eastAsia="Times New Roman" w:cs="Times New Roman"/>
                <w:color w:val="000000"/>
                <w:sz w:val="22"/>
                <w:szCs w:val="32"/>
                <w:lang w:eastAsia="pt-PT"/>
              </w:rPr>
            </w:pPr>
            <w:r w:rsidRPr="00A32816">
              <w:rPr>
                <w:rFonts w:eastAsia="Times New Roman" w:cs="Times New Roman"/>
                <w:color w:val="000000"/>
                <w:sz w:val="22"/>
                <w:szCs w:val="32"/>
                <w:lang w:eastAsia="pt-PT"/>
              </w:rPr>
              <w:t>47,0</w:t>
            </w:r>
          </w:p>
        </w:tc>
      </w:tr>
    </w:tbl>
    <w:p w14:paraId="6BB8D7F8" w14:textId="77777777" w:rsidR="005A6604" w:rsidRPr="0087119D" w:rsidRDefault="005A6604" w:rsidP="005A6604">
      <w:pPr>
        <w:jc w:val="center"/>
      </w:pPr>
    </w:p>
    <w:p w14:paraId="258BDD35" w14:textId="77777777" w:rsidR="002D5C41" w:rsidRPr="002D5C41" w:rsidRDefault="002D5C41" w:rsidP="002D5C41">
      <w:pPr>
        <w:autoSpaceDE w:val="0"/>
        <w:autoSpaceDN w:val="0"/>
        <w:adjustRightInd w:val="0"/>
        <w:spacing w:after="0" w:line="400" w:lineRule="atLeast"/>
        <w:rPr>
          <w:rFonts w:cs="Times New Roman"/>
          <w:szCs w:val="24"/>
        </w:rPr>
      </w:pPr>
    </w:p>
    <w:p w14:paraId="6F4B4461" w14:textId="77777777" w:rsidR="008A67F5" w:rsidRPr="008A67F5" w:rsidRDefault="008A67F5" w:rsidP="008A67F5">
      <w:pPr>
        <w:autoSpaceDE w:val="0"/>
        <w:autoSpaceDN w:val="0"/>
        <w:adjustRightInd w:val="0"/>
        <w:spacing w:after="0" w:line="240" w:lineRule="auto"/>
        <w:rPr>
          <w:rFonts w:cs="Times New Roman"/>
          <w:szCs w:val="24"/>
        </w:rPr>
      </w:pPr>
    </w:p>
    <w:p w14:paraId="5088162A" w14:textId="77777777" w:rsidR="008A67F5" w:rsidRPr="008A67F5" w:rsidRDefault="008A67F5" w:rsidP="008A67F5">
      <w:pPr>
        <w:autoSpaceDE w:val="0"/>
        <w:autoSpaceDN w:val="0"/>
        <w:adjustRightInd w:val="0"/>
        <w:spacing w:after="0" w:line="400" w:lineRule="atLeast"/>
        <w:rPr>
          <w:rFonts w:cs="Times New Roman"/>
          <w:szCs w:val="24"/>
        </w:rPr>
      </w:pPr>
    </w:p>
    <w:p w14:paraId="72C47776" w14:textId="77777777" w:rsidR="00642B8F" w:rsidRPr="00642B8F" w:rsidRDefault="00642B8F" w:rsidP="00642B8F">
      <w:pPr>
        <w:autoSpaceDE w:val="0"/>
        <w:autoSpaceDN w:val="0"/>
        <w:adjustRightInd w:val="0"/>
        <w:spacing w:after="0" w:line="240" w:lineRule="auto"/>
        <w:rPr>
          <w:rFonts w:cs="Times New Roman"/>
          <w:szCs w:val="24"/>
        </w:rPr>
      </w:pPr>
    </w:p>
    <w:p w14:paraId="43DCA64B" w14:textId="77777777" w:rsidR="00642B8F" w:rsidRPr="00642B8F" w:rsidRDefault="00642B8F" w:rsidP="00642B8F">
      <w:pPr>
        <w:autoSpaceDE w:val="0"/>
        <w:autoSpaceDN w:val="0"/>
        <w:adjustRightInd w:val="0"/>
        <w:spacing w:after="0" w:line="400" w:lineRule="atLeast"/>
        <w:rPr>
          <w:rFonts w:cs="Times New Roman"/>
          <w:szCs w:val="24"/>
        </w:rPr>
      </w:pPr>
    </w:p>
    <w:p w14:paraId="600D5577" w14:textId="77777777" w:rsidR="004E2B71" w:rsidRDefault="004E2B71" w:rsidP="0044374C">
      <w:pPr>
        <w:autoSpaceDE w:val="0"/>
        <w:autoSpaceDN w:val="0"/>
        <w:adjustRightInd w:val="0"/>
        <w:spacing w:after="0" w:line="240" w:lineRule="auto"/>
        <w:rPr>
          <w:rFonts w:cs="Times New Roman"/>
          <w:szCs w:val="24"/>
        </w:rPr>
      </w:pPr>
    </w:p>
    <w:p w14:paraId="4DD1939B" w14:textId="77777777" w:rsidR="00E32405" w:rsidRPr="0044374C" w:rsidRDefault="00E32405" w:rsidP="0044374C">
      <w:pPr>
        <w:autoSpaceDE w:val="0"/>
        <w:autoSpaceDN w:val="0"/>
        <w:adjustRightInd w:val="0"/>
        <w:spacing w:after="0" w:line="240" w:lineRule="auto"/>
        <w:rPr>
          <w:rFonts w:cs="Times New Roman"/>
          <w:szCs w:val="24"/>
        </w:rPr>
      </w:pPr>
    </w:p>
    <w:p w14:paraId="32906A0B" w14:textId="77777777" w:rsidR="0044374C" w:rsidRPr="0044374C" w:rsidRDefault="0044374C" w:rsidP="0044374C">
      <w:pPr>
        <w:autoSpaceDE w:val="0"/>
        <w:autoSpaceDN w:val="0"/>
        <w:adjustRightInd w:val="0"/>
        <w:spacing w:after="0" w:line="400" w:lineRule="atLeast"/>
        <w:rPr>
          <w:rFonts w:cs="Times New Roman"/>
          <w:szCs w:val="24"/>
        </w:rPr>
      </w:pPr>
    </w:p>
    <w:p w14:paraId="2CA8357A" w14:textId="06B9F7D7" w:rsidR="005A6604" w:rsidRDefault="005A6604"/>
    <w:p w14:paraId="40052DCB" w14:textId="133C31B8" w:rsidR="009E6753" w:rsidRPr="007F6D51" w:rsidRDefault="009E6753" w:rsidP="007F6D51"/>
    <w:sectPr w:rsidR="009E6753" w:rsidRPr="007F6D51" w:rsidSect="00CF1D64">
      <w:type w:val="continuous"/>
      <w:pgSz w:w="12240" w:h="15840"/>
      <w:pgMar w:top="1418" w:right="1418" w:bottom="1418" w:left="1701" w:header="567"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F56FA6B" w14:textId="77777777" w:rsidR="00250F02" w:rsidRDefault="00250F02" w:rsidP="00A4066A">
      <w:pPr>
        <w:spacing w:after="0" w:line="240" w:lineRule="auto"/>
      </w:pPr>
      <w:r>
        <w:separator/>
      </w:r>
    </w:p>
  </w:endnote>
  <w:endnote w:type="continuationSeparator" w:id="0">
    <w:p w14:paraId="7E82D2B1" w14:textId="77777777" w:rsidR="00250F02" w:rsidRDefault="00250F02" w:rsidP="00A4066A">
      <w:pPr>
        <w:spacing w:after="0" w:line="240" w:lineRule="auto"/>
      </w:pPr>
      <w:r>
        <w:continuationSeparator/>
      </w:r>
    </w:p>
  </w:endnote>
  <w:endnote w:type="continuationNotice" w:id="1">
    <w:p w14:paraId="6F236AF8" w14:textId="77777777" w:rsidR="00250F02" w:rsidRDefault="00250F0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Lato">
    <w:altName w:val="Segoe UI"/>
    <w:panose1 w:val="020F0502020204030203"/>
    <w:charset w:val="00"/>
    <w:family w:val="swiss"/>
    <w:pitch w:val="variable"/>
    <w:sig w:usb0="800000AF" w:usb1="4000604A"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2E3273" w14:textId="6B9716CD" w:rsidR="00E054BB" w:rsidRDefault="00E054BB">
    <w:pPr>
      <w:pStyle w:val="Rodap"/>
      <w:jc w:val="right"/>
    </w:pPr>
  </w:p>
  <w:p w14:paraId="085BE25F" w14:textId="77777777" w:rsidR="00E054BB" w:rsidRDefault="00E054BB">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82664850"/>
      <w:docPartObj>
        <w:docPartGallery w:val="Page Numbers (Bottom of Page)"/>
        <w:docPartUnique/>
      </w:docPartObj>
    </w:sdtPr>
    <w:sdtContent>
      <w:p w14:paraId="1665A69F" w14:textId="77777777" w:rsidR="00E054BB" w:rsidRPr="00755293" w:rsidRDefault="00E054BB">
        <w:pPr>
          <w:pStyle w:val="Rodap"/>
          <w:jc w:val="right"/>
        </w:pPr>
        <w:r w:rsidRPr="00755293">
          <w:fldChar w:fldCharType="begin"/>
        </w:r>
        <w:r w:rsidRPr="00755293">
          <w:instrText>PAGE   \* MERGEFORMAT</w:instrText>
        </w:r>
        <w:r w:rsidRPr="00755293">
          <w:fldChar w:fldCharType="separate"/>
        </w:r>
        <w:r>
          <w:rPr>
            <w:noProof/>
          </w:rPr>
          <w:t>64</w:t>
        </w:r>
        <w:r w:rsidRPr="00755293">
          <w:fldChar w:fldCharType="end"/>
        </w:r>
      </w:p>
    </w:sdtContent>
  </w:sdt>
  <w:p w14:paraId="54B5DFE0" w14:textId="77777777" w:rsidR="00E054BB" w:rsidRDefault="00E054BB">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A085285" w14:textId="77777777" w:rsidR="00250F02" w:rsidRDefault="00250F02" w:rsidP="00A4066A">
      <w:pPr>
        <w:spacing w:after="0" w:line="240" w:lineRule="auto"/>
      </w:pPr>
      <w:r>
        <w:separator/>
      </w:r>
    </w:p>
  </w:footnote>
  <w:footnote w:type="continuationSeparator" w:id="0">
    <w:p w14:paraId="6A896E7D" w14:textId="77777777" w:rsidR="00250F02" w:rsidRDefault="00250F02" w:rsidP="00A4066A">
      <w:pPr>
        <w:spacing w:after="0" w:line="240" w:lineRule="auto"/>
      </w:pPr>
      <w:r>
        <w:continuationSeparator/>
      </w:r>
    </w:p>
  </w:footnote>
  <w:footnote w:type="continuationNotice" w:id="1">
    <w:p w14:paraId="57B33AEA" w14:textId="77777777" w:rsidR="00250F02" w:rsidRDefault="00250F02">
      <w:pPr>
        <w:spacing w:after="0" w:line="240" w:lineRule="auto"/>
      </w:pPr>
    </w:p>
  </w:footnote>
  <w:footnote w:id="2">
    <w:p w14:paraId="7F7C6F0C" w14:textId="073CDF30" w:rsidR="00E054BB" w:rsidRPr="00C20BC9" w:rsidRDefault="00E054BB" w:rsidP="00127915">
      <w:pPr>
        <w:pStyle w:val="Textodenotaderodap"/>
        <w:jc w:val="both"/>
        <w:rPr>
          <w:sz w:val="22"/>
          <w:szCs w:val="22"/>
        </w:rPr>
      </w:pPr>
      <w:r w:rsidRPr="00127915">
        <w:rPr>
          <w:sz w:val="22"/>
          <w:vertAlign w:val="superscript"/>
        </w:rPr>
        <w:t xml:space="preserve">1 </w:t>
      </w:r>
      <w:r w:rsidRPr="00E054BB">
        <w:t xml:space="preserve">Estes autores definem capital social como “capital cívico”, isto é, segundos os mesmos, aquelas crenças e valores persistentes e compartilhados que ajudam um grupo a superar o problema do piloto livre na busca de atividades socialmente valiosas (Nannicini </w:t>
      </w:r>
      <w:r w:rsidRPr="00E054BB">
        <w:rPr>
          <w:i/>
        </w:rPr>
        <w:t>et al</w:t>
      </w:r>
      <w:r w:rsidRPr="00E054BB">
        <w:t>., 2010)</w:t>
      </w:r>
    </w:p>
  </w:footnote>
  <w:footnote w:id="3">
    <w:p w14:paraId="400C7BA5" w14:textId="1B8D22E7" w:rsidR="00E054BB" w:rsidRPr="00755EC3" w:rsidRDefault="00E054BB" w:rsidP="00755EC3">
      <w:pPr>
        <w:pStyle w:val="Textodecomentrio"/>
        <w:jc w:val="both"/>
        <w:rPr>
          <w:rFonts w:cs="Times New Roman"/>
          <w:sz w:val="22"/>
        </w:rPr>
      </w:pPr>
      <w:r>
        <w:rPr>
          <w:rStyle w:val="Refdenotaderodap"/>
        </w:rPr>
        <w:footnoteRef/>
      </w:r>
      <w:r>
        <w:t xml:space="preserve"> </w:t>
      </w:r>
      <w:r w:rsidRPr="00E054BB">
        <w:rPr>
          <w:rFonts w:cs="Times New Roman"/>
          <w:szCs w:val="18"/>
        </w:rPr>
        <w:t>Técnica estatística usada para integrar os resultados de estudos anteriores sobre um tópico específico a fim de avaliar o efeito geral e avaliar o impacto dos diferentes recursos de dados nos resultados obtidos.</w:t>
      </w:r>
    </w:p>
    <w:p w14:paraId="3977B102" w14:textId="6B011834" w:rsidR="00E054BB" w:rsidRDefault="00E054BB">
      <w:pPr>
        <w:pStyle w:val="Textodenotaderodap"/>
      </w:pPr>
    </w:p>
  </w:footnote>
  <w:footnote w:id="4">
    <w:p w14:paraId="717E3EDF" w14:textId="04A9AF81" w:rsidR="00E054BB" w:rsidRDefault="00E054BB" w:rsidP="005735AC">
      <w:pPr>
        <w:pStyle w:val="Textodenotaderodap"/>
        <w:jc w:val="both"/>
      </w:pPr>
      <w:r>
        <w:rPr>
          <w:rStyle w:val="Refdenotaderodap"/>
        </w:rPr>
        <w:footnoteRef/>
      </w:r>
      <w:r>
        <w:t xml:space="preserve"> De acordo com o sistema de equilíbrio da balança efetiva, os fluxos financeiros públicos, ou seja, as receitas e as despesas, podem ser efetivas ou não efetivas. Todas as despesas reduzem o património monetário da Tesouraria, mas apenas algumas é que provocam uma redução do património monetário da Tesouraria e do passivo da Tesouraria. Desta forma, as despesas efetivas são aquelas que apenas reduzem o património monetário da Tesouraria (Madeira, 2012). </w:t>
      </w:r>
    </w:p>
  </w:footnote>
  <w:footnote w:id="5">
    <w:p w14:paraId="386FFDF0" w14:textId="5F510896" w:rsidR="00E054BB" w:rsidRDefault="00E054BB">
      <w:pPr>
        <w:pStyle w:val="Textodenotaderodap"/>
      </w:pPr>
      <w:r>
        <w:rPr>
          <w:rStyle w:val="Refdenotaderodap"/>
        </w:rPr>
        <w:footnoteRef/>
      </w:r>
      <w:r>
        <w:t xml:space="preserve"> A análise da normalidade tem como objetivo verificar se a distribuição de probabilidade associada a um conjunto de dados pode ser aproximada pela distribuição normal</w:t>
      </w:r>
      <w:r>
        <w:rPr>
          <w:rFonts w:ascii="Lato" w:hAnsi="Lato"/>
          <w:color w:val="333333"/>
          <w:sz w:val="21"/>
          <w:szCs w:val="21"/>
          <w:shd w:val="clear" w:color="auto" w:fill="FFFFFF"/>
        </w:rPr>
        <w:t> </w:t>
      </w:r>
    </w:p>
  </w:footnote>
  <w:footnote w:id="6">
    <w:p w14:paraId="6CAAF40D" w14:textId="7407467B" w:rsidR="00E054BB" w:rsidRDefault="00E054BB">
      <w:pPr>
        <w:pStyle w:val="Textodenotaderodap"/>
      </w:pPr>
      <w:r>
        <w:rPr>
          <w:rStyle w:val="Refdenotaderodap"/>
        </w:rPr>
        <w:footnoteRef/>
      </w:r>
      <w:r>
        <w:t xml:space="preserve"> Segundo </w:t>
      </w:r>
      <w:proofErr w:type="spellStart"/>
      <w:r>
        <w:t>Marôco</w:t>
      </w:r>
      <w:proofErr w:type="spellEnd"/>
      <w:r>
        <w:t xml:space="preserve"> (2018, p. 299) testes não paramétricos são testes em que «não exigem que a distribuição da variável em estudo seja conhecida».</w:t>
      </w:r>
    </w:p>
  </w:footnote>
  <w:footnote w:id="7">
    <w:p w14:paraId="63990F9D" w14:textId="01F8E70F" w:rsidR="00E054BB" w:rsidRDefault="00E054BB">
      <w:pPr>
        <w:pStyle w:val="Textodenotaderodap"/>
      </w:pPr>
      <w:r>
        <w:rPr>
          <w:rStyle w:val="Refdenotaderodap"/>
        </w:rPr>
        <w:footnoteRef/>
      </w:r>
      <w:r>
        <w:t xml:space="preserve"> Segundo Ferreira (2012) designa-se de </w:t>
      </w:r>
      <w:proofErr w:type="spellStart"/>
      <w:r>
        <w:t>colinearidade</w:t>
      </w:r>
      <w:proofErr w:type="spellEnd"/>
      <w:r>
        <w:t xml:space="preserve"> a existência de uma relação linear entre duas variáveis explicativas</w:t>
      </w:r>
    </w:p>
  </w:footnote>
  <w:footnote w:id="8">
    <w:p w14:paraId="65EAF71F" w14:textId="593A8953" w:rsidR="00E054BB" w:rsidRDefault="00E054BB" w:rsidP="00C73378">
      <w:pPr>
        <w:pStyle w:val="Textodenotaderodap"/>
        <w:spacing w:line="360" w:lineRule="auto"/>
        <w:jc w:val="both"/>
      </w:pPr>
      <w:r>
        <w:rPr>
          <w:rStyle w:val="Refdenotaderodap"/>
        </w:rPr>
        <w:footnoteRef/>
      </w:r>
      <w:r>
        <w:t xml:space="preserve"> </w:t>
      </w:r>
      <w:r w:rsidRPr="00386E39">
        <w:t xml:space="preserve">Entende-se como </w:t>
      </w:r>
      <w:proofErr w:type="spellStart"/>
      <w:r w:rsidRPr="00386E39">
        <w:rPr>
          <w:i/>
        </w:rPr>
        <w:t>outlier</w:t>
      </w:r>
      <w:proofErr w:type="spellEnd"/>
      <w:r w:rsidRPr="00386E39">
        <w:t xml:space="preserve"> em termos estatísticos</w:t>
      </w:r>
      <w:r>
        <w:t xml:space="preserve"> o valor discrepante relativamente aos restantes valores dos dados observados ou o valor que é significativamente distinto do conjunto de observações (Lima, </w:t>
      </w:r>
      <w:proofErr w:type="spellStart"/>
      <w:r>
        <w:t>Maroldi</w:t>
      </w:r>
      <w:proofErr w:type="spellEnd"/>
      <w:r>
        <w:t xml:space="preserve"> &amp; Silva, 2013, p.259).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F2058A"/>
    <w:multiLevelType w:val="hybridMultilevel"/>
    <w:tmpl w:val="027CBD16"/>
    <w:lvl w:ilvl="0" w:tplc="86C82D38">
      <w:start w:val="1"/>
      <w:numFmt w:val="bullet"/>
      <w:lvlText w:val=""/>
      <w:lvlJc w:val="left"/>
      <w:pPr>
        <w:ind w:left="360" w:hanging="360"/>
      </w:pPr>
      <w:rPr>
        <w:rFonts w:ascii="Wingdings" w:hAnsi="Wingdings" w:hint="default"/>
        <w:color w:val="ED7D31" w:themeColor="accent2"/>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 w15:restartNumberingAfterBreak="0">
    <w:nsid w:val="02EC4ECA"/>
    <w:multiLevelType w:val="hybridMultilevel"/>
    <w:tmpl w:val="AC18904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15:restartNumberingAfterBreak="0">
    <w:nsid w:val="081B1EB3"/>
    <w:multiLevelType w:val="multilevel"/>
    <w:tmpl w:val="03B8E140"/>
    <w:lvl w:ilvl="0">
      <w:start w:val="4"/>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DA40C63"/>
    <w:multiLevelType w:val="hybridMultilevel"/>
    <w:tmpl w:val="AB705F6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15:restartNumberingAfterBreak="0">
    <w:nsid w:val="0EFB701E"/>
    <w:multiLevelType w:val="multilevel"/>
    <w:tmpl w:val="91666586"/>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sz w:val="26"/>
      </w:rPr>
    </w:lvl>
    <w:lvl w:ilvl="2">
      <w:start w:val="1"/>
      <w:numFmt w:val="decimal"/>
      <w:isLgl/>
      <w:lvlText w:val="%1.%2.%3."/>
      <w:lvlJc w:val="left"/>
      <w:pPr>
        <w:ind w:left="1080" w:hanging="720"/>
      </w:pPr>
      <w:rPr>
        <w:rFonts w:hint="default"/>
        <w:b w:val="0"/>
        <w:sz w:val="26"/>
      </w:rPr>
    </w:lvl>
    <w:lvl w:ilvl="3">
      <w:start w:val="1"/>
      <w:numFmt w:val="decimal"/>
      <w:isLgl/>
      <w:lvlText w:val="%1.%2.%3.%4."/>
      <w:lvlJc w:val="left"/>
      <w:pPr>
        <w:ind w:left="1440" w:hanging="1080"/>
      </w:pPr>
      <w:rPr>
        <w:rFonts w:hint="default"/>
        <w:b w:val="0"/>
        <w:sz w:val="26"/>
      </w:rPr>
    </w:lvl>
    <w:lvl w:ilvl="4">
      <w:start w:val="1"/>
      <w:numFmt w:val="decimal"/>
      <w:isLgl/>
      <w:lvlText w:val="%1.%2.%3.%4.%5."/>
      <w:lvlJc w:val="left"/>
      <w:pPr>
        <w:ind w:left="1440" w:hanging="1080"/>
      </w:pPr>
      <w:rPr>
        <w:rFonts w:hint="default"/>
        <w:b w:val="0"/>
        <w:sz w:val="26"/>
      </w:rPr>
    </w:lvl>
    <w:lvl w:ilvl="5">
      <w:start w:val="1"/>
      <w:numFmt w:val="decimal"/>
      <w:isLgl/>
      <w:lvlText w:val="%1.%2.%3.%4.%5.%6."/>
      <w:lvlJc w:val="left"/>
      <w:pPr>
        <w:ind w:left="1800" w:hanging="1440"/>
      </w:pPr>
      <w:rPr>
        <w:rFonts w:hint="default"/>
        <w:b w:val="0"/>
        <w:sz w:val="26"/>
      </w:rPr>
    </w:lvl>
    <w:lvl w:ilvl="6">
      <w:start w:val="1"/>
      <w:numFmt w:val="decimal"/>
      <w:isLgl/>
      <w:lvlText w:val="%1.%2.%3.%4.%5.%6.%7."/>
      <w:lvlJc w:val="left"/>
      <w:pPr>
        <w:ind w:left="2160" w:hanging="1800"/>
      </w:pPr>
      <w:rPr>
        <w:rFonts w:hint="default"/>
        <w:b w:val="0"/>
        <w:sz w:val="26"/>
      </w:rPr>
    </w:lvl>
    <w:lvl w:ilvl="7">
      <w:start w:val="1"/>
      <w:numFmt w:val="decimal"/>
      <w:isLgl/>
      <w:lvlText w:val="%1.%2.%3.%4.%5.%6.%7.%8."/>
      <w:lvlJc w:val="left"/>
      <w:pPr>
        <w:ind w:left="2160" w:hanging="1800"/>
      </w:pPr>
      <w:rPr>
        <w:rFonts w:hint="default"/>
        <w:b w:val="0"/>
        <w:sz w:val="26"/>
      </w:rPr>
    </w:lvl>
    <w:lvl w:ilvl="8">
      <w:start w:val="1"/>
      <w:numFmt w:val="decimal"/>
      <w:isLgl/>
      <w:lvlText w:val="%1.%2.%3.%4.%5.%6.%7.%8.%9."/>
      <w:lvlJc w:val="left"/>
      <w:pPr>
        <w:ind w:left="2520" w:hanging="2160"/>
      </w:pPr>
      <w:rPr>
        <w:rFonts w:hint="default"/>
        <w:b w:val="0"/>
        <w:sz w:val="26"/>
      </w:rPr>
    </w:lvl>
  </w:abstractNum>
  <w:abstractNum w:abstractNumId="5" w15:restartNumberingAfterBreak="0">
    <w:nsid w:val="11116401"/>
    <w:multiLevelType w:val="multilevel"/>
    <w:tmpl w:val="6A6AF1DA"/>
    <w:lvl w:ilvl="0">
      <w:start w:val="4"/>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1B04C88"/>
    <w:multiLevelType w:val="multilevel"/>
    <w:tmpl w:val="FD94A278"/>
    <w:lvl w:ilvl="0">
      <w:start w:val="2"/>
      <w:numFmt w:val="decimal"/>
      <w:lvlText w:val="%1."/>
      <w:lvlJc w:val="left"/>
      <w:pPr>
        <w:ind w:left="360" w:hanging="360"/>
      </w:pPr>
      <w:rPr>
        <w:rFonts w:hint="default"/>
        <w:sz w:val="24"/>
      </w:rPr>
    </w:lvl>
    <w:lvl w:ilvl="1">
      <w:start w:val="1"/>
      <w:numFmt w:val="decimal"/>
      <w:lvlText w:val="%1.%2."/>
      <w:lvlJc w:val="left"/>
      <w:pPr>
        <w:ind w:left="1080" w:hanging="72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2160" w:hanging="108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7" w15:restartNumberingAfterBreak="0">
    <w:nsid w:val="12226301"/>
    <w:multiLevelType w:val="hybridMultilevel"/>
    <w:tmpl w:val="B40CD36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15:restartNumberingAfterBreak="0">
    <w:nsid w:val="16CA04D2"/>
    <w:multiLevelType w:val="multilevel"/>
    <w:tmpl w:val="3C2022D8"/>
    <w:lvl w:ilvl="0">
      <w:start w:val="4"/>
      <w:numFmt w:val="decimal"/>
      <w:lvlText w:val="%1"/>
      <w:lvlJc w:val="left"/>
      <w:pPr>
        <w:ind w:left="390" w:hanging="390"/>
      </w:pPr>
      <w:rPr>
        <w:rFonts w:hint="default"/>
      </w:rPr>
    </w:lvl>
    <w:lvl w:ilvl="1">
      <w:start w:val="6"/>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15:restartNumberingAfterBreak="0">
    <w:nsid w:val="171544A2"/>
    <w:multiLevelType w:val="multilevel"/>
    <w:tmpl w:val="66E035A2"/>
    <w:lvl w:ilvl="0">
      <w:start w:val="1"/>
      <w:numFmt w:val="decimal"/>
      <w:lvlText w:val="%1."/>
      <w:lvlJc w:val="left"/>
      <w:pPr>
        <w:ind w:left="360" w:hanging="360"/>
      </w:pPr>
      <w:rPr>
        <w:rFonts w:hint="default"/>
        <w:sz w:val="28"/>
        <w:szCs w:val="28"/>
      </w:rPr>
    </w:lvl>
    <w:lvl w:ilvl="1">
      <w:start w:val="1"/>
      <w:numFmt w:val="decimal"/>
      <w:lvlText w:val="%1.%2."/>
      <w:lvlJc w:val="left"/>
      <w:pPr>
        <w:ind w:left="1080" w:hanging="720"/>
      </w:pPr>
      <w:rPr>
        <w:rFonts w:hint="default"/>
        <w:b/>
        <w:bCs/>
        <w:sz w:val="26"/>
        <w:szCs w:val="26"/>
      </w:rPr>
    </w:lvl>
    <w:lvl w:ilvl="2">
      <w:start w:val="1"/>
      <w:numFmt w:val="decimal"/>
      <w:lvlText w:val="%1.%2.%3."/>
      <w:lvlJc w:val="left"/>
      <w:pPr>
        <w:ind w:left="1429" w:hanging="720"/>
      </w:pPr>
      <w:rPr>
        <w:rFonts w:hint="default"/>
        <w:color w:val="auto"/>
        <w:sz w:val="24"/>
      </w:rPr>
    </w:lvl>
    <w:lvl w:ilvl="3">
      <w:start w:val="1"/>
      <w:numFmt w:val="decimal"/>
      <w:lvlText w:val="%1.%2.%3.%4."/>
      <w:lvlJc w:val="left"/>
      <w:pPr>
        <w:ind w:left="2160" w:hanging="1080"/>
      </w:pPr>
      <w:rPr>
        <w:rFonts w:hint="default"/>
        <w:i w:val="0"/>
        <w:iCs w:val="0"/>
        <w:sz w:val="26"/>
        <w:szCs w:val="26"/>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10" w15:restartNumberingAfterBreak="0">
    <w:nsid w:val="18BC227B"/>
    <w:multiLevelType w:val="hybridMultilevel"/>
    <w:tmpl w:val="270C3F8E"/>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B5C4D8B"/>
    <w:multiLevelType w:val="multilevel"/>
    <w:tmpl w:val="91666586"/>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sz w:val="26"/>
      </w:rPr>
    </w:lvl>
    <w:lvl w:ilvl="2">
      <w:start w:val="1"/>
      <w:numFmt w:val="decimal"/>
      <w:isLgl/>
      <w:lvlText w:val="%1.%2.%3."/>
      <w:lvlJc w:val="left"/>
      <w:pPr>
        <w:ind w:left="1080" w:hanging="720"/>
      </w:pPr>
      <w:rPr>
        <w:rFonts w:hint="default"/>
        <w:b w:val="0"/>
        <w:sz w:val="26"/>
      </w:rPr>
    </w:lvl>
    <w:lvl w:ilvl="3">
      <w:start w:val="1"/>
      <w:numFmt w:val="decimal"/>
      <w:isLgl/>
      <w:lvlText w:val="%1.%2.%3.%4."/>
      <w:lvlJc w:val="left"/>
      <w:pPr>
        <w:ind w:left="1440" w:hanging="1080"/>
      </w:pPr>
      <w:rPr>
        <w:rFonts w:hint="default"/>
        <w:b w:val="0"/>
        <w:sz w:val="26"/>
      </w:rPr>
    </w:lvl>
    <w:lvl w:ilvl="4">
      <w:start w:val="1"/>
      <w:numFmt w:val="decimal"/>
      <w:isLgl/>
      <w:lvlText w:val="%1.%2.%3.%4.%5."/>
      <w:lvlJc w:val="left"/>
      <w:pPr>
        <w:ind w:left="1440" w:hanging="1080"/>
      </w:pPr>
      <w:rPr>
        <w:rFonts w:hint="default"/>
        <w:b w:val="0"/>
        <w:sz w:val="26"/>
      </w:rPr>
    </w:lvl>
    <w:lvl w:ilvl="5">
      <w:start w:val="1"/>
      <w:numFmt w:val="decimal"/>
      <w:isLgl/>
      <w:lvlText w:val="%1.%2.%3.%4.%5.%6."/>
      <w:lvlJc w:val="left"/>
      <w:pPr>
        <w:ind w:left="1800" w:hanging="1440"/>
      </w:pPr>
      <w:rPr>
        <w:rFonts w:hint="default"/>
        <w:b w:val="0"/>
        <w:sz w:val="26"/>
      </w:rPr>
    </w:lvl>
    <w:lvl w:ilvl="6">
      <w:start w:val="1"/>
      <w:numFmt w:val="decimal"/>
      <w:isLgl/>
      <w:lvlText w:val="%1.%2.%3.%4.%5.%6.%7."/>
      <w:lvlJc w:val="left"/>
      <w:pPr>
        <w:ind w:left="2160" w:hanging="1800"/>
      </w:pPr>
      <w:rPr>
        <w:rFonts w:hint="default"/>
        <w:b w:val="0"/>
        <w:sz w:val="26"/>
      </w:rPr>
    </w:lvl>
    <w:lvl w:ilvl="7">
      <w:start w:val="1"/>
      <w:numFmt w:val="decimal"/>
      <w:isLgl/>
      <w:lvlText w:val="%1.%2.%3.%4.%5.%6.%7.%8."/>
      <w:lvlJc w:val="left"/>
      <w:pPr>
        <w:ind w:left="2160" w:hanging="1800"/>
      </w:pPr>
      <w:rPr>
        <w:rFonts w:hint="default"/>
        <w:b w:val="0"/>
        <w:sz w:val="26"/>
      </w:rPr>
    </w:lvl>
    <w:lvl w:ilvl="8">
      <w:start w:val="1"/>
      <w:numFmt w:val="decimal"/>
      <w:isLgl/>
      <w:lvlText w:val="%1.%2.%3.%4.%5.%6.%7.%8.%9."/>
      <w:lvlJc w:val="left"/>
      <w:pPr>
        <w:ind w:left="2520" w:hanging="2160"/>
      </w:pPr>
      <w:rPr>
        <w:rFonts w:hint="default"/>
        <w:b w:val="0"/>
        <w:sz w:val="26"/>
      </w:rPr>
    </w:lvl>
  </w:abstractNum>
  <w:abstractNum w:abstractNumId="12" w15:restartNumberingAfterBreak="0">
    <w:nsid w:val="1D2B2326"/>
    <w:multiLevelType w:val="hybridMultilevel"/>
    <w:tmpl w:val="56C4FB9E"/>
    <w:lvl w:ilvl="0" w:tplc="0816000D">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3" w15:restartNumberingAfterBreak="0">
    <w:nsid w:val="1FD569CC"/>
    <w:multiLevelType w:val="hybridMultilevel"/>
    <w:tmpl w:val="C88632BA"/>
    <w:lvl w:ilvl="0" w:tplc="5588D66E">
      <w:start w:val="1"/>
      <w:numFmt w:val="bullet"/>
      <w:lvlText w:val=""/>
      <w:lvlJc w:val="left"/>
      <w:pPr>
        <w:ind w:left="360" w:hanging="360"/>
      </w:pPr>
      <w:rPr>
        <w:rFonts w:ascii="Wingdings" w:hAnsi="Wingdings" w:hint="default"/>
        <w:color w:val="5B9BD5" w:themeColor="accent1"/>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4" w15:restartNumberingAfterBreak="0">
    <w:nsid w:val="207D14F3"/>
    <w:multiLevelType w:val="hybridMultilevel"/>
    <w:tmpl w:val="D47E5E1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15:restartNumberingAfterBreak="0">
    <w:nsid w:val="211B3763"/>
    <w:multiLevelType w:val="hybridMultilevel"/>
    <w:tmpl w:val="71564A0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6" w15:restartNumberingAfterBreak="0">
    <w:nsid w:val="26D62AB9"/>
    <w:multiLevelType w:val="hybridMultilevel"/>
    <w:tmpl w:val="A582FE20"/>
    <w:lvl w:ilvl="0" w:tplc="C11CE9F0">
      <w:start w:val="1"/>
      <w:numFmt w:val="bullet"/>
      <w:lvlText w:val=""/>
      <w:lvlJc w:val="left"/>
      <w:pPr>
        <w:ind w:left="360" w:hanging="360"/>
      </w:pPr>
      <w:rPr>
        <w:rFonts w:ascii="Wingdings" w:hAnsi="Wingdings" w:hint="default"/>
        <w:color w:val="70AD47" w:themeColor="accent6"/>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7" w15:restartNumberingAfterBreak="0">
    <w:nsid w:val="298D41CF"/>
    <w:multiLevelType w:val="multilevel"/>
    <w:tmpl w:val="16A06174"/>
    <w:lvl w:ilvl="0">
      <w:start w:val="1"/>
      <w:numFmt w:val="decimal"/>
      <w:lvlText w:val="%1."/>
      <w:lvlJc w:val="left"/>
      <w:pPr>
        <w:ind w:left="360" w:hanging="360"/>
      </w:pPr>
      <w:rPr>
        <w:rFonts w:hint="default"/>
        <w:sz w:val="28"/>
        <w:szCs w:val="28"/>
      </w:rPr>
    </w:lvl>
    <w:lvl w:ilvl="1">
      <w:start w:val="1"/>
      <w:numFmt w:val="decimal"/>
      <w:lvlText w:val="%1.%2."/>
      <w:lvlJc w:val="left"/>
      <w:pPr>
        <w:ind w:left="1080" w:hanging="720"/>
      </w:pPr>
      <w:rPr>
        <w:rFonts w:hint="default"/>
        <w:b/>
        <w:bCs/>
        <w:sz w:val="26"/>
        <w:szCs w:val="26"/>
      </w:rPr>
    </w:lvl>
    <w:lvl w:ilvl="2">
      <w:start w:val="1"/>
      <w:numFmt w:val="decimal"/>
      <w:lvlText w:val="%1.%2.%3."/>
      <w:lvlJc w:val="left"/>
      <w:pPr>
        <w:ind w:left="1429" w:hanging="720"/>
      </w:pPr>
      <w:rPr>
        <w:rFonts w:hint="default"/>
        <w:color w:val="auto"/>
        <w:sz w:val="24"/>
      </w:rPr>
    </w:lvl>
    <w:lvl w:ilvl="3">
      <w:start w:val="1"/>
      <w:numFmt w:val="decimal"/>
      <w:lvlText w:val="%1.%2.%3.%4."/>
      <w:lvlJc w:val="left"/>
      <w:pPr>
        <w:ind w:left="2160" w:hanging="1080"/>
      </w:pPr>
      <w:rPr>
        <w:rFonts w:hint="default"/>
        <w:i w:val="0"/>
        <w:iCs w:val="0"/>
        <w:color w:val="auto"/>
        <w:sz w:val="24"/>
        <w:szCs w:val="24"/>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18" w15:restartNumberingAfterBreak="0">
    <w:nsid w:val="2EC33141"/>
    <w:multiLevelType w:val="hybridMultilevel"/>
    <w:tmpl w:val="9266BBB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9" w15:restartNumberingAfterBreak="0">
    <w:nsid w:val="349A2305"/>
    <w:multiLevelType w:val="hybridMultilevel"/>
    <w:tmpl w:val="62BAF438"/>
    <w:lvl w:ilvl="0" w:tplc="EE3C3714">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0" w15:restartNumberingAfterBreak="0">
    <w:nsid w:val="3D220856"/>
    <w:multiLevelType w:val="hybridMultilevel"/>
    <w:tmpl w:val="14F41B4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1" w15:restartNumberingAfterBreak="0">
    <w:nsid w:val="40A52C9F"/>
    <w:multiLevelType w:val="multilevel"/>
    <w:tmpl w:val="F0104904"/>
    <w:lvl w:ilvl="0">
      <w:start w:val="1"/>
      <w:numFmt w:val="decimal"/>
      <w:lvlText w:val="%1."/>
      <w:lvlJc w:val="left"/>
      <w:pPr>
        <w:ind w:left="720" w:hanging="360"/>
      </w:pPr>
      <w:rPr>
        <w:rFonts w:cstheme="majorBidi" w:hint="default"/>
        <w:sz w:val="28"/>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42C12B64"/>
    <w:multiLevelType w:val="multilevel"/>
    <w:tmpl w:val="C08EA4BE"/>
    <w:lvl w:ilvl="0">
      <w:start w:val="4"/>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457A24AF"/>
    <w:multiLevelType w:val="hybridMultilevel"/>
    <w:tmpl w:val="07C8FEE0"/>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4" w15:restartNumberingAfterBreak="0">
    <w:nsid w:val="485939B5"/>
    <w:multiLevelType w:val="hybridMultilevel"/>
    <w:tmpl w:val="4EBC186E"/>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5" w15:restartNumberingAfterBreak="0">
    <w:nsid w:val="522A5F30"/>
    <w:multiLevelType w:val="hybridMultilevel"/>
    <w:tmpl w:val="4F74A93C"/>
    <w:lvl w:ilvl="0" w:tplc="04B01C54">
      <w:start w:val="1"/>
      <w:numFmt w:val="bullet"/>
      <w:lvlText w:val=""/>
      <w:lvlJc w:val="left"/>
      <w:pPr>
        <w:ind w:left="0" w:hanging="360"/>
      </w:pPr>
      <w:rPr>
        <w:rFonts w:ascii="Wingdings" w:hAnsi="Wingdings" w:hint="default"/>
        <w:color w:val="ED7D31" w:themeColor="accent2"/>
      </w:rPr>
    </w:lvl>
    <w:lvl w:ilvl="1" w:tplc="08160003" w:tentative="1">
      <w:start w:val="1"/>
      <w:numFmt w:val="bullet"/>
      <w:lvlText w:val="o"/>
      <w:lvlJc w:val="left"/>
      <w:pPr>
        <w:ind w:left="720" w:hanging="360"/>
      </w:pPr>
      <w:rPr>
        <w:rFonts w:ascii="Courier New" w:hAnsi="Courier New" w:cs="Courier New" w:hint="default"/>
      </w:rPr>
    </w:lvl>
    <w:lvl w:ilvl="2" w:tplc="08160005" w:tentative="1">
      <w:start w:val="1"/>
      <w:numFmt w:val="bullet"/>
      <w:lvlText w:val=""/>
      <w:lvlJc w:val="left"/>
      <w:pPr>
        <w:ind w:left="1440" w:hanging="360"/>
      </w:pPr>
      <w:rPr>
        <w:rFonts w:ascii="Wingdings" w:hAnsi="Wingdings" w:hint="default"/>
      </w:rPr>
    </w:lvl>
    <w:lvl w:ilvl="3" w:tplc="08160001" w:tentative="1">
      <w:start w:val="1"/>
      <w:numFmt w:val="bullet"/>
      <w:lvlText w:val=""/>
      <w:lvlJc w:val="left"/>
      <w:pPr>
        <w:ind w:left="2160" w:hanging="360"/>
      </w:pPr>
      <w:rPr>
        <w:rFonts w:ascii="Symbol" w:hAnsi="Symbol" w:hint="default"/>
      </w:rPr>
    </w:lvl>
    <w:lvl w:ilvl="4" w:tplc="08160003" w:tentative="1">
      <w:start w:val="1"/>
      <w:numFmt w:val="bullet"/>
      <w:lvlText w:val="o"/>
      <w:lvlJc w:val="left"/>
      <w:pPr>
        <w:ind w:left="2880" w:hanging="360"/>
      </w:pPr>
      <w:rPr>
        <w:rFonts w:ascii="Courier New" w:hAnsi="Courier New" w:cs="Courier New" w:hint="default"/>
      </w:rPr>
    </w:lvl>
    <w:lvl w:ilvl="5" w:tplc="08160005" w:tentative="1">
      <w:start w:val="1"/>
      <w:numFmt w:val="bullet"/>
      <w:lvlText w:val=""/>
      <w:lvlJc w:val="left"/>
      <w:pPr>
        <w:ind w:left="3600" w:hanging="360"/>
      </w:pPr>
      <w:rPr>
        <w:rFonts w:ascii="Wingdings" w:hAnsi="Wingdings" w:hint="default"/>
      </w:rPr>
    </w:lvl>
    <w:lvl w:ilvl="6" w:tplc="08160001" w:tentative="1">
      <w:start w:val="1"/>
      <w:numFmt w:val="bullet"/>
      <w:lvlText w:val=""/>
      <w:lvlJc w:val="left"/>
      <w:pPr>
        <w:ind w:left="4320" w:hanging="360"/>
      </w:pPr>
      <w:rPr>
        <w:rFonts w:ascii="Symbol" w:hAnsi="Symbol" w:hint="default"/>
      </w:rPr>
    </w:lvl>
    <w:lvl w:ilvl="7" w:tplc="08160003" w:tentative="1">
      <w:start w:val="1"/>
      <w:numFmt w:val="bullet"/>
      <w:lvlText w:val="o"/>
      <w:lvlJc w:val="left"/>
      <w:pPr>
        <w:ind w:left="5040" w:hanging="360"/>
      </w:pPr>
      <w:rPr>
        <w:rFonts w:ascii="Courier New" w:hAnsi="Courier New" w:cs="Courier New" w:hint="default"/>
      </w:rPr>
    </w:lvl>
    <w:lvl w:ilvl="8" w:tplc="08160005" w:tentative="1">
      <w:start w:val="1"/>
      <w:numFmt w:val="bullet"/>
      <w:lvlText w:val=""/>
      <w:lvlJc w:val="left"/>
      <w:pPr>
        <w:ind w:left="5760" w:hanging="360"/>
      </w:pPr>
      <w:rPr>
        <w:rFonts w:ascii="Wingdings" w:hAnsi="Wingdings" w:hint="default"/>
      </w:rPr>
    </w:lvl>
  </w:abstractNum>
  <w:abstractNum w:abstractNumId="26" w15:restartNumberingAfterBreak="0">
    <w:nsid w:val="539B1EA7"/>
    <w:multiLevelType w:val="hybridMultilevel"/>
    <w:tmpl w:val="3EDE29A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7" w15:restartNumberingAfterBreak="0">
    <w:nsid w:val="54080E58"/>
    <w:multiLevelType w:val="hybridMultilevel"/>
    <w:tmpl w:val="CF020EC8"/>
    <w:lvl w:ilvl="0" w:tplc="08160001">
      <w:start w:val="1"/>
      <w:numFmt w:val="bullet"/>
      <w:lvlText w:val=""/>
      <w:lvlJc w:val="left"/>
      <w:pPr>
        <w:ind w:left="360" w:hanging="360"/>
      </w:pPr>
      <w:rPr>
        <w:rFonts w:ascii="Symbol" w:hAnsi="Symbol"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28" w15:restartNumberingAfterBreak="0">
    <w:nsid w:val="592470B1"/>
    <w:multiLevelType w:val="multilevel"/>
    <w:tmpl w:val="91666586"/>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sz w:val="26"/>
      </w:rPr>
    </w:lvl>
    <w:lvl w:ilvl="2">
      <w:start w:val="1"/>
      <w:numFmt w:val="decimal"/>
      <w:isLgl/>
      <w:lvlText w:val="%1.%2.%3."/>
      <w:lvlJc w:val="left"/>
      <w:pPr>
        <w:ind w:left="1080" w:hanging="720"/>
      </w:pPr>
      <w:rPr>
        <w:rFonts w:hint="default"/>
        <w:b w:val="0"/>
        <w:sz w:val="26"/>
      </w:rPr>
    </w:lvl>
    <w:lvl w:ilvl="3">
      <w:start w:val="1"/>
      <w:numFmt w:val="decimal"/>
      <w:isLgl/>
      <w:lvlText w:val="%1.%2.%3.%4."/>
      <w:lvlJc w:val="left"/>
      <w:pPr>
        <w:ind w:left="1440" w:hanging="1080"/>
      </w:pPr>
      <w:rPr>
        <w:rFonts w:hint="default"/>
        <w:b w:val="0"/>
        <w:sz w:val="26"/>
      </w:rPr>
    </w:lvl>
    <w:lvl w:ilvl="4">
      <w:start w:val="1"/>
      <w:numFmt w:val="decimal"/>
      <w:isLgl/>
      <w:lvlText w:val="%1.%2.%3.%4.%5."/>
      <w:lvlJc w:val="left"/>
      <w:pPr>
        <w:ind w:left="1440" w:hanging="1080"/>
      </w:pPr>
      <w:rPr>
        <w:rFonts w:hint="default"/>
        <w:b w:val="0"/>
        <w:sz w:val="26"/>
      </w:rPr>
    </w:lvl>
    <w:lvl w:ilvl="5">
      <w:start w:val="1"/>
      <w:numFmt w:val="decimal"/>
      <w:isLgl/>
      <w:lvlText w:val="%1.%2.%3.%4.%5.%6."/>
      <w:lvlJc w:val="left"/>
      <w:pPr>
        <w:ind w:left="1800" w:hanging="1440"/>
      </w:pPr>
      <w:rPr>
        <w:rFonts w:hint="default"/>
        <w:b w:val="0"/>
        <w:sz w:val="26"/>
      </w:rPr>
    </w:lvl>
    <w:lvl w:ilvl="6">
      <w:start w:val="1"/>
      <w:numFmt w:val="decimal"/>
      <w:isLgl/>
      <w:lvlText w:val="%1.%2.%3.%4.%5.%6.%7."/>
      <w:lvlJc w:val="left"/>
      <w:pPr>
        <w:ind w:left="2160" w:hanging="1800"/>
      </w:pPr>
      <w:rPr>
        <w:rFonts w:hint="default"/>
        <w:b w:val="0"/>
        <w:sz w:val="26"/>
      </w:rPr>
    </w:lvl>
    <w:lvl w:ilvl="7">
      <w:start w:val="1"/>
      <w:numFmt w:val="decimal"/>
      <w:isLgl/>
      <w:lvlText w:val="%1.%2.%3.%4.%5.%6.%7.%8."/>
      <w:lvlJc w:val="left"/>
      <w:pPr>
        <w:ind w:left="2160" w:hanging="1800"/>
      </w:pPr>
      <w:rPr>
        <w:rFonts w:hint="default"/>
        <w:b w:val="0"/>
        <w:sz w:val="26"/>
      </w:rPr>
    </w:lvl>
    <w:lvl w:ilvl="8">
      <w:start w:val="1"/>
      <w:numFmt w:val="decimal"/>
      <w:isLgl/>
      <w:lvlText w:val="%1.%2.%3.%4.%5.%6.%7.%8.%9."/>
      <w:lvlJc w:val="left"/>
      <w:pPr>
        <w:ind w:left="2520" w:hanging="2160"/>
      </w:pPr>
      <w:rPr>
        <w:rFonts w:hint="default"/>
        <w:b w:val="0"/>
        <w:sz w:val="26"/>
      </w:rPr>
    </w:lvl>
  </w:abstractNum>
  <w:abstractNum w:abstractNumId="29" w15:restartNumberingAfterBreak="0">
    <w:nsid w:val="59CD6054"/>
    <w:multiLevelType w:val="hybridMultilevel"/>
    <w:tmpl w:val="3B1E5974"/>
    <w:lvl w:ilvl="0" w:tplc="0816000B">
      <w:start w:val="1"/>
      <w:numFmt w:val="bullet"/>
      <w:lvlText w:val=""/>
      <w:lvlJc w:val="left"/>
      <w:pPr>
        <w:ind w:left="720" w:hanging="360"/>
      </w:pPr>
      <w:rPr>
        <w:rFonts w:ascii="Wingdings" w:hAnsi="Wingdings" w:hint="default"/>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start w:val="1"/>
      <w:numFmt w:val="bullet"/>
      <w:lvlText w:val=""/>
      <w:lvlJc w:val="left"/>
      <w:pPr>
        <w:ind w:left="2880" w:hanging="360"/>
      </w:pPr>
      <w:rPr>
        <w:rFonts w:ascii="Symbol" w:hAnsi="Symbol" w:hint="default"/>
      </w:rPr>
    </w:lvl>
    <w:lvl w:ilvl="4" w:tplc="08160003">
      <w:start w:val="1"/>
      <w:numFmt w:val="bullet"/>
      <w:lvlText w:val="o"/>
      <w:lvlJc w:val="left"/>
      <w:pPr>
        <w:ind w:left="3600" w:hanging="360"/>
      </w:pPr>
      <w:rPr>
        <w:rFonts w:ascii="Courier New" w:hAnsi="Courier New" w:cs="Courier New" w:hint="default"/>
      </w:rPr>
    </w:lvl>
    <w:lvl w:ilvl="5" w:tplc="08160005">
      <w:start w:val="1"/>
      <w:numFmt w:val="bullet"/>
      <w:lvlText w:val=""/>
      <w:lvlJc w:val="left"/>
      <w:pPr>
        <w:ind w:left="4320" w:hanging="360"/>
      </w:pPr>
      <w:rPr>
        <w:rFonts w:ascii="Wingdings" w:hAnsi="Wingdings" w:hint="default"/>
      </w:rPr>
    </w:lvl>
    <w:lvl w:ilvl="6" w:tplc="08160001">
      <w:start w:val="1"/>
      <w:numFmt w:val="bullet"/>
      <w:lvlText w:val=""/>
      <w:lvlJc w:val="left"/>
      <w:pPr>
        <w:ind w:left="5040" w:hanging="360"/>
      </w:pPr>
      <w:rPr>
        <w:rFonts w:ascii="Symbol" w:hAnsi="Symbol" w:hint="default"/>
      </w:rPr>
    </w:lvl>
    <w:lvl w:ilvl="7" w:tplc="08160003">
      <w:start w:val="1"/>
      <w:numFmt w:val="bullet"/>
      <w:lvlText w:val="o"/>
      <w:lvlJc w:val="left"/>
      <w:pPr>
        <w:ind w:left="5760" w:hanging="360"/>
      </w:pPr>
      <w:rPr>
        <w:rFonts w:ascii="Courier New" w:hAnsi="Courier New" w:cs="Courier New" w:hint="default"/>
      </w:rPr>
    </w:lvl>
    <w:lvl w:ilvl="8" w:tplc="08160005">
      <w:start w:val="1"/>
      <w:numFmt w:val="bullet"/>
      <w:lvlText w:val=""/>
      <w:lvlJc w:val="left"/>
      <w:pPr>
        <w:ind w:left="6480" w:hanging="360"/>
      </w:pPr>
      <w:rPr>
        <w:rFonts w:ascii="Wingdings" w:hAnsi="Wingdings" w:hint="default"/>
      </w:rPr>
    </w:lvl>
  </w:abstractNum>
  <w:abstractNum w:abstractNumId="30" w15:restartNumberingAfterBreak="0">
    <w:nsid w:val="5FA34478"/>
    <w:multiLevelType w:val="hybridMultilevel"/>
    <w:tmpl w:val="7EE6B49C"/>
    <w:lvl w:ilvl="0" w:tplc="06321212">
      <w:start w:val="1"/>
      <w:numFmt w:val="decimal"/>
      <w:lvlText w:val="%1."/>
      <w:lvlJc w:val="left"/>
      <w:pPr>
        <w:ind w:left="720" w:hanging="360"/>
      </w:pPr>
      <w:rPr>
        <w:rFonts w:asciiTheme="minorHAnsi" w:hAnsiTheme="minorHAnsi" w:cstheme="minorBidi" w:hint="default"/>
        <w:sz w:val="22"/>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1" w15:restartNumberingAfterBreak="0">
    <w:nsid w:val="60113B9E"/>
    <w:multiLevelType w:val="multilevel"/>
    <w:tmpl w:val="91666586"/>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sz w:val="26"/>
      </w:rPr>
    </w:lvl>
    <w:lvl w:ilvl="2">
      <w:start w:val="1"/>
      <w:numFmt w:val="decimal"/>
      <w:isLgl/>
      <w:lvlText w:val="%1.%2.%3."/>
      <w:lvlJc w:val="left"/>
      <w:pPr>
        <w:ind w:left="1080" w:hanging="720"/>
      </w:pPr>
      <w:rPr>
        <w:rFonts w:hint="default"/>
        <w:b w:val="0"/>
        <w:sz w:val="26"/>
      </w:rPr>
    </w:lvl>
    <w:lvl w:ilvl="3">
      <w:start w:val="1"/>
      <w:numFmt w:val="decimal"/>
      <w:isLgl/>
      <w:lvlText w:val="%1.%2.%3.%4."/>
      <w:lvlJc w:val="left"/>
      <w:pPr>
        <w:ind w:left="1440" w:hanging="1080"/>
      </w:pPr>
      <w:rPr>
        <w:rFonts w:hint="default"/>
        <w:b w:val="0"/>
        <w:sz w:val="26"/>
      </w:rPr>
    </w:lvl>
    <w:lvl w:ilvl="4">
      <w:start w:val="1"/>
      <w:numFmt w:val="decimal"/>
      <w:isLgl/>
      <w:lvlText w:val="%1.%2.%3.%4.%5."/>
      <w:lvlJc w:val="left"/>
      <w:pPr>
        <w:ind w:left="1440" w:hanging="1080"/>
      </w:pPr>
      <w:rPr>
        <w:rFonts w:hint="default"/>
        <w:b w:val="0"/>
        <w:sz w:val="26"/>
      </w:rPr>
    </w:lvl>
    <w:lvl w:ilvl="5">
      <w:start w:val="1"/>
      <w:numFmt w:val="decimal"/>
      <w:isLgl/>
      <w:lvlText w:val="%1.%2.%3.%4.%5.%6."/>
      <w:lvlJc w:val="left"/>
      <w:pPr>
        <w:ind w:left="1800" w:hanging="1440"/>
      </w:pPr>
      <w:rPr>
        <w:rFonts w:hint="default"/>
        <w:b w:val="0"/>
        <w:sz w:val="26"/>
      </w:rPr>
    </w:lvl>
    <w:lvl w:ilvl="6">
      <w:start w:val="1"/>
      <w:numFmt w:val="decimal"/>
      <w:isLgl/>
      <w:lvlText w:val="%1.%2.%3.%4.%5.%6.%7."/>
      <w:lvlJc w:val="left"/>
      <w:pPr>
        <w:ind w:left="2160" w:hanging="1800"/>
      </w:pPr>
      <w:rPr>
        <w:rFonts w:hint="default"/>
        <w:b w:val="0"/>
        <w:sz w:val="26"/>
      </w:rPr>
    </w:lvl>
    <w:lvl w:ilvl="7">
      <w:start w:val="1"/>
      <w:numFmt w:val="decimal"/>
      <w:isLgl/>
      <w:lvlText w:val="%1.%2.%3.%4.%5.%6.%7.%8."/>
      <w:lvlJc w:val="left"/>
      <w:pPr>
        <w:ind w:left="2160" w:hanging="1800"/>
      </w:pPr>
      <w:rPr>
        <w:rFonts w:hint="default"/>
        <w:b w:val="0"/>
        <w:sz w:val="26"/>
      </w:rPr>
    </w:lvl>
    <w:lvl w:ilvl="8">
      <w:start w:val="1"/>
      <w:numFmt w:val="decimal"/>
      <w:isLgl/>
      <w:lvlText w:val="%1.%2.%3.%4.%5.%6.%7.%8.%9."/>
      <w:lvlJc w:val="left"/>
      <w:pPr>
        <w:ind w:left="2520" w:hanging="2160"/>
      </w:pPr>
      <w:rPr>
        <w:rFonts w:hint="default"/>
        <w:b w:val="0"/>
        <w:sz w:val="26"/>
      </w:rPr>
    </w:lvl>
  </w:abstractNum>
  <w:abstractNum w:abstractNumId="32" w15:restartNumberingAfterBreak="0">
    <w:nsid w:val="606C50B2"/>
    <w:multiLevelType w:val="hybridMultilevel"/>
    <w:tmpl w:val="DA50DEC0"/>
    <w:lvl w:ilvl="0" w:tplc="EAFEBF7C">
      <w:start w:val="1"/>
      <w:numFmt w:val="bullet"/>
      <w:lvlText w:val=""/>
      <w:lvlJc w:val="left"/>
      <w:pPr>
        <w:ind w:left="360" w:hanging="360"/>
      </w:pPr>
      <w:rPr>
        <w:rFonts w:ascii="Wingdings" w:hAnsi="Wingdings" w:hint="default"/>
        <w:color w:val="ED7D31" w:themeColor="accent2"/>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33" w15:restartNumberingAfterBreak="0">
    <w:nsid w:val="66D3723B"/>
    <w:multiLevelType w:val="hybridMultilevel"/>
    <w:tmpl w:val="2254367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4" w15:restartNumberingAfterBreak="0">
    <w:nsid w:val="6811208C"/>
    <w:multiLevelType w:val="hybridMultilevel"/>
    <w:tmpl w:val="127EDBAA"/>
    <w:lvl w:ilvl="0" w:tplc="D9F04FC0">
      <w:start w:val="1"/>
      <w:numFmt w:val="upp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5" w15:restartNumberingAfterBreak="0">
    <w:nsid w:val="6A482BFD"/>
    <w:multiLevelType w:val="hybridMultilevel"/>
    <w:tmpl w:val="59DEEB40"/>
    <w:lvl w:ilvl="0" w:tplc="B302BFEC">
      <w:start w:val="1"/>
      <w:numFmt w:val="bullet"/>
      <w:lvlText w:val=""/>
      <w:lvlJc w:val="left"/>
      <w:pPr>
        <w:ind w:left="360" w:hanging="360"/>
      </w:pPr>
      <w:rPr>
        <w:rFonts w:ascii="Wingdings" w:hAnsi="Wingdings" w:hint="default"/>
        <w:color w:val="ED7D31" w:themeColor="accent2"/>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36" w15:restartNumberingAfterBreak="0">
    <w:nsid w:val="754B20A6"/>
    <w:multiLevelType w:val="hybridMultilevel"/>
    <w:tmpl w:val="4AC6113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7" w15:restartNumberingAfterBreak="0">
    <w:nsid w:val="781B03C0"/>
    <w:multiLevelType w:val="hybridMultilevel"/>
    <w:tmpl w:val="06EE2FE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8" w15:restartNumberingAfterBreak="0">
    <w:nsid w:val="7F2500CE"/>
    <w:multiLevelType w:val="hybridMultilevel"/>
    <w:tmpl w:val="212614C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9" w15:restartNumberingAfterBreak="0">
    <w:nsid w:val="7FE25EC5"/>
    <w:multiLevelType w:val="hybridMultilevel"/>
    <w:tmpl w:val="E6D633B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34"/>
  </w:num>
  <w:num w:numId="2">
    <w:abstractNumId w:val="17"/>
  </w:num>
  <w:num w:numId="3">
    <w:abstractNumId w:val="31"/>
  </w:num>
  <w:num w:numId="4">
    <w:abstractNumId w:val="26"/>
  </w:num>
  <w:num w:numId="5">
    <w:abstractNumId w:val="11"/>
  </w:num>
  <w:num w:numId="6">
    <w:abstractNumId w:val="28"/>
  </w:num>
  <w:num w:numId="7">
    <w:abstractNumId w:val="30"/>
  </w:num>
  <w:num w:numId="8">
    <w:abstractNumId w:val="21"/>
  </w:num>
  <w:num w:numId="9">
    <w:abstractNumId w:val="4"/>
  </w:num>
  <w:num w:numId="10">
    <w:abstractNumId w:val="22"/>
  </w:num>
  <w:num w:numId="11">
    <w:abstractNumId w:val="6"/>
  </w:num>
  <w:num w:numId="12">
    <w:abstractNumId w:val="10"/>
  </w:num>
  <w:num w:numId="13">
    <w:abstractNumId w:val="20"/>
  </w:num>
  <w:num w:numId="14">
    <w:abstractNumId w:val="5"/>
  </w:num>
  <w:num w:numId="15">
    <w:abstractNumId w:val="38"/>
  </w:num>
  <w:num w:numId="16">
    <w:abstractNumId w:val="9"/>
  </w:num>
  <w:num w:numId="17">
    <w:abstractNumId w:val="8"/>
  </w:num>
  <w:num w:numId="18">
    <w:abstractNumId w:val="15"/>
  </w:num>
  <w:num w:numId="19">
    <w:abstractNumId w:val="33"/>
  </w:num>
  <w:num w:numId="20">
    <w:abstractNumId w:val="13"/>
  </w:num>
  <w:num w:numId="21">
    <w:abstractNumId w:val="16"/>
  </w:num>
  <w:num w:numId="22">
    <w:abstractNumId w:val="35"/>
  </w:num>
  <w:num w:numId="23">
    <w:abstractNumId w:val="25"/>
  </w:num>
  <w:num w:numId="24">
    <w:abstractNumId w:val="0"/>
  </w:num>
  <w:num w:numId="25">
    <w:abstractNumId w:val="32"/>
  </w:num>
  <w:num w:numId="26">
    <w:abstractNumId w:val="27"/>
  </w:num>
  <w:num w:numId="27">
    <w:abstractNumId w:val="7"/>
  </w:num>
  <w:num w:numId="28">
    <w:abstractNumId w:val="39"/>
  </w:num>
  <w:num w:numId="29">
    <w:abstractNumId w:val="18"/>
  </w:num>
  <w:num w:numId="30">
    <w:abstractNumId w:val="1"/>
  </w:num>
  <w:num w:numId="31">
    <w:abstractNumId w:val="37"/>
  </w:num>
  <w:num w:numId="32">
    <w:abstractNumId w:val="2"/>
  </w:num>
  <w:num w:numId="33">
    <w:abstractNumId w:val="23"/>
  </w:num>
  <w:num w:numId="34">
    <w:abstractNumId w:val="36"/>
  </w:num>
  <w:num w:numId="35">
    <w:abstractNumId w:val="14"/>
  </w:num>
  <w:num w:numId="36">
    <w:abstractNumId w:val="3"/>
  </w:num>
  <w:num w:numId="37">
    <w:abstractNumId w:val="24"/>
  </w:num>
  <w:num w:numId="38">
    <w:abstractNumId w:val="29"/>
  </w:num>
  <w:num w:numId="39">
    <w:abstractNumId w:val="19"/>
  </w:num>
  <w:num w:numId="4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1643"/>
    <w:rsid w:val="00000838"/>
    <w:rsid w:val="00001E76"/>
    <w:rsid w:val="00001ECD"/>
    <w:rsid w:val="00003F18"/>
    <w:rsid w:val="000044C1"/>
    <w:rsid w:val="00004E82"/>
    <w:rsid w:val="00005C83"/>
    <w:rsid w:val="00005E32"/>
    <w:rsid w:val="00007552"/>
    <w:rsid w:val="0001024D"/>
    <w:rsid w:val="00010F03"/>
    <w:rsid w:val="00011343"/>
    <w:rsid w:val="00012122"/>
    <w:rsid w:val="00012886"/>
    <w:rsid w:val="000135E0"/>
    <w:rsid w:val="00014395"/>
    <w:rsid w:val="00015278"/>
    <w:rsid w:val="00016F0B"/>
    <w:rsid w:val="00017D13"/>
    <w:rsid w:val="000201DF"/>
    <w:rsid w:val="00021D2F"/>
    <w:rsid w:val="0002311D"/>
    <w:rsid w:val="00025AC7"/>
    <w:rsid w:val="00025CD3"/>
    <w:rsid w:val="000264D5"/>
    <w:rsid w:val="000274C9"/>
    <w:rsid w:val="00030093"/>
    <w:rsid w:val="00031C8B"/>
    <w:rsid w:val="00032E28"/>
    <w:rsid w:val="000331C5"/>
    <w:rsid w:val="000332BD"/>
    <w:rsid w:val="0003454B"/>
    <w:rsid w:val="000349C8"/>
    <w:rsid w:val="000352A3"/>
    <w:rsid w:val="000356B4"/>
    <w:rsid w:val="000375EE"/>
    <w:rsid w:val="000407C1"/>
    <w:rsid w:val="000420EB"/>
    <w:rsid w:val="00043C4D"/>
    <w:rsid w:val="00045441"/>
    <w:rsid w:val="000457C5"/>
    <w:rsid w:val="00046806"/>
    <w:rsid w:val="000468EE"/>
    <w:rsid w:val="000516BD"/>
    <w:rsid w:val="00052147"/>
    <w:rsid w:val="00052171"/>
    <w:rsid w:val="00053320"/>
    <w:rsid w:val="00053E1C"/>
    <w:rsid w:val="00056D13"/>
    <w:rsid w:val="00056D48"/>
    <w:rsid w:val="00057610"/>
    <w:rsid w:val="00057AF0"/>
    <w:rsid w:val="00057E1A"/>
    <w:rsid w:val="00062C8D"/>
    <w:rsid w:val="0006424E"/>
    <w:rsid w:val="000649E5"/>
    <w:rsid w:val="00064BA4"/>
    <w:rsid w:val="00064EF8"/>
    <w:rsid w:val="000657E6"/>
    <w:rsid w:val="000668D5"/>
    <w:rsid w:val="000727AB"/>
    <w:rsid w:val="000727CB"/>
    <w:rsid w:val="00072CE1"/>
    <w:rsid w:val="00072D2C"/>
    <w:rsid w:val="00073363"/>
    <w:rsid w:val="00073656"/>
    <w:rsid w:val="000744DE"/>
    <w:rsid w:val="000752A1"/>
    <w:rsid w:val="00075786"/>
    <w:rsid w:val="00075D27"/>
    <w:rsid w:val="00075E90"/>
    <w:rsid w:val="000760B1"/>
    <w:rsid w:val="00077002"/>
    <w:rsid w:val="00077A04"/>
    <w:rsid w:val="000808C3"/>
    <w:rsid w:val="00081A9C"/>
    <w:rsid w:val="00081CB0"/>
    <w:rsid w:val="00081CF8"/>
    <w:rsid w:val="000821FD"/>
    <w:rsid w:val="00083C46"/>
    <w:rsid w:val="000844C8"/>
    <w:rsid w:val="00087D8F"/>
    <w:rsid w:val="00090724"/>
    <w:rsid w:val="000909C2"/>
    <w:rsid w:val="00093169"/>
    <w:rsid w:val="00093230"/>
    <w:rsid w:val="000934ED"/>
    <w:rsid w:val="00093FBC"/>
    <w:rsid w:val="00095472"/>
    <w:rsid w:val="000954B3"/>
    <w:rsid w:val="000959CD"/>
    <w:rsid w:val="00095BE7"/>
    <w:rsid w:val="000A0C21"/>
    <w:rsid w:val="000A0E57"/>
    <w:rsid w:val="000A1A7F"/>
    <w:rsid w:val="000A23D0"/>
    <w:rsid w:val="000A35AC"/>
    <w:rsid w:val="000A3876"/>
    <w:rsid w:val="000A4C08"/>
    <w:rsid w:val="000A5946"/>
    <w:rsid w:val="000A6D7B"/>
    <w:rsid w:val="000B208A"/>
    <w:rsid w:val="000B43C4"/>
    <w:rsid w:val="000C2361"/>
    <w:rsid w:val="000C2E56"/>
    <w:rsid w:val="000C2ECD"/>
    <w:rsid w:val="000C436B"/>
    <w:rsid w:val="000C478A"/>
    <w:rsid w:val="000C490F"/>
    <w:rsid w:val="000C5C58"/>
    <w:rsid w:val="000C6ED4"/>
    <w:rsid w:val="000C7FC9"/>
    <w:rsid w:val="000D03E4"/>
    <w:rsid w:val="000D0D44"/>
    <w:rsid w:val="000D0FFF"/>
    <w:rsid w:val="000D1BBD"/>
    <w:rsid w:val="000D1E45"/>
    <w:rsid w:val="000D311D"/>
    <w:rsid w:val="000D3712"/>
    <w:rsid w:val="000D4A87"/>
    <w:rsid w:val="000D521D"/>
    <w:rsid w:val="000D6F29"/>
    <w:rsid w:val="000D7569"/>
    <w:rsid w:val="000E04EF"/>
    <w:rsid w:val="000E127E"/>
    <w:rsid w:val="000E2549"/>
    <w:rsid w:val="000E28A6"/>
    <w:rsid w:val="000E2F08"/>
    <w:rsid w:val="000E4008"/>
    <w:rsid w:val="000E411F"/>
    <w:rsid w:val="000E4216"/>
    <w:rsid w:val="000E4638"/>
    <w:rsid w:val="000E5183"/>
    <w:rsid w:val="000E5B1F"/>
    <w:rsid w:val="000E6036"/>
    <w:rsid w:val="000E7110"/>
    <w:rsid w:val="000F0666"/>
    <w:rsid w:val="000F0A88"/>
    <w:rsid w:val="000F110F"/>
    <w:rsid w:val="000F166A"/>
    <w:rsid w:val="000F46B0"/>
    <w:rsid w:val="000F4FDD"/>
    <w:rsid w:val="000F5B9A"/>
    <w:rsid w:val="000F6B14"/>
    <w:rsid w:val="000F7F48"/>
    <w:rsid w:val="0010304A"/>
    <w:rsid w:val="00105FB6"/>
    <w:rsid w:val="00107AE1"/>
    <w:rsid w:val="0011092C"/>
    <w:rsid w:val="00111DDB"/>
    <w:rsid w:val="00112859"/>
    <w:rsid w:val="00113672"/>
    <w:rsid w:val="00113C7F"/>
    <w:rsid w:val="0011440A"/>
    <w:rsid w:val="00114A3F"/>
    <w:rsid w:val="00114CE6"/>
    <w:rsid w:val="00115A38"/>
    <w:rsid w:val="00115C78"/>
    <w:rsid w:val="001166D3"/>
    <w:rsid w:val="00117A3C"/>
    <w:rsid w:val="00120BD3"/>
    <w:rsid w:val="001244FE"/>
    <w:rsid w:val="00125626"/>
    <w:rsid w:val="00125E30"/>
    <w:rsid w:val="001269EA"/>
    <w:rsid w:val="00127915"/>
    <w:rsid w:val="001324D9"/>
    <w:rsid w:val="00132B6B"/>
    <w:rsid w:val="0013388B"/>
    <w:rsid w:val="00135B66"/>
    <w:rsid w:val="00135DAF"/>
    <w:rsid w:val="00137F6F"/>
    <w:rsid w:val="0014070E"/>
    <w:rsid w:val="0014161C"/>
    <w:rsid w:val="0014165C"/>
    <w:rsid w:val="00145B7A"/>
    <w:rsid w:val="0014612F"/>
    <w:rsid w:val="00146E46"/>
    <w:rsid w:val="00147D26"/>
    <w:rsid w:val="001500E1"/>
    <w:rsid w:val="00150320"/>
    <w:rsid w:val="0015041B"/>
    <w:rsid w:val="001515D2"/>
    <w:rsid w:val="00151643"/>
    <w:rsid w:val="001523FC"/>
    <w:rsid w:val="00153B86"/>
    <w:rsid w:val="00155184"/>
    <w:rsid w:val="00156614"/>
    <w:rsid w:val="00156871"/>
    <w:rsid w:val="001600BE"/>
    <w:rsid w:val="00161EE5"/>
    <w:rsid w:val="00161EE9"/>
    <w:rsid w:val="001621DC"/>
    <w:rsid w:val="001635F6"/>
    <w:rsid w:val="00163BC4"/>
    <w:rsid w:val="00163F1F"/>
    <w:rsid w:val="00164386"/>
    <w:rsid w:val="00164782"/>
    <w:rsid w:val="00165001"/>
    <w:rsid w:val="001661C2"/>
    <w:rsid w:val="00167F57"/>
    <w:rsid w:val="0017216D"/>
    <w:rsid w:val="001732F0"/>
    <w:rsid w:val="00173F99"/>
    <w:rsid w:val="00174012"/>
    <w:rsid w:val="001747AF"/>
    <w:rsid w:val="00174BA5"/>
    <w:rsid w:val="00175FA8"/>
    <w:rsid w:val="00176DD2"/>
    <w:rsid w:val="00177BD8"/>
    <w:rsid w:val="001802A9"/>
    <w:rsid w:val="00180500"/>
    <w:rsid w:val="00181761"/>
    <w:rsid w:val="001818C8"/>
    <w:rsid w:val="0018232B"/>
    <w:rsid w:val="00185234"/>
    <w:rsid w:val="0018591C"/>
    <w:rsid w:val="00185D62"/>
    <w:rsid w:val="001871D6"/>
    <w:rsid w:val="00187570"/>
    <w:rsid w:val="00187890"/>
    <w:rsid w:val="001878EF"/>
    <w:rsid w:val="0019054C"/>
    <w:rsid w:val="00190F48"/>
    <w:rsid w:val="001930BA"/>
    <w:rsid w:val="00193467"/>
    <w:rsid w:val="00193D22"/>
    <w:rsid w:val="001940EA"/>
    <w:rsid w:val="00194174"/>
    <w:rsid w:val="001950DC"/>
    <w:rsid w:val="0019528B"/>
    <w:rsid w:val="00197777"/>
    <w:rsid w:val="001A0EA2"/>
    <w:rsid w:val="001A1AC2"/>
    <w:rsid w:val="001A2A91"/>
    <w:rsid w:val="001A3D84"/>
    <w:rsid w:val="001A45FE"/>
    <w:rsid w:val="001A52AF"/>
    <w:rsid w:val="001A53F5"/>
    <w:rsid w:val="001A6910"/>
    <w:rsid w:val="001A69B3"/>
    <w:rsid w:val="001B06A4"/>
    <w:rsid w:val="001B2AC1"/>
    <w:rsid w:val="001B3678"/>
    <w:rsid w:val="001B55D8"/>
    <w:rsid w:val="001B55DE"/>
    <w:rsid w:val="001C07E0"/>
    <w:rsid w:val="001C1957"/>
    <w:rsid w:val="001C2E37"/>
    <w:rsid w:val="001C35DB"/>
    <w:rsid w:val="001C4A7F"/>
    <w:rsid w:val="001C647F"/>
    <w:rsid w:val="001C6C82"/>
    <w:rsid w:val="001C7438"/>
    <w:rsid w:val="001C77AB"/>
    <w:rsid w:val="001D06BB"/>
    <w:rsid w:val="001D3A7D"/>
    <w:rsid w:val="001D46B5"/>
    <w:rsid w:val="001D554A"/>
    <w:rsid w:val="001D58A2"/>
    <w:rsid w:val="001D7183"/>
    <w:rsid w:val="001D7A32"/>
    <w:rsid w:val="001E0CB3"/>
    <w:rsid w:val="001E1010"/>
    <w:rsid w:val="001E180C"/>
    <w:rsid w:val="001E3262"/>
    <w:rsid w:val="001E4348"/>
    <w:rsid w:val="001E6149"/>
    <w:rsid w:val="001F0311"/>
    <w:rsid w:val="001F3707"/>
    <w:rsid w:val="001F50D1"/>
    <w:rsid w:val="001F6B2A"/>
    <w:rsid w:val="001F7142"/>
    <w:rsid w:val="00200777"/>
    <w:rsid w:val="00200BDF"/>
    <w:rsid w:val="00200EA3"/>
    <w:rsid w:val="002011D2"/>
    <w:rsid w:val="00201690"/>
    <w:rsid w:val="0020186D"/>
    <w:rsid w:val="00201957"/>
    <w:rsid w:val="0020199E"/>
    <w:rsid w:val="00203628"/>
    <w:rsid w:val="00203D7D"/>
    <w:rsid w:val="00206A8D"/>
    <w:rsid w:val="00206E19"/>
    <w:rsid w:val="002079A9"/>
    <w:rsid w:val="00210557"/>
    <w:rsid w:val="002110F9"/>
    <w:rsid w:val="0021279F"/>
    <w:rsid w:val="00212886"/>
    <w:rsid w:val="00214D97"/>
    <w:rsid w:val="00216A80"/>
    <w:rsid w:val="002212C6"/>
    <w:rsid w:val="00221730"/>
    <w:rsid w:val="00221957"/>
    <w:rsid w:val="00221ED1"/>
    <w:rsid w:val="002226B1"/>
    <w:rsid w:val="00223E1E"/>
    <w:rsid w:val="00225B7D"/>
    <w:rsid w:val="0022728A"/>
    <w:rsid w:val="00227832"/>
    <w:rsid w:val="002306FE"/>
    <w:rsid w:val="00231281"/>
    <w:rsid w:val="00231F17"/>
    <w:rsid w:val="002322B5"/>
    <w:rsid w:val="00236942"/>
    <w:rsid w:val="00237292"/>
    <w:rsid w:val="00240EEA"/>
    <w:rsid w:val="00242860"/>
    <w:rsid w:val="00242C3D"/>
    <w:rsid w:val="0024444D"/>
    <w:rsid w:val="00244756"/>
    <w:rsid w:val="0024515A"/>
    <w:rsid w:val="00247F83"/>
    <w:rsid w:val="00250C90"/>
    <w:rsid w:val="00250F02"/>
    <w:rsid w:val="002510E2"/>
    <w:rsid w:val="002520DB"/>
    <w:rsid w:val="0025260C"/>
    <w:rsid w:val="0025475A"/>
    <w:rsid w:val="00254ECE"/>
    <w:rsid w:val="00255A94"/>
    <w:rsid w:val="00256983"/>
    <w:rsid w:val="002577FD"/>
    <w:rsid w:val="002612FF"/>
    <w:rsid w:val="002637A9"/>
    <w:rsid w:val="002638A7"/>
    <w:rsid w:val="00264539"/>
    <w:rsid w:val="0026683E"/>
    <w:rsid w:val="00266F84"/>
    <w:rsid w:val="00267C6E"/>
    <w:rsid w:val="0027041B"/>
    <w:rsid w:val="0027162E"/>
    <w:rsid w:val="002719F9"/>
    <w:rsid w:val="00272409"/>
    <w:rsid w:val="002725FB"/>
    <w:rsid w:val="00272906"/>
    <w:rsid w:val="00273D73"/>
    <w:rsid w:val="00274668"/>
    <w:rsid w:val="00277DAF"/>
    <w:rsid w:val="00277E5F"/>
    <w:rsid w:val="00281615"/>
    <w:rsid w:val="00282250"/>
    <w:rsid w:val="0028556A"/>
    <w:rsid w:val="00287AC8"/>
    <w:rsid w:val="00287E09"/>
    <w:rsid w:val="00290362"/>
    <w:rsid w:val="00290A78"/>
    <w:rsid w:val="00290BCF"/>
    <w:rsid w:val="00290CE9"/>
    <w:rsid w:val="00292B8A"/>
    <w:rsid w:val="00293A6B"/>
    <w:rsid w:val="002954A8"/>
    <w:rsid w:val="00297B48"/>
    <w:rsid w:val="002A03DD"/>
    <w:rsid w:val="002A0A27"/>
    <w:rsid w:val="002A0FE9"/>
    <w:rsid w:val="002A15F8"/>
    <w:rsid w:val="002A1807"/>
    <w:rsid w:val="002A4CB5"/>
    <w:rsid w:val="002A645F"/>
    <w:rsid w:val="002A6B1F"/>
    <w:rsid w:val="002A6C7D"/>
    <w:rsid w:val="002B0C88"/>
    <w:rsid w:val="002B1133"/>
    <w:rsid w:val="002B6073"/>
    <w:rsid w:val="002B7661"/>
    <w:rsid w:val="002C0070"/>
    <w:rsid w:val="002C1ADB"/>
    <w:rsid w:val="002C212B"/>
    <w:rsid w:val="002C3799"/>
    <w:rsid w:val="002C6085"/>
    <w:rsid w:val="002C6EA5"/>
    <w:rsid w:val="002C7242"/>
    <w:rsid w:val="002C7B7B"/>
    <w:rsid w:val="002D0CC0"/>
    <w:rsid w:val="002D3B65"/>
    <w:rsid w:val="002D4DA2"/>
    <w:rsid w:val="002D523C"/>
    <w:rsid w:val="002D53BD"/>
    <w:rsid w:val="002D57EE"/>
    <w:rsid w:val="002D5859"/>
    <w:rsid w:val="002D5C41"/>
    <w:rsid w:val="002D6544"/>
    <w:rsid w:val="002D7476"/>
    <w:rsid w:val="002E084F"/>
    <w:rsid w:val="002E0FAB"/>
    <w:rsid w:val="002E22F9"/>
    <w:rsid w:val="002E28D8"/>
    <w:rsid w:val="002E2C43"/>
    <w:rsid w:val="002E3A46"/>
    <w:rsid w:val="002E49E3"/>
    <w:rsid w:val="002E4E5A"/>
    <w:rsid w:val="002E54FD"/>
    <w:rsid w:val="002E5E19"/>
    <w:rsid w:val="002E691A"/>
    <w:rsid w:val="002E6D9A"/>
    <w:rsid w:val="002E7043"/>
    <w:rsid w:val="002F0FAF"/>
    <w:rsid w:val="002F1261"/>
    <w:rsid w:val="002F1C45"/>
    <w:rsid w:val="002F2B95"/>
    <w:rsid w:val="002F2D70"/>
    <w:rsid w:val="002F3D6A"/>
    <w:rsid w:val="002F5033"/>
    <w:rsid w:val="002F59F2"/>
    <w:rsid w:val="00300368"/>
    <w:rsid w:val="00302E68"/>
    <w:rsid w:val="00303D48"/>
    <w:rsid w:val="0030440D"/>
    <w:rsid w:val="003048D5"/>
    <w:rsid w:val="00304E9D"/>
    <w:rsid w:val="00307A5E"/>
    <w:rsid w:val="003121D3"/>
    <w:rsid w:val="00312765"/>
    <w:rsid w:val="00312A62"/>
    <w:rsid w:val="00312D0C"/>
    <w:rsid w:val="00312D81"/>
    <w:rsid w:val="00313AEA"/>
    <w:rsid w:val="003147BE"/>
    <w:rsid w:val="0031548B"/>
    <w:rsid w:val="00315FC8"/>
    <w:rsid w:val="00316522"/>
    <w:rsid w:val="00316920"/>
    <w:rsid w:val="00316985"/>
    <w:rsid w:val="00317BC7"/>
    <w:rsid w:val="00320C21"/>
    <w:rsid w:val="00320DBF"/>
    <w:rsid w:val="00321023"/>
    <w:rsid w:val="003214D6"/>
    <w:rsid w:val="00322150"/>
    <w:rsid w:val="003224AB"/>
    <w:rsid w:val="00322B0F"/>
    <w:rsid w:val="003244D7"/>
    <w:rsid w:val="00324761"/>
    <w:rsid w:val="00326359"/>
    <w:rsid w:val="00326774"/>
    <w:rsid w:val="003275B2"/>
    <w:rsid w:val="00330E80"/>
    <w:rsid w:val="0033100A"/>
    <w:rsid w:val="00331EDE"/>
    <w:rsid w:val="003345B1"/>
    <w:rsid w:val="003349E0"/>
    <w:rsid w:val="00335035"/>
    <w:rsid w:val="003378D5"/>
    <w:rsid w:val="00337C31"/>
    <w:rsid w:val="00341F3C"/>
    <w:rsid w:val="003425E2"/>
    <w:rsid w:val="00344704"/>
    <w:rsid w:val="0034474D"/>
    <w:rsid w:val="0034530A"/>
    <w:rsid w:val="00346496"/>
    <w:rsid w:val="003468B8"/>
    <w:rsid w:val="0034740E"/>
    <w:rsid w:val="00347775"/>
    <w:rsid w:val="00347FB8"/>
    <w:rsid w:val="00355227"/>
    <w:rsid w:val="00355D63"/>
    <w:rsid w:val="00356883"/>
    <w:rsid w:val="00360156"/>
    <w:rsid w:val="00360329"/>
    <w:rsid w:val="00361D5E"/>
    <w:rsid w:val="00361FAF"/>
    <w:rsid w:val="00365DE9"/>
    <w:rsid w:val="003667A8"/>
    <w:rsid w:val="0036727C"/>
    <w:rsid w:val="00367FC4"/>
    <w:rsid w:val="00373919"/>
    <w:rsid w:val="00373E56"/>
    <w:rsid w:val="00374594"/>
    <w:rsid w:val="003769CC"/>
    <w:rsid w:val="00376BD9"/>
    <w:rsid w:val="003777B3"/>
    <w:rsid w:val="00377C87"/>
    <w:rsid w:val="003801F3"/>
    <w:rsid w:val="00380954"/>
    <w:rsid w:val="00380A6F"/>
    <w:rsid w:val="00380C56"/>
    <w:rsid w:val="00380EAA"/>
    <w:rsid w:val="00381A8E"/>
    <w:rsid w:val="0038232C"/>
    <w:rsid w:val="00383734"/>
    <w:rsid w:val="00386413"/>
    <w:rsid w:val="00386E39"/>
    <w:rsid w:val="003874FD"/>
    <w:rsid w:val="003901F0"/>
    <w:rsid w:val="003918B7"/>
    <w:rsid w:val="00391C2A"/>
    <w:rsid w:val="00392619"/>
    <w:rsid w:val="00392A9D"/>
    <w:rsid w:val="00393896"/>
    <w:rsid w:val="00394C55"/>
    <w:rsid w:val="00395B32"/>
    <w:rsid w:val="00395C81"/>
    <w:rsid w:val="00396E58"/>
    <w:rsid w:val="003970D0"/>
    <w:rsid w:val="003A11CC"/>
    <w:rsid w:val="003A3C1F"/>
    <w:rsid w:val="003A579C"/>
    <w:rsid w:val="003A5DCC"/>
    <w:rsid w:val="003A62F0"/>
    <w:rsid w:val="003A75B4"/>
    <w:rsid w:val="003A791B"/>
    <w:rsid w:val="003B1860"/>
    <w:rsid w:val="003B2527"/>
    <w:rsid w:val="003B327D"/>
    <w:rsid w:val="003B3E8D"/>
    <w:rsid w:val="003B69DA"/>
    <w:rsid w:val="003B7634"/>
    <w:rsid w:val="003B78B6"/>
    <w:rsid w:val="003C015D"/>
    <w:rsid w:val="003C1643"/>
    <w:rsid w:val="003C1B07"/>
    <w:rsid w:val="003C1CF1"/>
    <w:rsid w:val="003C20F1"/>
    <w:rsid w:val="003C2F53"/>
    <w:rsid w:val="003C34CB"/>
    <w:rsid w:val="003C4D3E"/>
    <w:rsid w:val="003D0958"/>
    <w:rsid w:val="003D0972"/>
    <w:rsid w:val="003D1A45"/>
    <w:rsid w:val="003D2AC3"/>
    <w:rsid w:val="003D2C33"/>
    <w:rsid w:val="003D50D5"/>
    <w:rsid w:val="003D53E6"/>
    <w:rsid w:val="003D61C7"/>
    <w:rsid w:val="003D73F1"/>
    <w:rsid w:val="003E005D"/>
    <w:rsid w:val="003E006E"/>
    <w:rsid w:val="003E373E"/>
    <w:rsid w:val="003E51D5"/>
    <w:rsid w:val="003E5AB3"/>
    <w:rsid w:val="003E5E65"/>
    <w:rsid w:val="003E6F9B"/>
    <w:rsid w:val="003E702F"/>
    <w:rsid w:val="003E7975"/>
    <w:rsid w:val="003E7A2E"/>
    <w:rsid w:val="003F09A7"/>
    <w:rsid w:val="003F21B7"/>
    <w:rsid w:val="003F2226"/>
    <w:rsid w:val="003F251C"/>
    <w:rsid w:val="003F27DE"/>
    <w:rsid w:val="003F2B3E"/>
    <w:rsid w:val="003F3FA7"/>
    <w:rsid w:val="003F4837"/>
    <w:rsid w:val="003F5A09"/>
    <w:rsid w:val="003F72C3"/>
    <w:rsid w:val="003F7EE7"/>
    <w:rsid w:val="004001AC"/>
    <w:rsid w:val="00400551"/>
    <w:rsid w:val="00402519"/>
    <w:rsid w:val="00405010"/>
    <w:rsid w:val="004068F4"/>
    <w:rsid w:val="00406933"/>
    <w:rsid w:val="00407FEC"/>
    <w:rsid w:val="004110F9"/>
    <w:rsid w:val="00412237"/>
    <w:rsid w:val="0041381A"/>
    <w:rsid w:val="004153F0"/>
    <w:rsid w:val="00415D84"/>
    <w:rsid w:val="00416366"/>
    <w:rsid w:val="00416E89"/>
    <w:rsid w:val="00417061"/>
    <w:rsid w:val="0041794F"/>
    <w:rsid w:val="004205F9"/>
    <w:rsid w:val="00421EAA"/>
    <w:rsid w:val="0042264D"/>
    <w:rsid w:val="0042329E"/>
    <w:rsid w:val="0042396B"/>
    <w:rsid w:val="004243C2"/>
    <w:rsid w:val="00425C71"/>
    <w:rsid w:val="00430F6C"/>
    <w:rsid w:val="0043154B"/>
    <w:rsid w:val="00432298"/>
    <w:rsid w:val="0043317C"/>
    <w:rsid w:val="00434098"/>
    <w:rsid w:val="00434123"/>
    <w:rsid w:val="00437633"/>
    <w:rsid w:val="00437729"/>
    <w:rsid w:val="0044016B"/>
    <w:rsid w:val="00442CF2"/>
    <w:rsid w:val="0044374C"/>
    <w:rsid w:val="00443FF0"/>
    <w:rsid w:val="00444219"/>
    <w:rsid w:val="004456FB"/>
    <w:rsid w:val="00445C9F"/>
    <w:rsid w:val="0044606E"/>
    <w:rsid w:val="004468E6"/>
    <w:rsid w:val="0045108E"/>
    <w:rsid w:val="0045149B"/>
    <w:rsid w:val="00452327"/>
    <w:rsid w:val="0045255D"/>
    <w:rsid w:val="00453110"/>
    <w:rsid w:val="00453F87"/>
    <w:rsid w:val="00454881"/>
    <w:rsid w:val="00457015"/>
    <w:rsid w:val="0045738D"/>
    <w:rsid w:val="00457CE5"/>
    <w:rsid w:val="00460C59"/>
    <w:rsid w:val="00465C8B"/>
    <w:rsid w:val="00466EDF"/>
    <w:rsid w:val="0047032C"/>
    <w:rsid w:val="004708AB"/>
    <w:rsid w:val="00470A7F"/>
    <w:rsid w:val="00471933"/>
    <w:rsid w:val="00471CB6"/>
    <w:rsid w:val="00472F46"/>
    <w:rsid w:val="0047351E"/>
    <w:rsid w:val="004735C7"/>
    <w:rsid w:val="004749B1"/>
    <w:rsid w:val="004809CC"/>
    <w:rsid w:val="00481582"/>
    <w:rsid w:val="00482787"/>
    <w:rsid w:val="00482A0D"/>
    <w:rsid w:val="00483A9A"/>
    <w:rsid w:val="00484A2C"/>
    <w:rsid w:val="00486560"/>
    <w:rsid w:val="0048709E"/>
    <w:rsid w:val="00487A36"/>
    <w:rsid w:val="00487BC8"/>
    <w:rsid w:val="004902C1"/>
    <w:rsid w:val="0049126A"/>
    <w:rsid w:val="0049172C"/>
    <w:rsid w:val="004928BA"/>
    <w:rsid w:val="00492CB2"/>
    <w:rsid w:val="0049412E"/>
    <w:rsid w:val="00495E4C"/>
    <w:rsid w:val="00496626"/>
    <w:rsid w:val="0049735A"/>
    <w:rsid w:val="004978CC"/>
    <w:rsid w:val="00497B3E"/>
    <w:rsid w:val="00497E1B"/>
    <w:rsid w:val="004A034F"/>
    <w:rsid w:val="004A0B02"/>
    <w:rsid w:val="004A1958"/>
    <w:rsid w:val="004A35E1"/>
    <w:rsid w:val="004A4E1E"/>
    <w:rsid w:val="004A547F"/>
    <w:rsid w:val="004A7409"/>
    <w:rsid w:val="004A7BC5"/>
    <w:rsid w:val="004B2B3A"/>
    <w:rsid w:val="004B36D4"/>
    <w:rsid w:val="004B46C5"/>
    <w:rsid w:val="004B4994"/>
    <w:rsid w:val="004B5EBE"/>
    <w:rsid w:val="004B731B"/>
    <w:rsid w:val="004C0C16"/>
    <w:rsid w:val="004C2622"/>
    <w:rsid w:val="004C31C4"/>
    <w:rsid w:val="004C34C3"/>
    <w:rsid w:val="004C4251"/>
    <w:rsid w:val="004C4590"/>
    <w:rsid w:val="004C4FE9"/>
    <w:rsid w:val="004C5F1E"/>
    <w:rsid w:val="004C73A2"/>
    <w:rsid w:val="004C7D55"/>
    <w:rsid w:val="004D1370"/>
    <w:rsid w:val="004D1F2C"/>
    <w:rsid w:val="004D2A99"/>
    <w:rsid w:val="004E08AB"/>
    <w:rsid w:val="004E140F"/>
    <w:rsid w:val="004E1A27"/>
    <w:rsid w:val="004E2B71"/>
    <w:rsid w:val="004E4A6B"/>
    <w:rsid w:val="004E64A0"/>
    <w:rsid w:val="004F02A7"/>
    <w:rsid w:val="004F142D"/>
    <w:rsid w:val="004F2174"/>
    <w:rsid w:val="004F2E60"/>
    <w:rsid w:val="004F5365"/>
    <w:rsid w:val="004F566B"/>
    <w:rsid w:val="004F75FF"/>
    <w:rsid w:val="0050159A"/>
    <w:rsid w:val="00501911"/>
    <w:rsid w:val="005021C6"/>
    <w:rsid w:val="00504974"/>
    <w:rsid w:val="0050634C"/>
    <w:rsid w:val="00506E82"/>
    <w:rsid w:val="005079D1"/>
    <w:rsid w:val="00511802"/>
    <w:rsid w:val="00511D5C"/>
    <w:rsid w:val="00513CF4"/>
    <w:rsid w:val="00515C48"/>
    <w:rsid w:val="00515E34"/>
    <w:rsid w:val="00516CA5"/>
    <w:rsid w:val="005207E6"/>
    <w:rsid w:val="005217FB"/>
    <w:rsid w:val="005223CE"/>
    <w:rsid w:val="00522BD4"/>
    <w:rsid w:val="00523DC3"/>
    <w:rsid w:val="005252D5"/>
    <w:rsid w:val="005258AD"/>
    <w:rsid w:val="0053139D"/>
    <w:rsid w:val="0053139E"/>
    <w:rsid w:val="00532845"/>
    <w:rsid w:val="005338A5"/>
    <w:rsid w:val="005351DE"/>
    <w:rsid w:val="0053670A"/>
    <w:rsid w:val="0053722B"/>
    <w:rsid w:val="0053757B"/>
    <w:rsid w:val="00537C2C"/>
    <w:rsid w:val="00540F0D"/>
    <w:rsid w:val="0054104E"/>
    <w:rsid w:val="00541D1F"/>
    <w:rsid w:val="005448C1"/>
    <w:rsid w:val="0054621E"/>
    <w:rsid w:val="005465D5"/>
    <w:rsid w:val="00547885"/>
    <w:rsid w:val="005508EC"/>
    <w:rsid w:val="005511BB"/>
    <w:rsid w:val="0055122A"/>
    <w:rsid w:val="00552F6C"/>
    <w:rsid w:val="00553049"/>
    <w:rsid w:val="0055337B"/>
    <w:rsid w:val="005538C5"/>
    <w:rsid w:val="00553A73"/>
    <w:rsid w:val="00555466"/>
    <w:rsid w:val="00556327"/>
    <w:rsid w:val="00561BB0"/>
    <w:rsid w:val="005637AF"/>
    <w:rsid w:val="00565290"/>
    <w:rsid w:val="00566C74"/>
    <w:rsid w:val="00567D35"/>
    <w:rsid w:val="0057153F"/>
    <w:rsid w:val="005735AC"/>
    <w:rsid w:val="0057429D"/>
    <w:rsid w:val="00576B9A"/>
    <w:rsid w:val="00582449"/>
    <w:rsid w:val="005829E2"/>
    <w:rsid w:val="00583F49"/>
    <w:rsid w:val="0058489E"/>
    <w:rsid w:val="005864BB"/>
    <w:rsid w:val="0058658F"/>
    <w:rsid w:val="00591FD7"/>
    <w:rsid w:val="00593158"/>
    <w:rsid w:val="0059398B"/>
    <w:rsid w:val="00594D27"/>
    <w:rsid w:val="005A0C54"/>
    <w:rsid w:val="005A1039"/>
    <w:rsid w:val="005A128D"/>
    <w:rsid w:val="005A226F"/>
    <w:rsid w:val="005A4625"/>
    <w:rsid w:val="005A5D51"/>
    <w:rsid w:val="005A6604"/>
    <w:rsid w:val="005B032D"/>
    <w:rsid w:val="005B05C4"/>
    <w:rsid w:val="005B1B22"/>
    <w:rsid w:val="005B38E8"/>
    <w:rsid w:val="005B3997"/>
    <w:rsid w:val="005B3C6D"/>
    <w:rsid w:val="005B3F7E"/>
    <w:rsid w:val="005B3FEC"/>
    <w:rsid w:val="005B4F21"/>
    <w:rsid w:val="005B5560"/>
    <w:rsid w:val="005B55BD"/>
    <w:rsid w:val="005B70D6"/>
    <w:rsid w:val="005B7C10"/>
    <w:rsid w:val="005C05E9"/>
    <w:rsid w:val="005C126E"/>
    <w:rsid w:val="005C1283"/>
    <w:rsid w:val="005C151B"/>
    <w:rsid w:val="005C1544"/>
    <w:rsid w:val="005C1D06"/>
    <w:rsid w:val="005C1F97"/>
    <w:rsid w:val="005C30F3"/>
    <w:rsid w:val="005C442B"/>
    <w:rsid w:val="005C6659"/>
    <w:rsid w:val="005D106D"/>
    <w:rsid w:val="005D1C2C"/>
    <w:rsid w:val="005D1FE4"/>
    <w:rsid w:val="005D27F9"/>
    <w:rsid w:val="005D4199"/>
    <w:rsid w:val="005D4F49"/>
    <w:rsid w:val="005D4FBA"/>
    <w:rsid w:val="005D503C"/>
    <w:rsid w:val="005D5620"/>
    <w:rsid w:val="005E4969"/>
    <w:rsid w:val="005E4FC0"/>
    <w:rsid w:val="005E500A"/>
    <w:rsid w:val="005E734D"/>
    <w:rsid w:val="005E77F3"/>
    <w:rsid w:val="005E7D5F"/>
    <w:rsid w:val="005F3D6B"/>
    <w:rsid w:val="005F51F8"/>
    <w:rsid w:val="005F5F42"/>
    <w:rsid w:val="005F68A1"/>
    <w:rsid w:val="005F69A2"/>
    <w:rsid w:val="005F7D95"/>
    <w:rsid w:val="006003A8"/>
    <w:rsid w:val="00600CD8"/>
    <w:rsid w:val="00603AD8"/>
    <w:rsid w:val="0060483D"/>
    <w:rsid w:val="00604D44"/>
    <w:rsid w:val="006054BA"/>
    <w:rsid w:val="006059F0"/>
    <w:rsid w:val="006064DE"/>
    <w:rsid w:val="0060725C"/>
    <w:rsid w:val="00607473"/>
    <w:rsid w:val="00607825"/>
    <w:rsid w:val="006078EA"/>
    <w:rsid w:val="00607A73"/>
    <w:rsid w:val="00607C9B"/>
    <w:rsid w:val="006118F8"/>
    <w:rsid w:val="006137BC"/>
    <w:rsid w:val="0061399D"/>
    <w:rsid w:val="00615796"/>
    <w:rsid w:val="00616098"/>
    <w:rsid w:val="006171D1"/>
    <w:rsid w:val="00617E44"/>
    <w:rsid w:val="00617F06"/>
    <w:rsid w:val="00620431"/>
    <w:rsid w:val="006213F9"/>
    <w:rsid w:val="00622565"/>
    <w:rsid w:val="00623455"/>
    <w:rsid w:val="00623C75"/>
    <w:rsid w:val="006261C5"/>
    <w:rsid w:val="00626752"/>
    <w:rsid w:val="0062689A"/>
    <w:rsid w:val="0062705F"/>
    <w:rsid w:val="00627540"/>
    <w:rsid w:val="00632F89"/>
    <w:rsid w:val="00633AC4"/>
    <w:rsid w:val="0063530B"/>
    <w:rsid w:val="006357FA"/>
    <w:rsid w:val="00636D51"/>
    <w:rsid w:val="00637B0D"/>
    <w:rsid w:val="00640CBC"/>
    <w:rsid w:val="006415BC"/>
    <w:rsid w:val="006426BE"/>
    <w:rsid w:val="00642B8F"/>
    <w:rsid w:val="00643029"/>
    <w:rsid w:val="00643319"/>
    <w:rsid w:val="006437BE"/>
    <w:rsid w:val="0064454F"/>
    <w:rsid w:val="00644A00"/>
    <w:rsid w:val="00644C73"/>
    <w:rsid w:val="00645F36"/>
    <w:rsid w:val="00645F51"/>
    <w:rsid w:val="00645F88"/>
    <w:rsid w:val="00650920"/>
    <w:rsid w:val="00651C3E"/>
    <w:rsid w:val="00651FAB"/>
    <w:rsid w:val="00652541"/>
    <w:rsid w:val="0065296A"/>
    <w:rsid w:val="00653477"/>
    <w:rsid w:val="0065572D"/>
    <w:rsid w:val="006559F9"/>
    <w:rsid w:val="00655A2E"/>
    <w:rsid w:val="0065679F"/>
    <w:rsid w:val="00660461"/>
    <w:rsid w:val="00660626"/>
    <w:rsid w:val="00660C96"/>
    <w:rsid w:val="0066120B"/>
    <w:rsid w:val="00661D5D"/>
    <w:rsid w:val="00661FC9"/>
    <w:rsid w:val="00663ABF"/>
    <w:rsid w:val="00664266"/>
    <w:rsid w:val="00664AE5"/>
    <w:rsid w:val="0066533B"/>
    <w:rsid w:val="006678D7"/>
    <w:rsid w:val="00667D63"/>
    <w:rsid w:val="00670026"/>
    <w:rsid w:val="00670533"/>
    <w:rsid w:val="00670A8B"/>
    <w:rsid w:val="00672070"/>
    <w:rsid w:val="006728B9"/>
    <w:rsid w:val="006778D7"/>
    <w:rsid w:val="006779EF"/>
    <w:rsid w:val="00680E0D"/>
    <w:rsid w:val="00681DCC"/>
    <w:rsid w:val="00682084"/>
    <w:rsid w:val="00682374"/>
    <w:rsid w:val="00682C33"/>
    <w:rsid w:val="00683C2A"/>
    <w:rsid w:val="0068512B"/>
    <w:rsid w:val="006870D1"/>
    <w:rsid w:val="006907B9"/>
    <w:rsid w:val="006908F6"/>
    <w:rsid w:val="00690CA0"/>
    <w:rsid w:val="00690CCD"/>
    <w:rsid w:val="00692DD2"/>
    <w:rsid w:val="00694E32"/>
    <w:rsid w:val="006950B5"/>
    <w:rsid w:val="00695110"/>
    <w:rsid w:val="0069671E"/>
    <w:rsid w:val="006968CB"/>
    <w:rsid w:val="00697162"/>
    <w:rsid w:val="006971B6"/>
    <w:rsid w:val="00697B1B"/>
    <w:rsid w:val="006A1C3B"/>
    <w:rsid w:val="006A3F04"/>
    <w:rsid w:val="006A51E0"/>
    <w:rsid w:val="006A5BCC"/>
    <w:rsid w:val="006A68E8"/>
    <w:rsid w:val="006A6916"/>
    <w:rsid w:val="006A6AAC"/>
    <w:rsid w:val="006A6DE6"/>
    <w:rsid w:val="006B0892"/>
    <w:rsid w:val="006B0D4B"/>
    <w:rsid w:val="006B18FA"/>
    <w:rsid w:val="006B1AE1"/>
    <w:rsid w:val="006B1C5C"/>
    <w:rsid w:val="006B2145"/>
    <w:rsid w:val="006B27AE"/>
    <w:rsid w:val="006B5765"/>
    <w:rsid w:val="006B5F42"/>
    <w:rsid w:val="006B6E8C"/>
    <w:rsid w:val="006B7918"/>
    <w:rsid w:val="006B7AD9"/>
    <w:rsid w:val="006C0F65"/>
    <w:rsid w:val="006C1C74"/>
    <w:rsid w:val="006C3C1A"/>
    <w:rsid w:val="006C4237"/>
    <w:rsid w:val="006C513F"/>
    <w:rsid w:val="006C5FBD"/>
    <w:rsid w:val="006C6451"/>
    <w:rsid w:val="006C6A40"/>
    <w:rsid w:val="006C720A"/>
    <w:rsid w:val="006D0635"/>
    <w:rsid w:val="006D0F80"/>
    <w:rsid w:val="006D1F97"/>
    <w:rsid w:val="006D355B"/>
    <w:rsid w:val="006D36DE"/>
    <w:rsid w:val="006D5309"/>
    <w:rsid w:val="006D599C"/>
    <w:rsid w:val="006D6227"/>
    <w:rsid w:val="006D6534"/>
    <w:rsid w:val="006E1F9C"/>
    <w:rsid w:val="006E3593"/>
    <w:rsid w:val="006E35B6"/>
    <w:rsid w:val="006E407E"/>
    <w:rsid w:val="006E6520"/>
    <w:rsid w:val="006E6A5C"/>
    <w:rsid w:val="006E6C2E"/>
    <w:rsid w:val="006E6DE4"/>
    <w:rsid w:val="006E6F1F"/>
    <w:rsid w:val="006F0E39"/>
    <w:rsid w:val="006F1F92"/>
    <w:rsid w:val="006F2B0B"/>
    <w:rsid w:val="006F398B"/>
    <w:rsid w:val="006F6A0E"/>
    <w:rsid w:val="006F6DD7"/>
    <w:rsid w:val="00701874"/>
    <w:rsid w:val="00703E21"/>
    <w:rsid w:val="00704CFE"/>
    <w:rsid w:val="007051A5"/>
    <w:rsid w:val="00706A84"/>
    <w:rsid w:val="00706EE3"/>
    <w:rsid w:val="00707E4C"/>
    <w:rsid w:val="00710121"/>
    <w:rsid w:val="00710805"/>
    <w:rsid w:val="00711B6D"/>
    <w:rsid w:val="00713B5F"/>
    <w:rsid w:val="0071672D"/>
    <w:rsid w:val="00717E81"/>
    <w:rsid w:val="0072193A"/>
    <w:rsid w:val="007219C6"/>
    <w:rsid w:val="0072333D"/>
    <w:rsid w:val="007238F4"/>
    <w:rsid w:val="00724034"/>
    <w:rsid w:val="007252AC"/>
    <w:rsid w:val="007259AD"/>
    <w:rsid w:val="00725DB1"/>
    <w:rsid w:val="0072618F"/>
    <w:rsid w:val="0072710F"/>
    <w:rsid w:val="00727536"/>
    <w:rsid w:val="007276D9"/>
    <w:rsid w:val="00727AD2"/>
    <w:rsid w:val="00732F94"/>
    <w:rsid w:val="00733C12"/>
    <w:rsid w:val="0073525D"/>
    <w:rsid w:val="00735ADB"/>
    <w:rsid w:val="007360AA"/>
    <w:rsid w:val="0074341D"/>
    <w:rsid w:val="0074399C"/>
    <w:rsid w:val="0074429B"/>
    <w:rsid w:val="007446A9"/>
    <w:rsid w:val="00745BD9"/>
    <w:rsid w:val="0075134A"/>
    <w:rsid w:val="00751F4F"/>
    <w:rsid w:val="00752262"/>
    <w:rsid w:val="00755293"/>
    <w:rsid w:val="00755623"/>
    <w:rsid w:val="00755BEC"/>
    <w:rsid w:val="00755EC3"/>
    <w:rsid w:val="00756630"/>
    <w:rsid w:val="0075727F"/>
    <w:rsid w:val="0075743B"/>
    <w:rsid w:val="00761BEA"/>
    <w:rsid w:val="00761DD0"/>
    <w:rsid w:val="00762EC3"/>
    <w:rsid w:val="0076397F"/>
    <w:rsid w:val="00766322"/>
    <w:rsid w:val="00770DC9"/>
    <w:rsid w:val="007751CB"/>
    <w:rsid w:val="00776B8D"/>
    <w:rsid w:val="00777ED1"/>
    <w:rsid w:val="0078162F"/>
    <w:rsid w:val="0078205B"/>
    <w:rsid w:val="0078397C"/>
    <w:rsid w:val="007846E8"/>
    <w:rsid w:val="007858B5"/>
    <w:rsid w:val="0078777E"/>
    <w:rsid w:val="00787807"/>
    <w:rsid w:val="00787960"/>
    <w:rsid w:val="00787E34"/>
    <w:rsid w:val="00790AE6"/>
    <w:rsid w:val="00790FB2"/>
    <w:rsid w:val="00791C95"/>
    <w:rsid w:val="0079262E"/>
    <w:rsid w:val="00793028"/>
    <w:rsid w:val="0079602B"/>
    <w:rsid w:val="007961D0"/>
    <w:rsid w:val="00796822"/>
    <w:rsid w:val="0079729A"/>
    <w:rsid w:val="00797B86"/>
    <w:rsid w:val="007A1E39"/>
    <w:rsid w:val="007A1EE1"/>
    <w:rsid w:val="007A376C"/>
    <w:rsid w:val="007A3A0F"/>
    <w:rsid w:val="007A41D0"/>
    <w:rsid w:val="007A4BAB"/>
    <w:rsid w:val="007A5AE6"/>
    <w:rsid w:val="007A71E0"/>
    <w:rsid w:val="007A7C3D"/>
    <w:rsid w:val="007B102C"/>
    <w:rsid w:val="007B1E8A"/>
    <w:rsid w:val="007B295C"/>
    <w:rsid w:val="007B2B69"/>
    <w:rsid w:val="007B41FC"/>
    <w:rsid w:val="007B6F7C"/>
    <w:rsid w:val="007B7123"/>
    <w:rsid w:val="007B79E0"/>
    <w:rsid w:val="007C00CF"/>
    <w:rsid w:val="007C0296"/>
    <w:rsid w:val="007C0CCA"/>
    <w:rsid w:val="007C126F"/>
    <w:rsid w:val="007C1B59"/>
    <w:rsid w:val="007C2457"/>
    <w:rsid w:val="007C527A"/>
    <w:rsid w:val="007C6002"/>
    <w:rsid w:val="007C717F"/>
    <w:rsid w:val="007C747F"/>
    <w:rsid w:val="007D1791"/>
    <w:rsid w:val="007D259A"/>
    <w:rsid w:val="007D261A"/>
    <w:rsid w:val="007D3007"/>
    <w:rsid w:val="007D309A"/>
    <w:rsid w:val="007D4F06"/>
    <w:rsid w:val="007D768F"/>
    <w:rsid w:val="007E0968"/>
    <w:rsid w:val="007E4281"/>
    <w:rsid w:val="007E46FB"/>
    <w:rsid w:val="007E5F91"/>
    <w:rsid w:val="007E64A9"/>
    <w:rsid w:val="007E72DE"/>
    <w:rsid w:val="007E74F0"/>
    <w:rsid w:val="007E7C38"/>
    <w:rsid w:val="007F0B7D"/>
    <w:rsid w:val="007F2248"/>
    <w:rsid w:val="007F2A6A"/>
    <w:rsid w:val="007F2DB8"/>
    <w:rsid w:val="007F35DF"/>
    <w:rsid w:val="007F3C35"/>
    <w:rsid w:val="007F6D51"/>
    <w:rsid w:val="008011B1"/>
    <w:rsid w:val="0080142C"/>
    <w:rsid w:val="008014CA"/>
    <w:rsid w:val="008018AB"/>
    <w:rsid w:val="00801EE2"/>
    <w:rsid w:val="00803EBB"/>
    <w:rsid w:val="00804FB2"/>
    <w:rsid w:val="008051A5"/>
    <w:rsid w:val="008060CB"/>
    <w:rsid w:val="00806888"/>
    <w:rsid w:val="0080741C"/>
    <w:rsid w:val="00812AD1"/>
    <w:rsid w:val="00813A6A"/>
    <w:rsid w:val="00813F7B"/>
    <w:rsid w:val="00822885"/>
    <w:rsid w:val="00823EED"/>
    <w:rsid w:val="0082463B"/>
    <w:rsid w:val="00824A83"/>
    <w:rsid w:val="0082548F"/>
    <w:rsid w:val="00825BC7"/>
    <w:rsid w:val="00826758"/>
    <w:rsid w:val="00827304"/>
    <w:rsid w:val="008274FF"/>
    <w:rsid w:val="00831D77"/>
    <w:rsid w:val="00835600"/>
    <w:rsid w:val="008356D1"/>
    <w:rsid w:val="00836623"/>
    <w:rsid w:val="00840C2F"/>
    <w:rsid w:val="00841FB3"/>
    <w:rsid w:val="00841FC1"/>
    <w:rsid w:val="00842481"/>
    <w:rsid w:val="00843BFC"/>
    <w:rsid w:val="00843EFD"/>
    <w:rsid w:val="008449C0"/>
    <w:rsid w:val="00846175"/>
    <w:rsid w:val="00846899"/>
    <w:rsid w:val="00847503"/>
    <w:rsid w:val="00847718"/>
    <w:rsid w:val="00850591"/>
    <w:rsid w:val="00850A31"/>
    <w:rsid w:val="008518C4"/>
    <w:rsid w:val="00851BFB"/>
    <w:rsid w:val="00854CC7"/>
    <w:rsid w:val="0085739A"/>
    <w:rsid w:val="00860E10"/>
    <w:rsid w:val="00861072"/>
    <w:rsid w:val="008615D0"/>
    <w:rsid w:val="008620E0"/>
    <w:rsid w:val="00865D13"/>
    <w:rsid w:val="008670D1"/>
    <w:rsid w:val="0086778B"/>
    <w:rsid w:val="008703BE"/>
    <w:rsid w:val="00870E9C"/>
    <w:rsid w:val="0087119D"/>
    <w:rsid w:val="00873148"/>
    <w:rsid w:val="00875216"/>
    <w:rsid w:val="008768AE"/>
    <w:rsid w:val="00876F70"/>
    <w:rsid w:val="0087765A"/>
    <w:rsid w:val="008802B4"/>
    <w:rsid w:val="00880882"/>
    <w:rsid w:val="00881F70"/>
    <w:rsid w:val="008839A0"/>
    <w:rsid w:val="008848F0"/>
    <w:rsid w:val="0088494A"/>
    <w:rsid w:val="00884E4D"/>
    <w:rsid w:val="00887081"/>
    <w:rsid w:val="00890994"/>
    <w:rsid w:val="00890ABD"/>
    <w:rsid w:val="00890E8A"/>
    <w:rsid w:val="00891A84"/>
    <w:rsid w:val="00892154"/>
    <w:rsid w:val="00893788"/>
    <w:rsid w:val="00893C97"/>
    <w:rsid w:val="00893F36"/>
    <w:rsid w:val="00894152"/>
    <w:rsid w:val="008943B8"/>
    <w:rsid w:val="008955D5"/>
    <w:rsid w:val="00896081"/>
    <w:rsid w:val="00896C0E"/>
    <w:rsid w:val="00897757"/>
    <w:rsid w:val="00897FD1"/>
    <w:rsid w:val="008A0AE9"/>
    <w:rsid w:val="008A208E"/>
    <w:rsid w:val="008A2D3A"/>
    <w:rsid w:val="008A3344"/>
    <w:rsid w:val="008A42FC"/>
    <w:rsid w:val="008A57F7"/>
    <w:rsid w:val="008A67F5"/>
    <w:rsid w:val="008A6D40"/>
    <w:rsid w:val="008B2CE8"/>
    <w:rsid w:val="008B5402"/>
    <w:rsid w:val="008B7B79"/>
    <w:rsid w:val="008C0183"/>
    <w:rsid w:val="008C03D9"/>
    <w:rsid w:val="008C0C27"/>
    <w:rsid w:val="008C2259"/>
    <w:rsid w:val="008C5FFE"/>
    <w:rsid w:val="008C6D98"/>
    <w:rsid w:val="008D0CD6"/>
    <w:rsid w:val="008D291E"/>
    <w:rsid w:val="008D349C"/>
    <w:rsid w:val="008D4EB7"/>
    <w:rsid w:val="008D52B1"/>
    <w:rsid w:val="008D588D"/>
    <w:rsid w:val="008D697E"/>
    <w:rsid w:val="008D70C3"/>
    <w:rsid w:val="008D7D4E"/>
    <w:rsid w:val="008E06C2"/>
    <w:rsid w:val="008E17F9"/>
    <w:rsid w:val="008E404C"/>
    <w:rsid w:val="008E466A"/>
    <w:rsid w:val="008E54CA"/>
    <w:rsid w:val="008E5AD4"/>
    <w:rsid w:val="008E5C62"/>
    <w:rsid w:val="008E6F75"/>
    <w:rsid w:val="008F053A"/>
    <w:rsid w:val="008F13F2"/>
    <w:rsid w:val="008F226E"/>
    <w:rsid w:val="008F28AE"/>
    <w:rsid w:val="008F2C8F"/>
    <w:rsid w:val="008F461E"/>
    <w:rsid w:val="008F4D58"/>
    <w:rsid w:val="008F5AD1"/>
    <w:rsid w:val="008F7EB6"/>
    <w:rsid w:val="008F7F5B"/>
    <w:rsid w:val="009018BA"/>
    <w:rsid w:val="0090258B"/>
    <w:rsid w:val="00903119"/>
    <w:rsid w:val="00903C06"/>
    <w:rsid w:val="00906C94"/>
    <w:rsid w:val="00906CF1"/>
    <w:rsid w:val="00910A8E"/>
    <w:rsid w:val="00911954"/>
    <w:rsid w:val="0091298C"/>
    <w:rsid w:val="00912A40"/>
    <w:rsid w:val="00914954"/>
    <w:rsid w:val="00916E4B"/>
    <w:rsid w:val="009207A4"/>
    <w:rsid w:val="00920BE6"/>
    <w:rsid w:val="0092165A"/>
    <w:rsid w:val="0092295A"/>
    <w:rsid w:val="00922AAD"/>
    <w:rsid w:val="00923377"/>
    <w:rsid w:val="00924E8E"/>
    <w:rsid w:val="00925ED7"/>
    <w:rsid w:val="00926033"/>
    <w:rsid w:val="009266C5"/>
    <w:rsid w:val="00926848"/>
    <w:rsid w:val="0092696E"/>
    <w:rsid w:val="00926C19"/>
    <w:rsid w:val="00926FD5"/>
    <w:rsid w:val="00930661"/>
    <w:rsid w:val="00930EAC"/>
    <w:rsid w:val="00931975"/>
    <w:rsid w:val="00931CDD"/>
    <w:rsid w:val="0093277E"/>
    <w:rsid w:val="009334D3"/>
    <w:rsid w:val="00937AEA"/>
    <w:rsid w:val="009403AB"/>
    <w:rsid w:val="00940A47"/>
    <w:rsid w:val="0094122D"/>
    <w:rsid w:val="00942728"/>
    <w:rsid w:val="00942783"/>
    <w:rsid w:val="00947B7B"/>
    <w:rsid w:val="0095209F"/>
    <w:rsid w:val="00952CC5"/>
    <w:rsid w:val="009538C0"/>
    <w:rsid w:val="0095450D"/>
    <w:rsid w:val="00956AAF"/>
    <w:rsid w:val="0095701C"/>
    <w:rsid w:val="00957AD3"/>
    <w:rsid w:val="00962182"/>
    <w:rsid w:val="0096233A"/>
    <w:rsid w:val="00962848"/>
    <w:rsid w:val="00962A49"/>
    <w:rsid w:val="00962B51"/>
    <w:rsid w:val="009632E9"/>
    <w:rsid w:val="00964076"/>
    <w:rsid w:val="009655F1"/>
    <w:rsid w:val="0096592E"/>
    <w:rsid w:val="00966943"/>
    <w:rsid w:val="00966CAF"/>
    <w:rsid w:val="00967E68"/>
    <w:rsid w:val="00970924"/>
    <w:rsid w:val="00971708"/>
    <w:rsid w:val="00972014"/>
    <w:rsid w:val="009732B6"/>
    <w:rsid w:val="009733F3"/>
    <w:rsid w:val="00973922"/>
    <w:rsid w:val="0097493B"/>
    <w:rsid w:val="00975C26"/>
    <w:rsid w:val="009768CB"/>
    <w:rsid w:val="009772D8"/>
    <w:rsid w:val="00977BC8"/>
    <w:rsid w:val="0098099A"/>
    <w:rsid w:val="00980CC3"/>
    <w:rsid w:val="00980D28"/>
    <w:rsid w:val="00981A8D"/>
    <w:rsid w:val="00981B46"/>
    <w:rsid w:val="00982624"/>
    <w:rsid w:val="00983AB8"/>
    <w:rsid w:val="0098458A"/>
    <w:rsid w:val="00986AFC"/>
    <w:rsid w:val="00990766"/>
    <w:rsid w:val="00991525"/>
    <w:rsid w:val="00991C44"/>
    <w:rsid w:val="00992617"/>
    <w:rsid w:val="009928DE"/>
    <w:rsid w:val="00993D52"/>
    <w:rsid w:val="009954FB"/>
    <w:rsid w:val="00995F1B"/>
    <w:rsid w:val="009974B1"/>
    <w:rsid w:val="00997620"/>
    <w:rsid w:val="009A0619"/>
    <w:rsid w:val="009A0836"/>
    <w:rsid w:val="009A2273"/>
    <w:rsid w:val="009A24EB"/>
    <w:rsid w:val="009A388B"/>
    <w:rsid w:val="009A4606"/>
    <w:rsid w:val="009A5319"/>
    <w:rsid w:val="009A5B7B"/>
    <w:rsid w:val="009A7017"/>
    <w:rsid w:val="009B098D"/>
    <w:rsid w:val="009B2837"/>
    <w:rsid w:val="009B43A6"/>
    <w:rsid w:val="009B6037"/>
    <w:rsid w:val="009B6BC9"/>
    <w:rsid w:val="009B7AFD"/>
    <w:rsid w:val="009C2B00"/>
    <w:rsid w:val="009C37FE"/>
    <w:rsid w:val="009C4354"/>
    <w:rsid w:val="009C46F9"/>
    <w:rsid w:val="009C5227"/>
    <w:rsid w:val="009C537E"/>
    <w:rsid w:val="009C561F"/>
    <w:rsid w:val="009C7720"/>
    <w:rsid w:val="009C778B"/>
    <w:rsid w:val="009C7CCD"/>
    <w:rsid w:val="009C7E76"/>
    <w:rsid w:val="009C7F87"/>
    <w:rsid w:val="009D09F7"/>
    <w:rsid w:val="009D2E5B"/>
    <w:rsid w:val="009D3E77"/>
    <w:rsid w:val="009D4555"/>
    <w:rsid w:val="009D4E52"/>
    <w:rsid w:val="009D5231"/>
    <w:rsid w:val="009D7773"/>
    <w:rsid w:val="009E221F"/>
    <w:rsid w:val="009E2324"/>
    <w:rsid w:val="009E29DB"/>
    <w:rsid w:val="009E2F5D"/>
    <w:rsid w:val="009E457E"/>
    <w:rsid w:val="009E55D5"/>
    <w:rsid w:val="009E5BF8"/>
    <w:rsid w:val="009E6753"/>
    <w:rsid w:val="009E6D79"/>
    <w:rsid w:val="009F016F"/>
    <w:rsid w:val="009F0974"/>
    <w:rsid w:val="009F24AA"/>
    <w:rsid w:val="009F52BE"/>
    <w:rsid w:val="009F5A5A"/>
    <w:rsid w:val="009F696C"/>
    <w:rsid w:val="009F69B5"/>
    <w:rsid w:val="009F6BF0"/>
    <w:rsid w:val="009F713A"/>
    <w:rsid w:val="009F7356"/>
    <w:rsid w:val="009F79C5"/>
    <w:rsid w:val="00A00517"/>
    <w:rsid w:val="00A00773"/>
    <w:rsid w:val="00A00834"/>
    <w:rsid w:val="00A0098B"/>
    <w:rsid w:val="00A00CDC"/>
    <w:rsid w:val="00A00DB8"/>
    <w:rsid w:val="00A022A6"/>
    <w:rsid w:val="00A0317F"/>
    <w:rsid w:val="00A044BA"/>
    <w:rsid w:val="00A07FDE"/>
    <w:rsid w:val="00A14608"/>
    <w:rsid w:val="00A16D3D"/>
    <w:rsid w:val="00A16E2D"/>
    <w:rsid w:val="00A2100C"/>
    <w:rsid w:val="00A212B2"/>
    <w:rsid w:val="00A22231"/>
    <w:rsid w:val="00A22875"/>
    <w:rsid w:val="00A23350"/>
    <w:rsid w:val="00A23FB5"/>
    <w:rsid w:val="00A25ED1"/>
    <w:rsid w:val="00A270F2"/>
    <w:rsid w:val="00A30280"/>
    <w:rsid w:val="00A31A92"/>
    <w:rsid w:val="00A32262"/>
    <w:rsid w:val="00A32816"/>
    <w:rsid w:val="00A34105"/>
    <w:rsid w:val="00A353B7"/>
    <w:rsid w:val="00A35C0C"/>
    <w:rsid w:val="00A35C92"/>
    <w:rsid w:val="00A35CE3"/>
    <w:rsid w:val="00A37075"/>
    <w:rsid w:val="00A370E4"/>
    <w:rsid w:val="00A372D3"/>
    <w:rsid w:val="00A374EA"/>
    <w:rsid w:val="00A4066A"/>
    <w:rsid w:val="00A40A41"/>
    <w:rsid w:val="00A41F0D"/>
    <w:rsid w:val="00A42A12"/>
    <w:rsid w:val="00A441D5"/>
    <w:rsid w:val="00A44470"/>
    <w:rsid w:val="00A45425"/>
    <w:rsid w:val="00A47C8F"/>
    <w:rsid w:val="00A526E9"/>
    <w:rsid w:val="00A5384B"/>
    <w:rsid w:val="00A543D3"/>
    <w:rsid w:val="00A54D7E"/>
    <w:rsid w:val="00A54DFF"/>
    <w:rsid w:val="00A5625E"/>
    <w:rsid w:val="00A56546"/>
    <w:rsid w:val="00A566E2"/>
    <w:rsid w:val="00A618B3"/>
    <w:rsid w:val="00A61A60"/>
    <w:rsid w:val="00A635CA"/>
    <w:rsid w:val="00A64EF7"/>
    <w:rsid w:val="00A66887"/>
    <w:rsid w:val="00A673CC"/>
    <w:rsid w:val="00A67FBF"/>
    <w:rsid w:val="00A71509"/>
    <w:rsid w:val="00A716F4"/>
    <w:rsid w:val="00A721E5"/>
    <w:rsid w:val="00A747D0"/>
    <w:rsid w:val="00A74BF5"/>
    <w:rsid w:val="00A769F3"/>
    <w:rsid w:val="00A81A7C"/>
    <w:rsid w:val="00A83729"/>
    <w:rsid w:val="00A84812"/>
    <w:rsid w:val="00A85C82"/>
    <w:rsid w:val="00A874B9"/>
    <w:rsid w:val="00A8793F"/>
    <w:rsid w:val="00A9035A"/>
    <w:rsid w:val="00A90C71"/>
    <w:rsid w:val="00A9196B"/>
    <w:rsid w:val="00A95E02"/>
    <w:rsid w:val="00A96DE5"/>
    <w:rsid w:val="00A971CA"/>
    <w:rsid w:val="00A97823"/>
    <w:rsid w:val="00AA23D8"/>
    <w:rsid w:val="00AA2D55"/>
    <w:rsid w:val="00AA3E04"/>
    <w:rsid w:val="00AA47DC"/>
    <w:rsid w:val="00AA4FE6"/>
    <w:rsid w:val="00AA5774"/>
    <w:rsid w:val="00AA641F"/>
    <w:rsid w:val="00AB0A87"/>
    <w:rsid w:val="00AB1814"/>
    <w:rsid w:val="00AB4438"/>
    <w:rsid w:val="00AB4CDF"/>
    <w:rsid w:val="00AB57FB"/>
    <w:rsid w:val="00AB775C"/>
    <w:rsid w:val="00AC004F"/>
    <w:rsid w:val="00AC0D3E"/>
    <w:rsid w:val="00AC19CA"/>
    <w:rsid w:val="00AC2B66"/>
    <w:rsid w:val="00AC3ADC"/>
    <w:rsid w:val="00AC3E20"/>
    <w:rsid w:val="00AC57D8"/>
    <w:rsid w:val="00AC721C"/>
    <w:rsid w:val="00AC7A9B"/>
    <w:rsid w:val="00AC7B37"/>
    <w:rsid w:val="00AD034C"/>
    <w:rsid w:val="00AD0C93"/>
    <w:rsid w:val="00AD1148"/>
    <w:rsid w:val="00AD303C"/>
    <w:rsid w:val="00AD3833"/>
    <w:rsid w:val="00AD4D09"/>
    <w:rsid w:val="00AD5472"/>
    <w:rsid w:val="00AD5C3B"/>
    <w:rsid w:val="00AD5EE8"/>
    <w:rsid w:val="00AD6783"/>
    <w:rsid w:val="00AD690B"/>
    <w:rsid w:val="00AD7639"/>
    <w:rsid w:val="00AE0A3D"/>
    <w:rsid w:val="00AE0CD3"/>
    <w:rsid w:val="00AE45F2"/>
    <w:rsid w:val="00AF0544"/>
    <w:rsid w:val="00AF20D5"/>
    <w:rsid w:val="00AF3B2C"/>
    <w:rsid w:val="00AF62CD"/>
    <w:rsid w:val="00AF7303"/>
    <w:rsid w:val="00AF7CDF"/>
    <w:rsid w:val="00AF7D78"/>
    <w:rsid w:val="00AF7DC6"/>
    <w:rsid w:val="00B00D47"/>
    <w:rsid w:val="00B01EE3"/>
    <w:rsid w:val="00B059F9"/>
    <w:rsid w:val="00B06DEC"/>
    <w:rsid w:val="00B07D27"/>
    <w:rsid w:val="00B1078A"/>
    <w:rsid w:val="00B11E28"/>
    <w:rsid w:val="00B12101"/>
    <w:rsid w:val="00B1301B"/>
    <w:rsid w:val="00B14AAE"/>
    <w:rsid w:val="00B16136"/>
    <w:rsid w:val="00B173DE"/>
    <w:rsid w:val="00B20B6A"/>
    <w:rsid w:val="00B21522"/>
    <w:rsid w:val="00B21815"/>
    <w:rsid w:val="00B2392F"/>
    <w:rsid w:val="00B24AE6"/>
    <w:rsid w:val="00B24D74"/>
    <w:rsid w:val="00B30ED0"/>
    <w:rsid w:val="00B30F20"/>
    <w:rsid w:val="00B3128F"/>
    <w:rsid w:val="00B31B06"/>
    <w:rsid w:val="00B35295"/>
    <w:rsid w:val="00B35A7B"/>
    <w:rsid w:val="00B36982"/>
    <w:rsid w:val="00B378C3"/>
    <w:rsid w:val="00B37DB5"/>
    <w:rsid w:val="00B40305"/>
    <w:rsid w:val="00B41315"/>
    <w:rsid w:val="00B416D6"/>
    <w:rsid w:val="00B43305"/>
    <w:rsid w:val="00B45973"/>
    <w:rsid w:val="00B45C95"/>
    <w:rsid w:val="00B4646C"/>
    <w:rsid w:val="00B4769E"/>
    <w:rsid w:val="00B52D17"/>
    <w:rsid w:val="00B53601"/>
    <w:rsid w:val="00B54865"/>
    <w:rsid w:val="00B559DD"/>
    <w:rsid w:val="00B564F3"/>
    <w:rsid w:val="00B5703A"/>
    <w:rsid w:val="00B575C9"/>
    <w:rsid w:val="00B57DE2"/>
    <w:rsid w:val="00B60CE0"/>
    <w:rsid w:val="00B6145A"/>
    <w:rsid w:val="00B61D27"/>
    <w:rsid w:val="00B62F98"/>
    <w:rsid w:val="00B6327F"/>
    <w:rsid w:val="00B6681C"/>
    <w:rsid w:val="00B67520"/>
    <w:rsid w:val="00B72132"/>
    <w:rsid w:val="00B725A5"/>
    <w:rsid w:val="00B74F48"/>
    <w:rsid w:val="00B75C35"/>
    <w:rsid w:val="00B7645E"/>
    <w:rsid w:val="00B7688C"/>
    <w:rsid w:val="00B779C9"/>
    <w:rsid w:val="00B77BD2"/>
    <w:rsid w:val="00B77C97"/>
    <w:rsid w:val="00B80E02"/>
    <w:rsid w:val="00B81DD4"/>
    <w:rsid w:val="00B81F83"/>
    <w:rsid w:val="00B81FAF"/>
    <w:rsid w:val="00B823E4"/>
    <w:rsid w:val="00B83197"/>
    <w:rsid w:val="00B8389C"/>
    <w:rsid w:val="00B85D45"/>
    <w:rsid w:val="00B85F1B"/>
    <w:rsid w:val="00B86990"/>
    <w:rsid w:val="00B87150"/>
    <w:rsid w:val="00B903CF"/>
    <w:rsid w:val="00B90A88"/>
    <w:rsid w:val="00B917FE"/>
    <w:rsid w:val="00B91B8B"/>
    <w:rsid w:val="00B938F1"/>
    <w:rsid w:val="00B96FC6"/>
    <w:rsid w:val="00BA097D"/>
    <w:rsid w:val="00BA1A39"/>
    <w:rsid w:val="00BA4381"/>
    <w:rsid w:val="00BA62F8"/>
    <w:rsid w:val="00BA7A88"/>
    <w:rsid w:val="00BB43BD"/>
    <w:rsid w:val="00BB7AF0"/>
    <w:rsid w:val="00BC0565"/>
    <w:rsid w:val="00BC1018"/>
    <w:rsid w:val="00BC36AF"/>
    <w:rsid w:val="00BC38F6"/>
    <w:rsid w:val="00BC46D1"/>
    <w:rsid w:val="00BC4FF5"/>
    <w:rsid w:val="00BC5C3D"/>
    <w:rsid w:val="00BC6A7D"/>
    <w:rsid w:val="00BC71C6"/>
    <w:rsid w:val="00BC7CF8"/>
    <w:rsid w:val="00BD0928"/>
    <w:rsid w:val="00BD095B"/>
    <w:rsid w:val="00BD19DF"/>
    <w:rsid w:val="00BD1E9C"/>
    <w:rsid w:val="00BD26AC"/>
    <w:rsid w:val="00BD2BF5"/>
    <w:rsid w:val="00BD43A4"/>
    <w:rsid w:val="00BD45DF"/>
    <w:rsid w:val="00BD5161"/>
    <w:rsid w:val="00BD7818"/>
    <w:rsid w:val="00BE01D0"/>
    <w:rsid w:val="00BE1250"/>
    <w:rsid w:val="00BE1B7F"/>
    <w:rsid w:val="00BE20D8"/>
    <w:rsid w:val="00BE2245"/>
    <w:rsid w:val="00BE3877"/>
    <w:rsid w:val="00BE419C"/>
    <w:rsid w:val="00BE4525"/>
    <w:rsid w:val="00BE4B8A"/>
    <w:rsid w:val="00BE5EC4"/>
    <w:rsid w:val="00BE5EEC"/>
    <w:rsid w:val="00BE663F"/>
    <w:rsid w:val="00BF08F0"/>
    <w:rsid w:val="00BF13C9"/>
    <w:rsid w:val="00BF2F0F"/>
    <w:rsid w:val="00BF40BF"/>
    <w:rsid w:val="00BF445C"/>
    <w:rsid w:val="00BF5610"/>
    <w:rsid w:val="00BF5DDE"/>
    <w:rsid w:val="00C00290"/>
    <w:rsid w:val="00C02A4B"/>
    <w:rsid w:val="00C03936"/>
    <w:rsid w:val="00C04D22"/>
    <w:rsid w:val="00C067A3"/>
    <w:rsid w:val="00C073F7"/>
    <w:rsid w:val="00C1003C"/>
    <w:rsid w:val="00C104FA"/>
    <w:rsid w:val="00C111E1"/>
    <w:rsid w:val="00C11845"/>
    <w:rsid w:val="00C11BCC"/>
    <w:rsid w:val="00C11E39"/>
    <w:rsid w:val="00C125B0"/>
    <w:rsid w:val="00C12E58"/>
    <w:rsid w:val="00C1389E"/>
    <w:rsid w:val="00C13EB0"/>
    <w:rsid w:val="00C14D4C"/>
    <w:rsid w:val="00C206BB"/>
    <w:rsid w:val="00C20A29"/>
    <w:rsid w:val="00C20BC9"/>
    <w:rsid w:val="00C21041"/>
    <w:rsid w:val="00C21482"/>
    <w:rsid w:val="00C23C92"/>
    <w:rsid w:val="00C248CD"/>
    <w:rsid w:val="00C25019"/>
    <w:rsid w:val="00C2720F"/>
    <w:rsid w:val="00C27798"/>
    <w:rsid w:val="00C312FC"/>
    <w:rsid w:val="00C339B8"/>
    <w:rsid w:val="00C344FB"/>
    <w:rsid w:val="00C35FA5"/>
    <w:rsid w:val="00C37FB3"/>
    <w:rsid w:val="00C40455"/>
    <w:rsid w:val="00C405FD"/>
    <w:rsid w:val="00C40ADF"/>
    <w:rsid w:val="00C40F5D"/>
    <w:rsid w:val="00C413F3"/>
    <w:rsid w:val="00C4235B"/>
    <w:rsid w:val="00C42D75"/>
    <w:rsid w:val="00C43C13"/>
    <w:rsid w:val="00C44F9E"/>
    <w:rsid w:val="00C47D08"/>
    <w:rsid w:val="00C51711"/>
    <w:rsid w:val="00C52653"/>
    <w:rsid w:val="00C526AF"/>
    <w:rsid w:val="00C5327C"/>
    <w:rsid w:val="00C54A3B"/>
    <w:rsid w:val="00C553B1"/>
    <w:rsid w:val="00C57A67"/>
    <w:rsid w:val="00C57F42"/>
    <w:rsid w:val="00C61106"/>
    <w:rsid w:val="00C63BCF"/>
    <w:rsid w:val="00C64804"/>
    <w:rsid w:val="00C64F57"/>
    <w:rsid w:val="00C65C8B"/>
    <w:rsid w:val="00C65DF2"/>
    <w:rsid w:val="00C6718C"/>
    <w:rsid w:val="00C72429"/>
    <w:rsid w:val="00C73378"/>
    <w:rsid w:val="00C755D4"/>
    <w:rsid w:val="00C75A5C"/>
    <w:rsid w:val="00C75A6C"/>
    <w:rsid w:val="00C76786"/>
    <w:rsid w:val="00C767FE"/>
    <w:rsid w:val="00C773A1"/>
    <w:rsid w:val="00C808BF"/>
    <w:rsid w:val="00C80F9B"/>
    <w:rsid w:val="00C819C0"/>
    <w:rsid w:val="00C82E4D"/>
    <w:rsid w:val="00C8359F"/>
    <w:rsid w:val="00C84E04"/>
    <w:rsid w:val="00C8583C"/>
    <w:rsid w:val="00C85FEE"/>
    <w:rsid w:val="00C861D7"/>
    <w:rsid w:val="00C872F3"/>
    <w:rsid w:val="00C8741C"/>
    <w:rsid w:val="00C875C3"/>
    <w:rsid w:val="00C87D53"/>
    <w:rsid w:val="00C90AC5"/>
    <w:rsid w:val="00C910D7"/>
    <w:rsid w:val="00C91893"/>
    <w:rsid w:val="00C93B3E"/>
    <w:rsid w:val="00C93C7D"/>
    <w:rsid w:val="00C94126"/>
    <w:rsid w:val="00C94999"/>
    <w:rsid w:val="00C962FF"/>
    <w:rsid w:val="00C96C8E"/>
    <w:rsid w:val="00C96DD2"/>
    <w:rsid w:val="00CA2603"/>
    <w:rsid w:val="00CA2B54"/>
    <w:rsid w:val="00CA451D"/>
    <w:rsid w:val="00CA52D1"/>
    <w:rsid w:val="00CA5711"/>
    <w:rsid w:val="00CA5FE3"/>
    <w:rsid w:val="00CA65C2"/>
    <w:rsid w:val="00CA6D47"/>
    <w:rsid w:val="00CA7792"/>
    <w:rsid w:val="00CA792C"/>
    <w:rsid w:val="00CA7A14"/>
    <w:rsid w:val="00CB0DF2"/>
    <w:rsid w:val="00CB11DC"/>
    <w:rsid w:val="00CB273F"/>
    <w:rsid w:val="00CB4CA8"/>
    <w:rsid w:val="00CB57E5"/>
    <w:rsid w:val="00CB58E8"/>
    <w:rsid w:val="00CB5B7F"/>
    <w:rsid w:val="00CC0018"/>
    <w:rsid w:val="00CC00D9"/>
    <w:rsid w:val="00CC011A"/>
    <w:rsid w:val="00CC2452"/>
    <w:rsid w:val="00CC3273"/>
    <w:rsid w:val="00CC3728"/>
    <w:rsid w:val="00CC4930"/>
    <w:rsid w:val="00CC7A87"/>
    <w:rsid w:val="00CD2C21"/>
    <w:rsid w:val="00CD2CA0"/>
    <w:rsid w:val="00CD3370"/>
    <w:rsid w:val="00CD3802"/>
    <w:rsid w:val="00CD438C"/>
    <w:rsid w:val="00CD4557"/>
    <w:rsid w:val="00CD64B1"/>
    <w:rsid w:val="00CE346C"/>
    <w:rsid w:val="00CE3559"/>
    <w:rsid w:val="00CE45E8"/>
    <w:rsid w:val="00CE49E0"/>
    <w:rsid w:val="00CE4E77"/>
    <w:rsid w:val="00CF1D4B"/>
    <w:rsid w:val="00CF1D64"/>
    <w:rsid w:val="00CF7FF7"/>
    <w:rsid w:val="00D00231"/>
    <w:rsid w:val="00D00673"/>
    <w:rsid w:val="00D00ABD"/>
    <w:rsid w:val="00D00F7F"/>
    <w:rsid w:val="00D01307"/>
    <w:rsid w:val="00D02392"/>
    <w:rsid w:val="00D02757"/>
    <w:rsid w:val="00D07CF7"/>
    <w:rsid w:val="00D13155"/>
    <w:rsid w:val="00D13950"/>
    <w:rsid w:val="00D1396C"/>
    <w:rsid w:val="00D140AD"/>
    <w:rsid w:val="00D16FF6"/>
    <w:rsid w:val="00D2242D"/>
    <w:rsid w:val="00D22870"/>
    <w:rsid w:val="00D22AD7"/>
    <w:rsid w:val="00D235EA"/>
    <w:rsid w:val="00D247AA"/>
    <w:rsid w:val="00D26594"/>
    <w:rsid w:val="00D30865"/>
    <w:rsid w:val="00D30B96"/>
    <w:rsid w:val="00D3137C"/>
    <w:rsid w:val="00D31ADB"/>
    <w:rsid w:val="00D31DD5"/>
    <w:rsid w:val="00D37723"/>
    <w:rsid w:val="00D37B4B"/>
    <w:rsid w:val="00D40138"/>
    <w:rsid w:val="00D4024E"/>
    <w:rsid w:val="00D41916"/>
    <w:rsid w:val="00D43D6E"/>
    <w:rsid w:val="00D440E4"/>
    <w:rsid w:val="00D4452F"/>
    <w:rsid w:val="00D446CF"/>
    <w:rsid w:val="00D447CF"/>
    <w:rsid w:val="00D4553A"/>
    <w:rsid w:val="00D4605F"/>
    <w:rsid w:val="00D4613C"/>
    <w:rsid w:val="00D50205"/>
    <w:rsid w:val="00D506C7"/>
    <w:rsid w:val="00D5282D"/>
    <w:rsid w:val="00D53257"/>
    <w:rsid w:val="00D54353"/>
    <w:rsid w:val="00D552F8"/>
    <w:rsid w:val="00D6075E"/>
    <w:rsid w:val="00D61F6C"/>
    <w:rsid w:val="00D62C16"/>
    <w:rsid w:val="00D63BE1"/>
    <w:rsid w:val="00D64071"/>
    <w:rsid w:val="00D64556"/>
    <w:rsid w:val="00D647B6"/>
    <w:rsid w:val="00D66B05"/>
    <w:rsid w:val="00D67F73"/>
    <w:rsid w:val="00D67FB6"/>
    <w:rsid w:val="00D700C5"/>
    <w:rsid w:val="00D7126D"/>
    <w:rsid w:val="00D716A1"/>
    <w:rsid w:val="00D71971"/>
    <w:rsid w:val="00D76269"/>
    <w:rsid w:val="00D77619"/>
    <w:rsid w:val="00D77665"/>
    <w:rsid w:val="00D7777A"/>
    <w:rsid w:val="00D82F9D"/>
    <w:rsid w:val="00D8317E"/>
    <w:rsid w:val="00D83226"/>
    <w:rsid w:val="00D85910"/>
    <w:rsid w:val="00D85EEC"/>
    <w:rsid w:val="00D925ED"/>
    <w:rsid w:val="00D93476"/>
    <w:rsid w:val="00D93526"/>
    <w:rsid w:val="00D9353B"/>
    <w:rsid w:val="00D93B5B"/>
    <w:rsid w:val="00D9490A"/>
    <w:rsid w:val="00D956D6"/>
    <w:rsid w:val="00D968EE"/>
    <w:rsid w:val="00D96F81"/>
    <w:rsid w:val="00DA0EB7"/>
    <w:rsid w:val="00DA21BB"/>
    <w:rsid w:val="00DA2522"/>
    <w:rsid w:val="00DA2581"/>
    <w:rsid w:val="00DA509E"/>
    <w:rsid w:val="00DA57FA"/>
    <w:rsid w:val="00DA5B5B"/>
    <w:rsid w:val="00DA6995"/>
    <w:rsid w:val="00DA7015"/>
    <w:rsid w:val="00DA702C"/>
    <w:rsid w:val="00DA738E"/>
    <w:rsid w:val="00DB0338"/>
    <w:rsid w:val="00DB25BA"/>
    <w:rsid w:val="00DB29B1"/>
    <w:rsid w:val="00DB2B8C"/>
    <w:rsid w:val="00DB4A68"/>
    <w:rsid w:val="00DB52EE"/>
    <w:rsid w:val="00DB5CA4"/>
    <w:rsid w:val="00DB779F"/>
    <w:rsid w:val="00DB7FB3"/>
    <w:rsid w:val="00DC0047"/>
    <w:rsid w:val="00DC0E5C"/>
    <w:rsid w:val="00DC1355"/>
    <w:rsid w:val="00DC1E69"/>
    <w:rsid w:val="00DC3DB8"/>
    <w:rsid w:val="00DC42F3"/>
    <w:rsid w:val="00DC4F60"/>
    <w:rsid w:val="00DC67F3"/>
    <w:rsid w:val="00DC6E0F"/>
    <w:rsid w:val="00DC733A"/>
    <w:rsid w:val="00DC73A4"/>
    <w:rsid w:val="00DD00F9"/>
    <w:rsid w:val="00DD0EE6"/>
    <w:rsid w:val="00DD1DC6"/>
    <w:rsid w:val="00DD229F"/>
    <w:rsid w:val="00DD53C6"/>
    <w:rsid w:val="00DD7459"/>
    <w:rsid w:val="00DD7662"/>
    <w:rsid w:val="00DD769C"/>
    <w:rsid w:val="00DE0F8A"/>
    <w:rsid w:val="00DE1310"/>
    <w:rsid w:val="00DE148D"/>
    <w:rsid w:val="00DE2227"/>
    <w:rsid w:val="00DE43E4"/>
    <w:rsid w:val="00DE4AC1"/>
    <w:rsid w:val="00DE523C"/>
    <w:rsid w:val="00DE5BE7"/>
    <w:rsid w:val="00DE6634"/>
    <w:rsid w:val="00DE744C"/>
    <w:rsid w:val="00DF0013"/>
    <w:rsid w:val="00DF1DFB"/>
    <w:rsid w:val="00DF22E9"/>
    <w:rsid w:val="00DF29B2"/>
    <w:rsid w:val="00DF3949"/>
    <w:rsid w:val="00DF4562"/>
    <w:rsid w:val="00DF474B"/>
    <w:rsid w:val="00DF5FE4"/>
    <w:rsid w:val="00DF6F4A"/>
    <w:rsid w:val="00DF7C9A"/>
    <w:rsid w:val="00DF7D9E"/>
    <w:rsid w:val="00DF7E25"/>
    <w:rsid w:val="00DF7F16"/>
    <w:rsid w:val="00E01944"/>
    <w:rsid w:val="00E01E8A"/>
    <w:rsid w:val="00E02453"/>
    <w:rsid w:val="00E0261A"/>
    <w:rsid w:val="00E02A6C"/>
    <w:rsid w:val="00E02CB0"/>
    <w:rsid w:val="00E03000"/>
    <w:rsid w:val="00E03AAE"/>
    <w:rsid w:val="00E054BB"/>
    <w:rsid w:val="00E05AC6"/>
    <w:rsid w:val="00E061F3"/>
    <w:rsid w:val="00E062DB"/>
    <w:rsid w:val="00E06426"/>
    <w:rsid w:val="00E06610"/>
    <w:rsid w:val="00E06F3C"/>
    <w:rsid w:val="00E106BA"/>
    <w:rsid w:val="00E11DD5"/>
    <w:rsid w:val="00E122D8"/>
    <w:rsid w:val="00E147BE"/>
    <w:rsid w:val="00E1729C"/>
    <w:rsid w:val="00E175A2"/>
    <w:rsid w:val="00E17FD6"/>
    <w:rsid w:val="00E20214"/>
    <w:rsid w:val="00E205CB"/>
    <w:rsid w:val="00E21454"/>
    <w:rsid w:val="00E21779"/>
    <w:rsid w:val="00E21C3B"/>
    <w:rsid w:val="00E278B4"/>
    <w:rsid w:val="00E278FB"/>
    <w:rsid w:val="00E3007D"/>
    <w:rsid w:val="00E32060"/>
    <w:rsid w:val="00E32088"/>
    <w:rsid w:val="00E32405"/>
    <w:rsid w:val="00E32C7A"/>
    <w:rsid w:val="00E32E15"/>
    <w:rsid w:val="00E34274"/>
    <w:rsid w:val="00E35181"/>
    <w:rsid w:val="00E351B4"/>
    <w:rsid w:val="00E35E3B"/>
    <w:rsid w:val="00E36B72"/>
    <w:rsid w:val="00E37A60"/>
    <w:rsid w:val="00E402B8"/>
    <w:rsid w:val="00E40AF1"/>
    <w:rsid w:val="00E424CA"/>
    <w:rsid w:val="00E436F6"/>
    <w:rsid w:val="00E4532B"/>
    <w:rsid w:val="00E46BEF"/>
    <w:rsid w:val="00E5114B"/>
    <w:rsid w:val="00E51828"/>
    <w:rsid w:val="00E529EE"/>
    <w:rsid w:val="00E5344C"/>
    <w:rsid w:val="00E5378E"/>
    <w:rsid w:val="00E537E5"/>
    <w:rsid w:val="00E56950"/>
    <w:rsid w:val="00E573E7"/>
    <w:rsid w:val="00E57626"/>
    <w:rsid w:val="00E601AE"/>
    <w:rsid w:val="00E604F0"/>
    <w:rsid w:val="00E61E66"/>
    <w:rsid w:val="00E62933"/>
    <w:rsid w:val="00E62B84"/>
    <w:rsid w:val="00E64590"/>
    <w:rsid w:val="00E6485C"/>
    <w:rsid w:val="00E66651"/>
    <w:rsid w:val="00E70388"/>
    <w:rsid w:val="00E707EF"/>
    <w:rsid w:val="00E71043"/>
    <w:rsid w:val="00E72F2D"/>
    <w:rsid w:val="00E72FDB"/>
    <w:rsid w:val="00E73165"/>
    <w:rsid w:val="00E739F5"/>
    <w:rsid w:val="00E74763"/>
    <w:rsid w:val="00E74B40"/>
    <w:rsid w:val="00E76182"/>
    <w:rsid w:val="00E777F8"/>
    <w:rsid w:val="00E77FB0"/>
    <w:rsid w:val="00E80063"/>
    <w:rsid w:val="00E81D34"/>
    <w:rsid w:val="00E8360C"/>
    <w:rsid w:val="00E8457B"/>
    <w:rsid w:val="00E850AA"/>
    <w:rsid w:val="00E86AE4"/>
    <w:rsid w:val="00E90C0B"/>
    <w:rsid w:val="00E92D07"/>
    <w:rsid w:val="00E940A7"/>
    <w:rsid w:val="00E94C32"/>
    <w:rsid w:val="00E95BA0"/>
    <w:rsid w:val="00E95D99"/>
    <w:rsid w:val="00E97880"/>
    <w:rsid w:val="00EA0246"/>
    <w:rsid w:val="00EA16C8"/>
    <w:rsid w:val="00EA4131"/>
    <w:rsid w:val="00EA6E1A"/>
    <w:rsid w:val="00EA6FAD"/>
    <w:rsid w:val="00EA730B"/>
    <w:rsid w:val="00EA7324"/>
    <w:rsid w:val="00EA7AF8"/>
    <w:rsid w:val="00EB0DB5"/>
    <w:rsid w:val="00EB3EED"/>
    <w:rsid w:val="00EB4629"/>
    <w:rsid w:val="00EC0651"/>
    <w:rsid w:val="00EC0A67"/>
    <w:rsid w:val="00EC15DD"/>
    <w:rsid w:val="00EC1EFE"/>
    <w:rsid w:val="00EC289A"/>
    <w:rsid w:val="00EC4742"/>
    <w:rsid w:val="00ED2138"/>
    <w:rsid w:val="00ED5789"/>
    <w:rsid w:val="00ED769B"/>
    <w:rsid w:val="00EE0B8D"/>
    <w:rsid w:val="00EE134C"/>
    <w:rsid w:val="00EE20B7"/>
    <w:rsid w:val="00EE331F"/>
    <w:rsid w:val="00EE5A69"/>
    <w:rsid w:val="00EF0240"/>
    <w:rsid w:val="00EF19D8"/>
    <w:rsid w:val="00EF2C5E"/>
    <w:rsid w:val="00EF467D"/>
    <w:rsid w:val="00EF48A8"/>
    <w:rsid w:val="00EF6237"/>
    <w:rsid w:val="00EF640A"/>
    <w:rsid w:val="00EF6D4F"/>
    <w:rsid w:val="00EF6DBE"/>
    <w:rsid w:val="00EF6F9D"/>
    <w:rsid w:val="00F008C5"/>
    <w:rsid w:val="00F00BCA"/>
    <w:rsid w:val="00F01ECA"/>
    <w:rsid w:val="00F02DB1"/>
    <w:rsid w:val="00F04BF3"/>
    <w:rsid w:val="00F07E01"/>
    <w:rsid w:val="00F1016C"/>
    <w:rsid w:val="00F1093C"/>
    <w:rsid w:val="00F10BD1"/>
    <w:rsid w:val="00F12EB4"/>
    <w:rsid w:val="00F130F7"/>
    <w:rsid w:val="00F13A3B"/>
    <w:rsid w:val="00F13D26"/>
    <w:rsid w:val="00F14746"/>
    <w:rsid w:val="00F155FE"/>
    <w:rsid w:val="00F158B8"/>
    <w:rsid w:val="00F15B7B"/>
    <w:rsid w:val="00F16279"/>
    <w:rsid w:val="00F179B9"/>
    <w:rsid w:val="00F237AD"/>
    <w:rsid w:val="00F23EA6"/>
    <w:rsid w:val="00F24844"/>
    <w:rsid w:val="00F25857"/>
    <w:rsid w:val="00F26456"/>
    <w:rsid w:val="00F26781"/>
    <w:rsid w:val="00F26FCC"/>
    <w:rsid w:val="00F2711A"/>
    <w:rsid w:val="00F27A74"/>
    <w:rsid w:val="00F3099E"/>
    <w:rsid w:val="00F30C90"/>
    <w:rsid w:val="00F31C09"/>
    <w:rsid w:val="00F338BB"/>
    <w:rsid w:val="00F36DDC"/>
    <w:rsid w:val="00F37735"/>
    <w:rsid w:val="00F419B3"/>
    <w:rsid w:val="00F42950"/>
    <w:rsid w:val="00F42C23"/>
    <w:rsid w:val="00F43371"/>
    <w:rsid w:val="00F434AB"/>
    <w:rsid w:val="00F43A62"/>
    <w:rsid w:val="00F45A38"/>
    <w:rsid w:val="00F466C8"/>
    <w:rsid w:val="00F47108"/>
    <w:rsid w:val="00F52B48"/>
    <w:rsid w:val="00F52F6D"/>
    <w:rsid w:val="00F533AC"/>
    <w:rsid w:val="00F53998"/>
    <w:rsid w:val="00F53EDE"/>
    <w:rsid w:val="00F544A6"/>
    <w:rsid w:val="00F5741B"/>
    <w:rsid w:val="00F612DB"/>
    <w:rsid w:val="00F61A62"/>
    <w:rsid w:val="00F6269F"/>
    <w:rsid w:val="00F62FFE"/>
    <w:rsid w:val="00F6337E"/>
    <w:rsid w:val="00F6396F"/>
    <w:rsid w:val="00F63CC3"/>
    <w:rsid w:val="00F6572F"/>
    <w:rsid w:val="00F65D30"/>
    <w:rsid w:val="00F65F4E"/>
    <w:rsid w:val="00F6646C"/>
    <w:rsid w:val="00F665C1"/>
    <w:rsid w:val="00F668CB"/>
    <w:rsid w:val="00F672AB"/>
    <w:rsid w:val="00F71400"/>
    <w:rsid w:val="00F718E1"/>
    <w:rsid w:val="00F71A75"/>
    <w:rsid w:val="00F7207D"/>
    <w:rsid w:val="00F720BA"/>
    <w:rsid w:val="00F73DAC"/>
    <w:rsid w:val="00F7411A"/>
    <w:rsid w:val="00F74CFC"/>
    <w:rsid w:val="00F76F8E"/>
    <w:rsid w:val="00F809F4"/>
    <w:rsid w:val="00F81CA6"/>
    <w:rsid w:val="00F81F8A"/>
    <w:rsid w:val="00F82C06"/>
    <w:rsid w:val="00F851D0"/>
    <w:rsid w:val="00F866B3"/>
    <w:rsid w:val="00F86F00"/>
    <w:rsid w:val="00F86FA4"/>
    <w:rsid w:val="00F90AE8"/>
    <w:rsid w:val="00F90B4A"/>
    <w:rsid w:val="00F91D36"/>
    <w:rsid w:val="00F9224E"/>
    <w:rsid w:val="00F92BA6"/>
    <w:rsid w:val="00F931C7"/>
    <w:rsid w:val="00F93F1E"/>
    <w:rsid w:val="00F949DE"/>
    <w:rsid w:val="00F96159"/>
    <w:rsid w:val="00F96D7E"/>
    <w:rsid w:val="00F9740E"/>
    <w:rsid w:val="00FA13CE"/>
    <w:rsid w:val="00FA1824"/>
    <w:rsid w:val="00FA189E"/>
    <w:rsid w:val="00FA27A6"/>
    <w:rsid w:val="00FA2F42"/>
    <w:rsid w:val="00FA34AC"/>
    <w:rsid w:val="00FA484D"/>
    <w:rsid w:val="00FA49BF"/>
    <w:rsid w:val="00FA4C62"/>
    <w:rsid w:val="00FA4D44"/>
    <w:rsid w:val="00FB4BF9"/>
    <w:rsid w:val="00FB5528"/>
    <w:rsid w:val="00FC43A4"/>
    <w:rsid w:val="00FC4481"/>
    <w:rsid w:val="00FC551C"/>
    <w:rsid w:val="00FC5E72"/>
    <w:rsid w:val="00FC78A9"/>
    <w:rsid w:val="00FD0454"/>
    <w:rsid w:val="00FD14FA"/>
    <w:rsid w:val="00FD1742"/>
    <w:rsid w:val="00FD44B8"/>
    <w:rsid w:val="00FD44DC"/>
    <w:rsid w:val="00FD49B0"/>
    <w:rsid w:val="00FD7663"/>
    <w:rsid w:val="00FE0966"/>
    <w:rsid w:val="00FE0A97"/>
    <w:rsid w:val="00FE11B1"/>
    <w:rsid w:val="00FE20CA"/>
    <w:rsid w:val="00FE52D0"/>
    <w:rsid w:val="00FE581A"/>
    <w:rsid w:val="00FE7FD7"/>
    <w:rsid w:val="00FF0DDE"/>
    <w:rsid w:val="00FF12DA"/>
    <w:rsid w:val="00FF13F9"/>
    <w:rsid w:val="00FF1995"/>
    <w:rsid w:val="00FF1ED6"/>
    <w:rsid w:val="00FF22D5"/>
    <w:rsid w:val="00FF36DA"/>
    <w:rsid w:val="00FF3B66"/>
    <w:rsid w:val="00FF3C2C"/>
    <w:rsid w:val="00FF4868"/>
    <w:rsid w:val="00FF51FE"/>
    <w:rsid w:val="00FF6EC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A3DF90"/>
  <w15:docId w15:val="{2A362754-EB92-4A04-B3B2-1C4DE4B5A8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104E"/>
    <w:rPr>
      <w:rFonts w:ascii="Times New Roman" w:hAnsi="Times New Roman"/>
      <w:sz w:val="24"/>
      <w:lang w:val="pt-PT"/>
    </w:rPr>
  </w:style>
  <w:style w:type="paragraph" w:styleId="Ttulo1">
    <w:name w:val="heading 1"/>
    <w:basedOn w:val="Normal"/>
    <w:next w:val="Normal"/>
    <w:link w:val="Ttulo1Carter"/>
    <w:uiPriority w:val="9"/>
    <w:qFormat/>
    <w:rsid w:val="004A35E1"/>
    <w:pPr>
      <w:keepNext/>
      <w:keepLines/>
      <w:spacing w:before="480" w:after="0"/>
      <w:outlineLvl w:val="0"/>
    </w:pPr>
    <w:rPr>
      <w:rFonts w:eastAsiaTheme="majorEastAsia" w:cstheme="majorBidi"/>
      <w:b/>
      <w:bCs/>
      <w:spacing w:val="20"/>
      <w:sz w:val="28"/>
      <w:szCs w:val="28"/>
    </w:rPr>
  </w:style>
  <w:style w:type="paragraph" w:styleId="Ttulo2">
    <w:name w:val="heading 2"/>
    <w:basedOn w:val="Normal"/>
    <w:next w:val="Normal"/>
    <w:link w:val="Ttulo2Carter"/>
    <w:uiPriority w:val="9"/>
    <w:unhideWhenUsed/>
    <w:qFormat/>
    <w:rsid w:val="004A35E1"/>
    <w:pPr>
      <w:keepNext/>
      <w:keepLines/>
      <w:spacing w:before="200" w:after="0"/>
      <w:outlineLvl w:val="1"/>
    </w:pPr>
    <w:rPr>
      <w:rFonts w:eastAsiaTheme="majorEastAsia" w:cstheme="majorBidi"/>
      <w:b/>
      <w:bCs/>
      <w:spacing w:val="20"/>
      <w:sz w:val="26"/>
      <w:szCs w:val="26"/>
    </w:rPr>
  </w:style>
  <w:style w:type="paragraph" w:styleId="Ttulo4">
    <w:name w:val="heading 4"/>
    <w:basedOn w:val="Normal"/>
    <w:next w:val="Normal"/>
    <w:link w:val="Ttulo4Carter"/>
    <w:uiPriority w:val="9"/>
    <w:unhideWhenUsed/>
    <w:qFormat/>
    <w:rsid w:val="007E72DE"/>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basedOn w:val="Tipodeletrapredefinidodopargrafo"/>
    <w:link w:val="Ttulo1"/>
    <w:uiPriority w:val="9"/>
    <w:rsid w:val="004A35E1"/>
    <w:rPr>
      <w:rFonts w:ascii="Times New Roman" w:eastAsiaTheme="majorEastAsia" w:hAnsi="Times New Roman" w:cstheme="majorBidi"/>
      <w:b/>
      <w:bCs/>
      <w:spacing w:val="20"/>
      <w:sz w:val="28"/>
      <w:szCs w:val="28"/>
      <w:lang w:val="pt-PT"/>
    </w:rPr>
  </w:style>
  <w:style w:type="character" w:customStyle="1" w:styleId="Ttulo2Carter">
    <w:name w:val="Título 2 Caráter"/>
    <w:basedOn w:val="Tipodeletrapredefinidodopargrafo"/>
    <w:link w:val="Ttulo2"/>
    <w:uiPriority w:val="9"/>
    <w:rsid w:val="004A35E1"/>
    <w:rPr>
      <w:rFonts w:ascii="Times New Roman" w:eastAsiaTheme="majorEastAsia" w:hAnsi="Times New Roman" w:cstheme="majorBidi"/>
      <w:b/>
      <w:bCs/>
      <w:spacing w:val="20"/>
      <w:sz w:val="26"/>
      <w:szCs w:val="26"/>
      <w:lang w:val="pt-PT"/>
    </w:rPr>
  </w:style>
  <w:style w:type="character" w:styleId="Refdecomentrio">
    <w:name w:val="annotation reference"/>
    <w:basedOn w:val="Tipodeletrapredefinidodopargrafo"/>
    <w:uiPriority w:val="99"/>
    <w:semiHidden/>
    <w:unhideWhenUsed/>
    <w:rsid w:val="00151643"/>
    <w:rPr>
      <w:sz w:val="16"/>
      <w:szCs w:val="16"/>
    </w:rPr>
  </w:style>
  <w:style w:type="paragraph" w:styleId="Textodecomentrio">
    <w:name w:val="annotation text"/>
    <w:basedOn w:val="Normal"/>
    <w:link w:val="TextodecomentrioCarter"/>
    <w:uiPriority w:val="99"/>
    <w:unhideWhenUsed/>
    <w:rsid w:val="00151643"/>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rsid w:val="00151643"/>
    <w:rPr>
      <w:sz w:val="20"/>
      <w:szCs w:val="20"/>
      <w:lang w:val="pt-PT"/>
    </w:rPr>
  </w:style>
  <w:style w:type="paragraph" w:styleId="PargrafodaLista">
    <w:name w:val="List Paragraph"/>
    <w:basedOn w:val="Normal"/>
    <w:uiPriority w:val="34"/>
    <w:qFormat/>
    <w:rsid w:val="00151643"/>
    <w:pPr>
      <w:ind w:left="720"/>
      <w:contextualSpacing/>
    </w:pPr>
  </w:style>
  <w:style w:type="character" w:styleId="Hiperligao">
    <w:name w:val="Hyperlink"/>
    <w:basedOn w:val="Tipodeletrapredefinidodopargrafo"/>
    <w:uiPriority w:val="99"/>
    <w:unhideWhenUsed/>
    <w:rsid w:val="00151643"/>
    <w:rPr>
      <w:color w:val="0000FF"/>
      <w:u w:val="single"/>
    </w:rPr>
  </w:style>
  <w:style w:type="table" w:customStyle="1" w:styleId="TabeladeLista6Colorida1">
    <w:name w:val="Tabela de Lista 6 Colorida1"/>
    <w:basedOn w:val="Tabelanormal"/>
    <w:uiPriority w:val="51"/>
    <w:rsid w:val="00151643"/>
    <w:pPr>
      <w:spacing w:after="0" w:line="240" w:lineRule="auto"/>
    </w:pPr>
    <w:rPr>
      <w:color w:val="000000" w:themeColor="text1"/>
      <w:lang w:val="pt-PT"/>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Cabealhodondice">
    <w:name w:val="TOC Heading"/>
    <w:basedOn w:val="Ttulo1"/>
    <w:next w:val="Normal"/>
    <w:uiPriority w:val="39"/>
    <w:unhideWhenUsed/>
    <w:qFormat/>
    <w:rsid w:val="00151643"/>
    <w:pPr>
      <w:spacing w:line="276" w:lineRule="auto"/>
      <w:outlineLvl w:val="9"/>
    </w:pPr>
    <w:rPr>
      <w:rFonts w:asciiTheme="majorHAnsi" w:hAnsiTheme="majorHAnsi"/>
      <w:color w:val="2E74B5" w:themeColor="accent1" w:themeShade="BF"/>
    </w:rPr>
  </w:style>
  <w:style w:type="paragraph" w:styleId="ndice2">
    <w:name w:val="toc 2"/>
    <w:basedOn w:val="Normal"/>
    <w:next w:val="Normal"/>
    <w:autoRedefine/>
    <w:uiPriority w:val="39"/>
    <w:unhideWhenUsed/>
    <w:qFormat/>
    <w:rsid w:val="00DF6F4A"/>
    <w:pPr>
      <w:tabs>
        <w:tab w:val="left" w:pos="880"/>
        <w:tab w:val="right" w:leader="dot" w:pos="8828"/>
      </w:tabs>
      <w:spacing w:after="100" w:line="276" w:lineRule="auto"/>
      <w:ind w:left="340"/>
    </w:pPr>
    <w:rPr>
      <w:rFonts w:eastAsiaTheme="minorEastAsia"/>
    </w:rPr>
  </w:style>
  <w:style w:type="paragraph" w:styleId="ndice1">
    <w:name w:val="toc 1"/>
    <w:basedOn w:val="Normal"/>
    <w:next w:val="Normal"/>
    <w:autoRedefine/>
    <w:uiPriority w:val="39"/>
    <w:unhideWhenUsed/>
    <w:qFormat/>
    <w:rsid w:val="00F42C23"/>
    <w:pPr>
      <w:tabs>
        <w:tab w:val="right" w:leader="dot" w:pos="9111"/>
      </w:tabs>
      <w:spacing w:after="100" w:line="360" w:lineRule="auto"/>
    </w:pPr>
    <w:rPr>
      <w:rFonts w:eastAsiaTheme="minorEastAsia"/>
    </w:rPr>
  </w:style>
  <w:style w:type="paragraph" w:styleId="Textodebalo">
    <w:name w:val="Balloon Text"/>
    <w:basedOn w:val="Normal"/>
    <w:link w:val="TextodebaloCarter"/>
    <w:uiPriority w:val="99"/>
    <w:semiHidden/>
    <w:unhideWhenUsed/>
    <w:rsid w:val="00151643"/>
    <w:pPr>
      <w:spacing w:after="0" w:line="240" w:lineRule="auto"/>
    </w:pPr>
    <w:rPr>
      <w:rFonts w:ascii="Segoe UI" w:hAnsi="Segoe UI" w:cs="Segoe UI"/>
      <w:sz w:val="18"/>
      <w:szCs w:val="18"/>
    </w:rPr>
  </w:style>
  <w:style w:type="character" w:customStyle="1" w:styleId="TextodebaloCarter">
    <w:name w:val="Texto de balão Caráter"/>
    <w:basedOn w:val="Tipodeletrapredefinidodopargrafo"/>
    <w:link w:val="Textodebalo"/>
    <w:uiPriority w:val="99"/>
    <w:semiHidden/>
    <w:rsid w:val="00151643"/>
    <w:rPr>
      <w:rFonts w:ascii="Segoe UI" w:hAnsi="Segoe UI" w:cs="Segoe UI"/>
      <w:sz w:val="18"/>
      <w:szCs w:val="18"/>
      <w:lang w:val="pt-PT"/>
    </w:rPr>
  </w:style>
  <w:style w:type="paragraph" w:styleId="Assuntodecomentrio">
    <w:name w:val="annotation subject"/>
    <w:basedOn w:val="Textodecomentrio"/>
    <w:next w:val="Textodecomentrio"/>
    <w:link w:val="AssuntodecomentrioCarter"/>
    <w:uiPriority w:val="99"/>
    <w:semiHidden/>
    <w:unhideWhenUsed/>
    <w:rsid w:val="001802A9"/>
    <w:rPr>
      <w:b/>
      <w:bCs/>
    </w:rPr>
  </w:style>
  <w:style w:type="character" w:customStyle="1" w:styleId="AssuntodecomentrioCarter">
    <w:name w:val="Assunto de comentário Caráter"/>
    <w:basedOn w:val="TextodecomentrioCarter"/>
    <w:link w:val="Assuntodecomentrio"/>
    <w:uiPriority w:val="99"/>
    <w:semiHidden/>
    <w:rsid w:val="001802A9"/>
    <w:rPr>
      <w:b/>
      <w:bCs/>
      <w:sz w:val="20"/>
      <w:szCs w:val="20"/>
      <w:lang w:val="pt-PT"/>
    </w:rPr>
  </w:style>
  <w:style w:type="character" w:styleId="nfase">
    <w:name w:val="Emphasis"/>
    <w:basedOn w:val="Tipodeletrapredefinidodopargrafo"/>
    <w:uiPriority w:val="20"/>
    <w:qFormat/>
    <w:rsid w:val="00496626"/>
    <w:rPr>
      <w:i/>
      <w:iCs/>
    </w:rPr>
  </w:style>
  <w:style w:type="table" w:customStyle="1" w:styleId="TabeladeLista6Colorida2">
    <w:name w:val="Tabela de Lista 6 Colorida2"/>
    <w:basedOn w:val="Tabelanormal"/>
    <w:uiPriority w:val="51"/>
    <w:rsid w:val="00BA7A88"/>
    <w:pPr>
      <w:spacing w:after="0" w:line="240" w:lineRule="auto"/>
    </w:pPr>
    <w:rPr>
      <w:color w:val="000000" w:themeColor="text1"/>
      <w:lang w:val="pt-PT"/>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acomGrelha">
    <w:name w:val="Table Grid"/>
    <w:basedOn w:val="Tabelanormal"/>
    <w:uiPriority w:val="39"/>
    <w:rsid w:val="00B16136"/>
    <w:pPr>
      <w:spacing w:after="0" w:line="240" w:lineRule="auto"/>
    </w:pPr>
    <w:rPr>
      <w:lang w:val="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mples51">
    <w:name w:val="Tabela Simples 51"/>
    <w:basedOn w:val="Tabelanormal"/>
    <w:uiPriority w:val="45"/>
    <w:rsid w:val="00B16136"/>
    <w:pPr>
      <w:spacing w:after="0" w:line="240" w:lineRule="auto"/>
    </w:pPr>
    <w:rPr>
      <w:lang w:val="pt-PT"/>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SombreadoClaro-Cor3">
    <w:name w:val="Light Shading Accent 3"/>
    <w:basedOn w:val="Tabelanormal"/>
    <w:uiPriority w:val="60"/>
    <w:rsid w:val="005258AD"/>
    <w:pPr>
      <w:spacing w:after="0" w:line="240" w:lineRule="auto"/>
    </w:pPr>
    <w:rPr>
      <w:color w:val="7B7B7B" w:themeColor="accent3" w:themeShade="BF"/>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paragraph" w:customStyle="1" w:styleId="Style1">
    <w:name w:val="Style1"/>
    <w:basedOn w:val="Normal"/>
    <w:link w:val="Style1Char"/>
    <w:qFormat/>
    <w:rsid w:val="00052147"/>
    <w:pPr>
      <w:spacing w:line="360" w:lineRule="auto"/>
      <w:jc w:val="both"/>
    </w:pPr>
    <w:rPr>
      <w:rFonts w:eastAsiaTheme="majorEastAsia" w:cstheme="majorBidi"/>
      <w:bCs/>
      <w:sz w:val="26"/>
      <w:szCs w:val="26"/>
      <w:lang w:val="en-US"/>
    </w:rPr>
  </w:style>
  <w:style w:type="character" w:customStyle="1" w:styleId="Style1Char">
    <w:name w:val="Style1 Char"/>
    <w:basedOn w:val="Tipodeletrapredefinidodopargrafo"/>
    <w:link w:val="Style1"/>
    <w:rsid w:val="00052147"/>
    <w:rPr>
      <w:rFonts w:ascii="Times New Roman" w:eastAsiaTheme="majorEastAsia" w:hAnsi="Times New Roman" w:cstheme="majorBidi"/>
      <w:bCs/>
      <w:sz w:val="26"/>
      <w:szCs w:val="26"/>
    </w:rPr>
  </w:style>
  <w:style w:type="character" w:customStyle="1" w:styleId="Ttulo4Carter">
    <w:name w:val="Título 4 Caráter"/>
    <w:basedOn w:val="Tipodeletrapredefinidodopargrafo"/>
    <w:link w:val="Ttulo4"/>
    <w:uiPriority w:val="9"/>
    <w:rsid w:val="007E72DE"/>
    <w:rPr>
      <w:rFonts w:asciiTheme="majorHAnsi" w:eastAsiaTheme="majorEastAsia" w:hAnsiTheme="majorHAnsi" w:cstheme="majorBidi"/>
      <w:i/>
      <w:iCs/>
      <w:color w:val="2E74B5" w:themeColor="accent1" w:themeShade="BF"/>
      <w:lang w:val="pt-PT"/>
    </w:rPr>
  </w:style>
  <w:style w:type="character" w:styleId="Forte">
    <w:name w:val="Strong"/>
    <w:basedOn w:val="Tipodeletrapredefinidodopargrafo"/>
    <w:uiPriority w:val="22"/>
    <w:qFormat/>
    <w:rsid w:val="007E72DE"/>
    <w:rPr>
      <w:b/>
      <w:bCs/>
    </w:rPr>
  </w:style>
  <w:style w:type="paragraph" w:styleId="Textodenotaderodap">
    <w:name w:val="footnote text"/>
    <w:basedOn w:val="Normal"/>
    <w:link w:val="TextodenotaderodapCarter"/>
    <w:uiPriority w:val="99"/>
    <w:semiHidden/>
    <w:unhideWhenUsed/>
    <w:rsid w:val="00A4066A"/>
    <w:pPr>
      <w:spacing w:after="0" w:line="240" w:lineRule="auto"/>
    </w:pPr>
    <w:rPr>
      <w:sz w:val="20"/>
      <w:szCs w:val="20"/>
    </w:rPr>
  </w:style>
  <w:style w:type="character" w:customStyle="1" w:styleId="TextodenotaderodapCarter">
    <w:name w:val="Texto de nota de rodapé Caráter"/>
    <w:basedOn w:val="Tipodeletrapredefinidodopargrafo"/>
    <w:link w:val="Textodenotaderodap"/>
    <w:uiPriority w:val="99"/>
    <w:semiHidden/>
    <w:rsid w:val="00A4066A"/>
    <w:rPr>
      <w:sz w:val="20"/>
      <w:szCs w:val="20"/>
      <w:lang w:val="pt-PT"/>
    </w:rPr>
  </w:style>
  <w:style w:type="character" w:styleId="Refdenotaderodap">
    <w:name w:val="footnote reference"/>
    <w:basedOn w:val="Tipodeletrapredefinidodopargrafo"/>
    <w:uiPriority w:val="99"/>
    <w:semiHidden/>
    <w:unhideWhenUsed/>
    <w:rsid w:val="00A4066A"/>
    <w:rPr>
      <w:vertAlign w:val="superscript"/>
    </w:rPr>
  </w:style>
  <w:style w:type="paragraph" w:styleId="HTMLpr-formatado">
    <w:name w:val="HTML Preformatted"/>
    <w:basedOn w:val="Normal"/>
    <w:link w:val="HTMLpr-formatadoCarter"/>
    <w:uiPriority w:val="99"/>
    <w:semiHidden/>
    <w:unhideWhenUsed/>
    <w:rsid w:val="00A406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PT"/>
    </w:rPr>
  </w:style>
  <w:style w:type="character" w:customStyle="1" w:styleId="HTMLpr-formatadoCarter">
    <w:name w:val="HTML pré-formatado Caráter"/>
    <w:basedOn w:val="Tipodeletrapredefinidodopargrafo"/>
    <w:link w:val="HTMLpr-formatado"/>
    <w:uiPriority w:val="99"/>
    <w:semiHidden/>
    <w:rsid w:val="00A4066A"/>
    <w:rPr>
      <w:rFonts w:ascii="Courier New" w:eastAsia="Times New Roman" w:hAnsi="Courier New" w:cs="Courier New"/>
      <w:sz w:val="20"/>
      <w:szCs w:val="20"/>
      <w:lang w:val="pt-PT" w:eastAsia="pt-PT"/>
    </w:rPr>
  </w:style>
  <w:style w:type="character" w:customStyle="1" w:styleId="hlfld-contribauthor">
    <w:name w:val="hlfld-contribauthor"/>
    <w:basedOn w:val="Tipodeletrapredefinidodopargrafo"/>
    <w:rsid w:val="00A4066A"/>
  </w:style>
  <w:style w:type="character" w:customStyle="1" w:styleId="nlmgiven-names">
    <w:name w:val="nlm_given-names"/>
    <w:basedOn w:val="Tipodeletrapredefinidodopargrafo"/>
    <w:rsid w:val="00A4066A"/>
  </w:style>
  <w:style w:type="character" w:customStyle="1" w:styleId="nlmarticle-title">
    <w:name w:val="nlm_article-title"/>
    <w:basedOn w:val="Tipodeletrapredefinidodopargrafo"/>
    <w:rsid w:val="00A4066A"/>
  </w:style>
  <w:style w:type="character" w:customStyle="1" w:styleId="nlmconf-name">
    <w:name w:val="nlm_conf-name"/>
    <w:basedOn w:val="Tipodeletrapredefinidodopargrafo"/>
    <w:rsid w:val="00A4066A"/>
  </w:style>
  <w:style w:type="table" w:customStyle="1" w:styleId="TabelaSimples31">
    <w:name w:val="Tabela Simples 31"/>
    <w:basedOn w:val="Tabelanormal"/>
    <w:uiPriority w:val="43"/>
    <w:rsid w:val="00755EC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eladeLista2-Destaque31">
    <w:name w:val="Tabela de Lista 2 - Destaque 31"/>
    <w:basedOn w:val="Tabelanormal"/>
    <w:uiPriority w:val="47"/>
    <w:rsid w:val="00D9353B"/>
    <w:pPr>
      <w:spacing w:after="0" w:line="240" w:lineRule="auto"/>
    </w:pPr>
    <w:tblPr>
      <w:tblStyleRowBandSize w:val="1"/>
      <w:tblStyleColBandSize w:val="1"/>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Cabealho">
    <w:name w:val="header"/>
    <w:basedOn w:val="Normal"/>
    <w:link w:val="CabealhoCarter"/>
    <w:uiPriority w:val="99"/>
    <w:unhideWhenUsed/>
    <w:rsid w:val="002F0FAF"/>
    <w:pPr>
      <w:tabs>
        <w:tab w:val="center" w:pos="4513"/>
        <w:tab w:val="right" w:pos="9026"/>
      </w:tabs>
      <w:spacing w:after="0" w:line="240" w:lineRule="auto"/>
    </w:pPr>
  </w:style>
  <w:style w:type="character" w:customStyle="1" w:styleId="CabealhoCarter">
    <w:name w:val="Cabeçalho Caráter"/>
    <w:basedOn w:val="Tipodeletrapredefinidodopargrafo"/>
    <w:link w:val="Cabealho"/>
    <w:uiPriority w:val="99"/>
    <w:rsid w:val="002F0FAF"/>
    <w:rPr>
      <w:lang w:val="pt-PT"/>
    </w:rPr>
  </w:style>
  <w:style w:type="paragraph" w:styleId="Rodap">
    <w:name w:val="footer"/>
    <w:basedOn w:val="Normal"/>
    <w:link w:val="RodapCarter"/>
    <w:uiPriority w:val="99"/>
    <w:unhideWhenUsed/>
    <w:rsid w:val="002F0FAF"/>
    <w:pPr>
      <w:tabs>
        <w:tab w:val="center" w:pos="4513"/>
        <w:tab w:val="right" w:pos="9026"/>
      </w:tabs>
      <w:spacing w:after="0" w:line="240" w:lineRule="auto"/>
    </w:pPr>
  </w:style>
  <w:style w:type="character" w:customStyle="1" w:styleId="RodapCarter">
    <w:name w:val="Rodapé Caráter"/>
    <w:basedOn w:val="Tipodeletrapredefinidodopargrafo"/>
    <w:link w:val="Rodap"/>
    <w:uiPriority w:val="99"/>
    <w:rsid w:val="002F0FAF"/>
    <w:rPr>
      <w:lang w:val="pt-PT"/>
    </w:rPr>
  </w:style>
  <w:style w:type="paragraph" w:styleId="Reviso">
    <w:name w:val="Revision"/>
    <w:hidden/>
    <w:uiPriority w:val="99"/>
    <w:semiHidden/>
    <w:rsid w:val="00C206BB"/>
    <w:pPr>
      <w:spacing w:after="0" w:line="240" w:lineRule="auto"/>
    </w:pPr>
    <w:rPr>
      <w:lang w:val="pt-PT"/>
    </w:rPr>
  </w:style>
  <w:style w:type="paragraph" w:styleId="ndice3">
    <w:name w:val="toc 3"/>
    <w:basedOn w:val="Normal"/>
    <w:next w:val="Normal"/>
    <w:autoRedefine/>
    <w:uiPriority w:val="39"/>
    <w:unhideWhenUsed/>
    <w:rsid w:val="00392A9D"/>
    <w:pPr>
      <w:spacing w:after="100"/>
      <w:ind w:left="440"/>
    </w:pPr>
    <w:rPr>
      <w:rFonts w:eastAsiaTheme="minorEastAsia" w:cs="Times New Roman"/>
      <w:lang w:val="en-US"/>
    </w:rPr>
  </w:style>
  <w:style w:type="character" w:customStyle="1" w:styleId="a">
    <w:name w:val="a"/>
    <w:basedOn w:val="Tipodeletrapredefinidodopargrafo"/>
    <w:rsid w:val="005E4969"/>
  </w:style>
  <w:style w:type="character" w:customStyle="1" w:styleId="l6">
    <w:name w:val="l6"/>
    <w:basedOn w:val="Tipodeletrapredefinidodopargrafo"/>
    <w:rsid w:val="005E4969"/>
  </w:style>
  <w:style w:type="character" w:customStyle="1" w:styleId="l7">
    <w:name w:val="l7"/>
    <w:basedOn w:val="Tipodeletrapredefinidodopargrafo"/>
    <w:rsid w:val="005E4969"/>
  </w:style>
  <w:style w:type="character" w:styleId="TextodoMarcadordePosio">
    <w:name w:val="Placeholder Text"/>
    <w:basedOn w:val="Tipodeletrapredefinidodopargrafo"/>
    <w:uiPriority w:val="99"/>
    <w:semiHidden/>
    <w:rsid w:val="00670A8B"/>
    <w:rPr>
      <w:color w:val="808080"/>
    </w:rPr>
  </w:style>
  <w:style w:type="paragraph" w:styleId="Legenda">
    <w:name w:val="caption"/>
    <w:basedOn w:val="Normal"/>
    <w:next w:val="Normal"/>
    <w:uiPriority w:val="35"/>
    <w:unhideWhenUsed/>
    <w:qFormat/>
    <w:rsid w:val="00F9740E"/>
    <w:pPr>
      <w:spacing w:after="200" w:line="240" w:lineRule="auto"/>
    </w:pPr>
    <w:rPr>
      <w:b/>
      <w:bCs/>
      <w:color w:val="5B9BD5" w:themeColor="accent1"/>
      <w:sz w:val="18"/>
      <w:szCs w:val="18"/>
    </w:rPr>
  </w:style>
  <w:style w:type="paragraph" w:styleId="ndicedeilustraes">
    <w:name w:val="table of figures"/>
    <w:basedOn w:val="Normal"/>
    <w:next w:val="Normal"/>
    <w:uiPriority w:val="99"/>
    <w:unhideWhenUsed/>
    <w:rsid w:val="00F9740E"/>
    <w:pPr>
      <w:spacing w:after="0"/>
    </w:pPr>
  </w:style>
  <w:style w:type="character" w:styleId="Hiperligaovisitada">
    <w:name w:val="FollowedHyperlink"/>
    <w:basedOn w:val="Tipodeletrapredefinidodopargrafo"/>
    <w:uiPriority w:val="99"/>
    <w:semiHidden/>
    <w:unhideWhenUsed/>
    <w:rsid w:val="0050159A"/>
    <w:rPr>
      <w:color w:val="954F72" w:themeColor="followedHyperlink"/>
      <w:u w:val="single"/>
    </w:rPr>
  </w:style>
  <w:style w:type="character" w:customStyle="1" w:styleId="MenoNoResolvida1">
    <w:name w:val="Menção Não Resolvida1"/>
    <w:basedOn w:val="Tipodeletrapredefinidodopargrafo"/>
    <w:uiPriority w:val="99"/>
    <w:semiHidden/>
    <w:unhideWhenUsed/>
    <w:rsid w:val="0038232C"/>
    <w:rPr>
      <w:color w:val="605E5C"/>
      <w:shd w:val="clear" w:color="auto" w:fill="E1DFDD"/>
    </w:rPr>
  </w:style>
  <w:style w:type="paragraph" w:styleId="NormalWeb">
    <w:name w:val="Normal (Web)"/>
    <w:basedOn w:val="Normal"/>
    <w:uiPriority w:val="99"/>
    <w:semiHidden/>
    <w:unhideWhenUsed/>
    <w:rsid w:val="00D4605F"/>
    <w:rPr>
      <w:rFonts w:cs="Times New Roman"/>
      <w:szCs w:val="24"/>
    </w:rPr>
  </w:style>
  <w:style w:type="character" w:customStyle="1" w:styleId="fontstyle01">
    <w:name w:val="fontstyle01"/>
    <w:basedOn w:val="Tipodeletrapredefinidodopargrafo"/>
    <w:rsid w:val="00632F89"/>
    <w:rPr>
      <w:rFonts w:ascii="Garamond" w:hAnsi="Garamond" w:hint="default"/>
      <w:b w:val="0"/>
      <w:bCs w:val="0"/>
      <w:i w:val="0"/>
      <w:iCs w:val="0"/>
      <w:color w:val="000000"/>
      <w:sz w:val="24"/>
      <w:szCs w:val="24"/>
    </w:rPr>
  </w:style>
  <w:style w:type="character" w:customStyle="1" w:styleId="fontstyle21">
    <w:name w:val="fontstyle21"/>
    <w:basedOn w:val="Tipodeletrapredefinidodopargrafo"/>
    <w:rsid w:val="009F79C5"/>
    <w:rPr>
      <w:rFonts w:ascii="Times New Roman" w:hAnsi="Times New Roman" w:cs="Times New Roman" w:hint="default"/>
      <w:b w:val="0"/>
      <w:bCs w:val="0"/>
      <w:i/>
      <w:iCs/>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322">
      <w:bodyDiv w:val="1"/>
      <w:marLeft w:val="0"/>
      <w:marRight w:val="0"/>
      <w:marTop w:val="0"/>
      <w:marBottom w:val="0"/>
      <w:divBdr>
        <w:top w:val="none" w:sz="0" w:space="0" w:color="auto"/>
        <w:left w:val="none" w:sz="0" w:space="0" w:color="auto"/>
        <w:bottom w:val="none" w:sz="0" w:space="0" w:color="auto"/>
        <w:right w:val="none" w:sz="0" w:space="0" w:color="auto"/>
      </w:divBdr>
    </w:div>
    <w:div w:id="33652236">
      <w:bodyDiv w:val="1"/>
      <w:marLeft w:val="0"/>
      <w:marRight w:val="0"/>
      <w:marTop w:val="0"/>
      <w:marBottom w:val="0"/>
      <w:divBdr>
        <w:top w:val="none" w:sz="0" w:space="0" w:color="auto"/>
        <w:left w:val="none" w:sz="0" w:space="0" w:color="auto"/>
        <w:bottom w:val="none" w:sz="0" w:space="0" w:color="auto"/>
        <w:right w:val="none" w:sz="0" w:space="0" w:color="auto"/>
      </w:divBdr>
    </w:div>
    <w:div w:id="101657356">
      <w:bodyDiv w:val="1"/>
      <w:marLeft w:val="0"/>
      <w:marRight w:val="0"/>
      <w:marTop w:val="0"/>
      <w:marBottom w:val="0"/>
      <w:divBdr>
        <w:top w:val="none" w:sz="0" w:space="0" w:color="auto"/>
        <w:left w:val="none" w:sz="0" w:space="0" w:color="auto"/>
        <w:bottom w:val="none" w:sz="0" w:space="0" w:color="auto"/>
        <w:right w:val="none" w:sz="0" w:space="0" w:color="auto"/>
      </w:divBdr>
    </w:div>
    <w:div w:id="117839010">
      <w:bodyDiv w:val="1"/>
      <w:marLeft w:val="0"/>
      <w:marRight w:val="0"/>
      <w:marTop w:val="0"/>
      <w:marBottom w:val="0"/>
      <w:divBdr>
        <w:top w:val="none" w:sz="0" w:space="0" w:color="auto"/>
        <w:left w:val="none" w:sz="0" w:space="0" w:color="auto"/>
        <w:bottom w:val="none" w:sz="0" w:space="0" w:color="auto"/>
        <w:right w:val="none" w:sz="0" w:space="0" w:color="auto"/>
      </w:divBdr>
    </w:div>
    <w:div w:id="118694578">
      <w:bodyDiv w:val="1"/>
      <w:marLeft w:val="0"/>
      <w:marRight w:val="0"/>
      <w:marTop w:val="0"/>
      <w:marBottom w:val="0"/>
      <w:divBdr>
        <w:top w:val="none" w:sz="0" w:space="0" w:color="auto"/>
        <w:left w:val="none" w:sz="0" w:space="0" w:color="auto"/>
        <w:bottom w:val="none" w:sz="0" w:space="0" w:color="auto"/>
        <w:right w:val="none" w:sz="0" w:space="0" w:color="auto"/>
      </w:divBdr>
    </w:div>
    <w:div w:id="119225388">
      <w:bodyDiv w:val="1"/>
      <w:marLeft w:val="0"/>
      <w:marRight w:val="0"/>
      <w:marTop w:val="0"/>
      <w:marBottom w:val="0"/>
      <w:divBdr>
        <w:top w:val="none" w:sz="0" w:space="0" w:color="auto"/>
        <w:left w:val="none" w:sz="0" w:space="0" w:color="auto"/>
        <w:bottom w:val="none" w:sz="0" w:space="0" w:color="auto"/>
        <w:right w:val="none" w:sz="0" w:space="0" w:color="auto"/>
      </w:divBdr>
    </w:div>
    <w:div w:id="127206072">
      <w:bodyDiv w:val="1"/>
      <w:marLeft w:val="0"/>
      <w:marRight w:val="0"/>
      <w:marTop w:val="0"/>
      <w:marBottom w:val="0"/>
      <w:divBdr>
        <w:top w:val="none" w:sz="0" w:space="0" w:color="auto"/>
        <w:left w:val="none" w:sz="0" w:space="0" w:color="auto"/>
        <w:bottom w:val="none" w:sz="0" w:space="0" w:color="auto"/>
        <w:right w:val="none" w:sz="0" w:space="0" w:color="auto"/>
      </w:divBdr>
    </w:div>
    <w:div w:id="132870414">
      <w:bodyDiv w:val="1"/>
      <w:marLeft w:val="0"/>
      <w:marRight w:val="0"/>
      <w:marTop w:val="0"/>
      <w:marBottom w:val="0"/>
      <w:divBdr>
        <w:top w:val="none" w:sz="0" w:space="0" w:color="auto"/>
        <w:left w:val="none" w:sz="0" w:space="0" w:color="auto"/>
        <w:bottom w:val="none" w:sz="0" w:space="0" w:color="auto"/>
        <w:right w:val="none" w:sz="0" w:space="0" w:color="auto"/>
      </w:divBdr>
    </w:div>
    <w:div w:id="141892830">
      <w:bodyDiv w:val="1"/>
      <w:marLeft w:val="0"/>
      <w:marRight w:val="0"/>
      <w:marTop w:val="0"/>
      <w:marBottom w:val="0"/>
      <w:divBdr>
        <w:top w:val="none" w:sz="0" w:space="0" w:color="auto"/>
        <w:left w:val="none" w:sz="0" w:space="0" w:color="auto"/>
        <w:bottom w:val="none" w:sz="0" w:space="0" w:color="auto"/>
        <w:right w:val="none" w:sz="0" w:space="0" w:color="auto"/>
      </w:divBdr>
    </w:div>
    <w:div w:id="167064063">
      <w:bodyDiv w:val="1"/>
      <w:marLeft w:val="0"/>
      <w:marRight w:val="0"/>
      <w:marTop w:val="0"/>
      <w:marBottom w:val="0"/>
      <w:divBdr>
        <w:top w:val="none" w:sz="0" w:space="0" w:color="auto"/>
        <w:left w:val="none" w:sz="0" w:space="0" w:color="auto"/>
        <w:bottom w:val="none" w:sz="0" w:space="0" w:color="auto"/>
        <w:right w:val="none" w:sz="0" w:space="0" w:color="auto"/>
      </w:divBdr>
    </w:div>
    <w:div w:id="176769102">
      <w:bodyDiv w:val="1"/>
      <w:marLeft w:val="0"/>
      <w:marRight w:val="0"/>
      <w:marTop w:val="0"/>
      <w:marBottom w:val="0"/>
      <w:divBdr>
        <w:top w:val="none" w:sz="0" w:space="0" w:color="auto"/>
        <w:left w:val="none" w:sz="0" w:space="0" w:color="auto"/>
        <w:bottom w:val="none" w:sz="0" w:space="0" w:color="auto"/>
        <w:right w:val="none" w:sz="0" w:space="0" w:color="auto"/>
      </w:divBdr>
    </w:div>
    <w:div w:id="243302148">
      <w:bodyDiv w:val="1"/>
      <w:marLeft w:val="0"/>
      <w:marRight w:val="0"/>
      <w:marTop w:val="0"/>
      <w:marBottom w:val="0"/>
      <w:divBdr>
        <w:top w:val="none" w:sz="0" w:space="0" w:color="auto"/>
        <w:left w:val="none" w:sz="0" w:space="0" w:color="auto"/>
        <w:bottom w:val="none" w:sz="0" w:space="0" w:color="auto"/>
        <w:right w:val="none" w:sz="0" w:space="0" w:color="auto"/>
      </w:divBdr>
    </w:div>
    <w:div w:id="252976983">
      <w:bodyDiv w:val="1"/>
      <w:marLeft w:val="0"/>
      <w:marRight w:val="0"/>
      <w:marTop w:val="0"/>
      <w:marBottom w:val="0"/>
      <w:divBdr>
        <w:top w:val="none" w:sz="0" w:space="0" w:color="auto"/>
        <w:left w:val="none" w:sz="0" w:space="0" w:color="auto"/>
        <w:bottom w:val="none" w:sz="0" w:space="0" w:color="auto"/>
        <w:right w:val="none" w:sz="0" w:space="0" w:color="auto"/>
      </w:divBdr>
    </w:div>
    <w:div w:id="260188153">
      <w:bodyDiv w:val="1"/>
      <w:marLeft w:val="0"/>
      <w:marRight w:val="0"/>
      <w:marTop w:val="0"/>
      <w:marBottom w:val="0"/>
      <w:divBdr>
        <w:top w:val="none" w:sz="0" w:space="0" w:color="auto"/>
        <w:left w:val="none" w:sz="0" w:space="0" w:color="auto"/>
        <w:bottom w:val="none" w:sz="0" w:space="0" w:color="auto"/>
        <w:right w:val="none" w:sz="0" w:space="0" w:color="auto"/>
      </w:divBdr>
    </w:div>
    <w:div w:id="271939549">
      <w:bodyDiv w:val="1"/>
      <w:marLeft w:val="0"/>
      <w:marRight w:val="0"/>
      <w:marTop w:val="0"/>
      <w:marBottom w:val="0"/>
      <w:divBdr>
        <w:top w:val="none" w:sz="0" w:space="0" w:color="auto"/>
        <w:left w:val="none" w:sz="0" w:space="0" w:color="auto"/>
        <w:bottom w:val="none" w:sz="0" w:space="0" w:color="auto"/>
        <w:right w:val="none" w:sz="0" w:space="0" w:color="auto"/>
      </w:divBdr>
    </w:div>
    <w:div w:id="275144482">
      <w:bodyDiv w:val="1"/>
      <w:marLeft w:val="0"/>
      <w:marRight w:val="0"/>
      <w:marTop w:val="0"/>
      <w:marBottom w:val="0"/>
      <w:divBdr>
        <w:top w:val="none" w:sz="0" w:space="0" w:color="auto"/>
        <w:left w:val="none" w:sz="0" w:space="0" w:color="auto"/>
        <w:bottom w:val="none" w:sz="0" w:space="0" w:color="auto"/>
        <w:right w:val="none" w:sz="0" w:space="0" w:color="auto"/>
      </w:divBdr>
    </w:div>
    <w:div w:id="279529358">
      <w:bodyDiv w:val="1"/>
      <w:marLeft w:val="0"/>
      <w:marRight w:val="0"/>
      <w:marTop w:val="0"/>
      <w:marBottom w:val="0"/>
      <w:divBdr>
        <w:top w:val="none" w:sz="0" w:space="0" w:color="auto"/>
        <w:left w:val="none" w:sz="0" w:space="0" w:color="auto"/>
        <w:bottom w:val="none" w:sz="0" w:space="0" w:color="auto"/>
        <w:right w:val="none" w:sz="0" w:space="0" w:color="auto"/>
      </w:divBdr>
    </w:div>
    <w:div w:id="305089745">
      <w:bodyDiv w:val="1"/>
      <w:marLeft w:val="0"/>
      <w:marRight w:val="0"/>
      <w:marTop w:val="0"/>
      <w:marBottom w:val="0"/>
      <w:divBdr>
        <w:top w:val="none" w:sz="0" w:space="0" w:color="auto"/>
        <w:left w:val="none" w:sz="0" w:space="0" w:color="auto"/>
        <w:bottom w:val="none" w:sz="0" w:space="0" w:color="auto"/>
        <w:right w:val="none" w:sz="0" w:space="0" w:color="auto"/>
      </w:divBdr>
    </w:div>
    <w:div w:id="330916008">
      <w:bodyDiv w:val="1"/>
      <w:marLeft w:val="0"/>
      <w:marRight w:val="0"/>
      <w:marTop w:val="0"/>
      <w:marBottom w:val="0"/>
      <w:divBdr>
        <w:top w:val="none" w:sz="0" w:space="0" w:color="auto"/>
        <w:left w:val="none" w:sz="0" w:space="0" w:color="auto"/>
        <w:bottom w:val="none" w:sz="0" w:space="0" w:color="auto"/>
        <w:right w:val="none" w:sz="0" w:space="0" w:color="auto"/>
      </w:divBdr>
    </w:div>
    <w:div w:id="335571678">
      <w:bodyDiv w:val="1"/>
      <w:marLeft w:val="0"/>
      <w:marRight w:val="0"/>
      <w:marTop w:val="0"/>
      <w:marBottom w:val="0"/>
      <w:divBdr>
        <w:top w:val="none" w:sz="0" w:space="0" w:color="auto"/>
        <w:left w:val="none" w:sz="0" w:space="0" w:color="auto"/>
        <w:bottom w:val="none" w:sz="0" w:space="0" w:color="auto"/>
        <w:right w:val="none" w:sz="0" w:space="0" w:color="auto"/>
      </w:divBdr>
    </w:div>
    <w:div w:id="362635750">
      <w:bodyDiv w:val="1"/>
      <w:marLeft w:val="0"/>
      <w:marRight w:val="0"/>
      <w:marTop w:val="0"/>
      <w:marBottom w:val="0"/>
      <w:divBdr>
        <w:top w:val="none" w:sz="0" w:space="0" w:color="auto"/>
        <w:left w:val="none" w:sz="0" w:space="0" w:color="auto"/>
        <w:bottom w:val="none" w:sz="0" w:space="0" w:color="auto"/>
        <w:right w:val="none" w:sz="0" w:space="0" w:color="auto"/>
      </w:divBdr>
    </w:div>
    <w:div w:id="382952499">
      <w:bodyDiv w:val="1"/>
      <w:marLeft w:val="0"/>
      <w:marRight w:val="0"/>
      <w:marTop w:val="0"/>
      <w:marBottom w:val="0"/>
      <w:divBdr>
        <w:top w:val="none" w:sz="0" w:space="0" w:color="auto"/>
        <w:left w:val="none" w:sz="0" w:space="0" w:color="auto"/>
        <w:bottom w:val="none" w:sz="0" w:space="0" w:color="auto"/>
        <w:right w:val="none" w:sz="0" w:space="0" w:color="auto"/>
      </w:divBdr>
    </w:div>
    <w:div w:id="389306727">
      <w:bodyDiv w:val="1"/>
      <w:marLeft w:val="0"/>
      <w:marRight w:val="0"/>
      <w:marTop w:val="0"/>
      <w:marBottom w:val="0"/>
      <w:divBdr>
        <w:top w:val="none" w:sz="0" w:space="0" w:color="auto"/>
        <w:left w:val="none" w:sz="0" w:space="0" w:color="auto"/>
        <w:bottom w:val="none" w:sz="0" w:space="0" w:color="auto"/>
        <w:right w:val="none" w:sz="0" w:space="0" w:color="auto"/>
      </w:divBdr>
    </w:div>
    <w:div w:id="393552013">
      <w:bodyDiv w:val="1"/>
      <w:marLeft w:val="0"/>
      <w:marRight w:val="0"/>
      <w:marTop w:val="0"/>
      <w:marBottom w:val="0"/>
      <w:divBdr>
        <w:top w:val="none" w:sz="0" w:space="0" w:color="auto"/>
        <w:left w:val="none" w:sz="0" w:space="0" w:color="auto"/>
        <w:bottom w:val="none" w:sz="0" w:space="0" w:color="auto"/>
        <w:right w:val="none" w:sz="0" w:space="0" w:color="auto"/>
      </w:divBdr>
    </w:div>
    <w:div w:id="444232020">
      <w:bodyDiv w:val="1"/>
      <w:marLeft w:val="0"/>
      <w:marRight w:val="0"/>
      <w:marTop w:val="0"/>
      <w:marBottom w:val="0"/>
      <w:divBdr>
        <w:top w:val="none" w:sz="0" w:space="0" w:color="auto"/>
        <w:left w:val="none" w:sz="0" w:space="0" w:color="auto"/>
        <w:bottom w:val="none" w:sz="0" w:space="0" w:color="auto"/>
        <w:right w:val="none" w:sz="0" w:space="0" w:color="auto"/>
      </w:divBdr>
    </w:div>
    <w:div w:id="450710944">
      <w:bodyDiv w:val="1"/>
      <w:marLeft w:val="0"/>
      <w:marRight w:val="0"/>
      <w:marTop w:val="0"/>
      <w:marBottom w:val="0"/>
      <w:divBdr>
        <w:top w:val="none" w:sz="0" w:space="0" w:color="auto"/>
        <w:left w:val="none" w:sz="0" w:space="0" w:color="auto"/>
        <w:bottom w:val="none" w:sz="0" w:space="0" w:color="auto"/>
        <w:right w:val="none" w:sz="0" w:space="0" w:color="auto"/>
      </w:divBdr>
    </w:div>
    <w:div w:id="462120436">
      <w:bodyDiv w:val="1"/>
      <w:marLeft w:val="0"/>
      <w:marRight w:val="0"/>
      <w:marTop w:val="0"/>
      <w:marBottom w:val="0"/>
      <w:divBdr>
        <w:top w:val="none" w:sz="0" w:space="0" w:color="auto"/>
        <w:left w:val="none" w:sz="0" w:space="0" w:color="auto"/>
        <w:bottom w:val="none" w:sz="0" w:space="0" w:color="auto"/>
        <w:right w:val="none" w:sz="0" w:space="0" w:color="auto"/>
      </w:divBdr>
    </w:div>
    <w:div w:id="474880915">
      <w:bodyDiv w:val="1"/>
      <w:marLeft w:val="0"/>
      <w:marRight w:val="0"/>
      <w:marTop w:val="0"/>
      <w:marBottom w:val="0"/>
      <w:divBdr>
        <w:top w:val="none" w:sz="0" w:space="0" w:color="auto"/>
        <w:left w:val="none" w:sz="0" w:space="0" w:color="auto"/>
        <w:bottom w:val="none" w:sz="0" w:space="0" w:color="auto"/>
        <w:right w:val="none" w:sz="0" w:space="0" w:color="auto"/>
      </w:divBdr>
    </w:div>
    <w:div w:id="475028325">
      <w:bodyDiv w:val="1"/>
      <w:marLeft w:val="0"/>
      <w:marRight w:val="0"/>
      <w:marTop w:val="0"/>
      <w:marBottom w:val="0"/>
      <w:divBdr>
        <w:top w:val="none" w:sz="0" w:space="0" w:color="auto"/>
        <w:left w:val="none" w:sz="0" w:space="0" w:color="auto"/>
        <w:bottom w:val="none" w:sz="0" w:space="0" w:color="auto"/>
        <w:right w:val="none" w:sz="0" w:space="0" w:color="auto"/>
      </w:divBdr>
    </w:div>
    <w:div w:id="483742765">
      <w:bodyDiv w:val="1"/>
      <w:marLeft w:val="0"/>
      <w:marRight w:val="0"/>
      <w:marTop w:val="0"/>
      <w:marBottom w:val="0"/>
      <w:divBdr>
        <w:top w:val="none" w:sz="0" w:space="0" w:color="auto"/>
        <w:left w:val="none" w:sz="0" w:space="0" w:color="auto"/>
        <w:bottom w:val="none" w:sz="0" w:space="0" w:color="auto"/>
        <w:right w:val="none" w:sz="0" w:space="0" w:color="auto"/>
      </w:divBdr>
    </w:div>
    <w:div w:id="524635161">
      <w:bodyDiv w:val="1"/>
      <w:marLeft w:val="0"/>
      <w:marRight w:val="0"/>
      <w:marTop w:val="0"/>
      <w:marBottom w:val="0"/>
      <w:divBdr>
        <w:top w:val="none" w:sz="0" w:space="0" w:color="auto"/>
        <w:left w:val="none" w:sz="0" w:space="0" w:color="auto"/>
        <w:bottom w:val="none" w:sz="0" w:space="0" w:color="auto"/>
        <w:right w:val="none" w:sz="0" w:space="0" w:color="auto"/>
      </w:divBdr>
    </w:div>
    <w:div w:id="529998070">
      <w:bodyDiv w:val="1"/>
      <w:marLeft w:val="0"/>
      <w:marRight w:val="0"/>
      <w:marTop w:val="0"/>
      <w:marBottom w:val="0"/>
      <w:divBdr>
        <w:top w:val="none" w:sz="0" w:space="0" w:color="auto"/>
        <w:left w:val="none" w:sz="0" w:space="0" w:color="auto"/>
        <w:bottom w:val="none" w:sz="0" w:space="0" w:color="auto"/>
        <w:right w:val="none" w:sz="0" w:space="0" w:color="auto"/>
      </w:divBdr>
    </w:div>
    <w:div w:id="538400905">
      <w:bodyDiv w:val="1"/>
      <w:marLeft w:val="0"/>
      <w:marRight w:val="0"/>
      <w:marTop w:val="0"/>
      <w:marBottom w:val="0"/>
      <w:divBdr>
        <w:top w:val="none" w:sz="0" w:space="0" w:color="auto"/>
        <w:left w:val="none" w:sz="0" w:space="0" w:color="auto"/>
        <w:bottom w:val="none" w:sz="0" w:space="0" w:color="auto"/>
        <w:right w:val="none" w:sz="0" w:space="0" w:color="auto"/>
      </w:divBdr>
    </w:div>
    <w:div w:id="542061634">
      <w:bodyDiv w:val="1"/>
      <w:marLeft w:val="0"/>
      <w:marRight w:val="0"/>
      <w:marTop w:val="0"/>
      <w:marBottom w:val="0"/>
      <w:divBdr>
        <w:top w:val="none" w:sz="0" w:space="0" w:color="auto"/>
        <w:left w:val="none" w:sz="0" w:space="0" w:color="auto"/>
        <w:bottom w:val="none" w:sz="0" w:space="0" w:color="auto"/>
        <w:right w:val="none" w:sz="0" w:space="0" w:color="auto"/>
      </w:divBdr>
    </w:div>
    <w:div w:id="544607200">
      <w:bodyDiv w:val="1"/>
      <w:marLeft w:val="0"/>
      <w:marRight w:val="0"/>
      <w:marTop w:val="0"/>
      <w:marBottom w:val="0"/>
      <w:divBdr>
        <w:top w:val="none" w:sz="0" w:space="0" w:color="auto"/>
        <w:left w:val="none" w:sz="0" w:space="0" w:color="auto"/>
        <w:bottom w:val="none" w:sz="0" w:space="0" w:color="auto"/>
        <w:right w:val="none" w:sz="0" w:space="0" w:color="auto"/>
      </w:divBdr>
    </w:div>
    <w:div w:id="547108083">
      <w:bodyDiv w:val="1"/>
      <w:marLeft w:val="0"/>
      <w:marRight w:val="0"/>
      <w:marTop w:val="0"/>
      <w:marBottom w:val="0"/>
      <w:divBdr>
        <w:top w:val="none" w:sz="0" w:space="0" w:color="auto"/>
        <w:left w:val="none" w:sz="0" w:space="0" w:color="auto"/>
        <w:bottom w:val="none" w:sz="0" w:space="0" w:color="auto"/>
        <w:right w:val="none" w:sz="0" w:space="0" w:color="auto"/>
      </w:divBdr>
    </w:div>
    <w:div w:id="573049891">
      <w:bodyDiv w:val="1"/>
      <w:marLeft w:val="0"/>
      <w:marRight w:val="0"/>
      <w:marTop w:val="0"/>
      <w:marBottom w:val="0"/>
      <w:divBdr>
        <w:top w:val="none" w:sz="0" w:space="0" w:color="auto"/>
        <w:left w:val="none" w:sz="0" w:space="0" w:color="auto"/>
        <w:bottom w:val="none" w:sz="0" w:space="0" w:color="auto"/>
        <w:right w:val="none" w:sz="0" w:space="0" w:color="auto"/>
      </w:divBdr>
    </w:div>
    <w:div w:id="589433233">
      <w:bodyDiv w:val="1"/>
      <w:marLeft w:val="0"/>
      <w:marRight w:val="0"/>
      <w:marTop w:val="0"/>
      <w:marBottom w:val="0"/>
      <w:divBdr>
        <w:top w:val="none" w:sz="0" w:space="0" w:color="auto"/>
        <w:left w:val="none" w:sz="0" w:space="0" w:color="auto"/>
        <w:bottom w:val="none" w:sz="0" w:space="0" w:color="auto"/>
        <w:right w:val="none" w:sz="0" w:space="0" w:color="auto"/>
      </w:divBdr>
    </w:div>
    <w:div w:id="593628767">
      <w:bodyDiv w:val="1"/>
      <w:marLeft w:val="0"/>
      <w:marRight w:val="0"/>
      <w:marTop w:val="0"/>
      <w:marBottom w:val="0"/>
      <w:divBdr>
        <w:top w:val="none" w:sz="0" w:space="0" w:color="auto"/>
        <w:left w:val="none" w:sz="0" w:space="0" w:color="auto"/>
        <w:bottom w:val="none" w:sz="0" w:space="0" w:color="auto"/>
        <w:right w:val="none" w:sz="0" w:space="0" w:color="auto"/>
      </w:divBdr>
    </w:div>
    <w:div w:id="607469646">
      <w:bodyDiv w:val="1"/>
      <w:marLeft w:val="0"/>
      <w:marRight w:val="0"/>
      <w:marTop w:val="0"/>
      <w:marBottom w:val="0"/>
      <w:divBdr>
        <w:top w:val="none" w:sz="0" w:space="0" w:color="auto"/>
        <w:left w:val="none" w:sz="0" w:space="0" w:color="auto"/>
        <w:bottom w:val="none" w:sz="0" w:space="0" w:color="auto"/>
        <w:right w:val="none" w:sz="0" w:space="0" w:color="auto"/>
      </w:divBdr>
    </w:div>
    <w:div w:id="644166777">
      <w:bodyDiv w:val="1"/>
      <w:marLeft w:val="0"/>
      <w:marRight w:val="0"/>
      <w:marTop w:val="0"/>
      <w:marBottom w:val="0"/>
      <w:divBdr>
        <w:top w:val="none" w:sz="0" w:space="0" w:color="auto"/>
        <w:left w:val="none" w:sz="0" w:space="0" w:color="auto"/>
        <w:bottom w:val="none" w:sz="0" w:space="0" w:color="auto"/>
        <w:right w:val="none" w:sz="0" w:space="0" w:color="auto"/>
      </w:divBdr>
    </w:div>
    <w:div w:id="647710349">
      <w:bodyDiv w:val="1"/>
      <w:marLeft w:val="0"/>
      <w:marRight w:val="0"/>
      <w:marTop w:val="0"/>
      <w:marBottom w:val="0"/>
      <w:divBdr>
        <w:top w:val="none" w:sz="0" w:space="0" w:color="auto"/>
        <w:left w:val="none" w:sz="0" w:space="0" w:color="auto"/>
        <w:bottom w:val="none" w:sz="0" w:space="0" w:color="auto"/>
        <w:right w:val="none" w:sz="0" w:space="0" w:color="auto"/>
      </w:divBdr>
    </w:div>
    <w:div w:id="670136452">
      <w:bodyDiv w:val="1"/>
      <w:marLeft w:val="0"/>
      <w:marRight w:val="0"/>
      <w:marTop w:val="0"/>
      <w:marBottom w:val="0"/>
      <w:divBdr>
        <w:top w:val="none" w:sz="0" w:space="0" w:color="auto"/>
        <w:left w:val="none" w:sz="0" w:space="0" w:color="auto"/>
        <w:bottom w:val="none" w:sz="0" w:space="0" w:color="auto"/>
        <w:right w:val="none" w:sz="0" w:space="0" w:color="auto"/>
      </w:divBdr>
    </w:div>
    <w:div w:id="690646738">
      <w:bodyDiv w:val="1"/>
      <w:marLeft w:val="0"/>
      <w:marRight w:val="0"/>
      <w:marTop w:val="0"/>
      <w:marBottom w:val="0"/>
      <w:divBdr>
        <w:top w:val="none" w:sz="0" w:space="0" w:color="auto"/>
        <w:left w:val="none" w:sz="0" w:space="0" w:color="auto"/>
        <w:bottom w:val="none" w:sz="0" w:space="0" w:color="auto"/>
        <w:right w:val="none" w:sz="0" w:space="0" w:color="auto"/>
      </w:divBdr>
    </w:div>
    <w:div w:id="710612864">
      <w:bodyDiv w:val="1"/>
      <w:marLeft w:val="0"/>
      <w:marRight w:val="0"/>
      <w:marTop w:val="0"/>
      <w:marBottom w:val="0"/>
      <w:divBdr>
        <w:top w:val="none" w:sz="0" w:space="0" w:color="auto"/>
        <w:left w:val="none" w:sz="0" w:space="0" w:color="auto"/>
        <w:bottom w:val="none" w:sz="0" w:space="0" w:color="auto"/>
        <w:right w:val="none" w:sz="0" w:space="0" w:color="auto"/>
      </w:divBdr>
    </w:div>
    <w:div w:id="730661741">
      <w:bodyDiv w:val="1"/>
      <w:marLeft w:val="0"/>
      <w:marRight w:val="0"/>
      <w:marTop w:val="0"/>
      <w:marBottom w:val="0"/>
      <w:divBdr>
        <w:top w:val="none" w:sz="0" w:space="0" w:color="auto"/>
        <w:left w:val="none" w:sz="0" w:space="0" w:color="auto"/>
        <w:bottom w:val="none" w:sz="0" w:space="0" w:color="auto"/>
        <w:right w:val="none" w:sz="0" w:space="0" w:color="auto"/>
      </w:divBdr>
    </w:div>
    <w:div w:id="735203898">
      <w:bodyDiv w:val="1"/>
      <w:marLeft w:val="0"/>
      <w:marRight w:val="0"/>
      <w:marTop w:val="0"/>
      <w:marBottom w:val="0"/>
      <w:divBdr>
        <w:top w:val="none" w:sz="0" w:space="0" w:color="auto"/>
        <w:left w:val="none" w:sz="0" w:space="0" w:color="auto"/>
        <w:bottom w:val="none" w:sz="0" w:space="0" w:color="auto"/>
        <w:right w:val="none" w:sz="0" w:space="0" w:color="auto"/>
      </w:divBdr>
    </w:div>
    <w:div w:id="739787038">
      <w:bodyDiv w:val="1"/>
      <w:marLeft w:val="0"/>
      <w:marRight w:val="0"/>
      <w:marTop w:val="0"/>
      <w:marBottom w:val="0"/>
      <w:divBdr>
        <w:top w:val="none" w:sz="0" w:space="0" w:color="auto"/>
        <w:left w:val="none" w:sz="0" w:space="0" w:color="auto"/>
        <w:bottom w:val="none" w:sz="0" w:space="0" w:color="auto"/>
        <w:right w:val="none" w:sz="0" w:space="0" w:color="auto"/>
      </w:divBdr>
    </w:div>
    <w:div w:id="742145310">
      <w:bodyDiv w:val="1"/>
      <w:marLeft w:val="0"/>
      <w:marRight w:val="0"/>
      <w:marTop w:val="0"/>
      <w:marBottom w:val="0"/>
      <w:divBdr>
        <w:top w:val="none" w:sz="0" w:space="0" w:color="auto"/>
        <w:left w:val="none" w:sz="0" w:space="0" w:color="auto"/>
        <w:bottom w:val="none" w:sz="0" w:space="0" w:color="auto"/>
        <w:right w:val="none" w:sz="0" w:space="0" w:color="auto"/>
      </w:divBdr>
      <w:divsChild>
        <w:div w:id="305859858">
          <w:marLeft w:val="0"/>
          <w:marRight w:val="0"/>
          <w:marTop w:val="0"/>
          <w:marBottom w:val="0"/>
          <w:divBdr>
            <w:top w:val="none" w:sz="0" w:space="0" w:color="auto"/>
            <w:left w:val="none" w:sz="0" w:space="0" w:color="auto"/>
            <w:bottom w:val="none" w:sz="0" w:space="0" w:color="auto"/>
            <w:right w:val="none" w:sz="0" w:space="0" w:color="auto"/>
          </w:divBdr>
        </w:div>
        <w:div w:id="1830250240">
          <w:marLeft w:val="0"/>
          <w:marRight w:val="0"/>
          <w:marTop w:val="0"/>
          <w:marBottom w:val="0"/>
          <w:divBdr>
            <w:top w:val="none" w:sz="0" w:space="0" w:color="auto"/>
            <w:left w:val="none" w:sz="0" w:space="0" w:color="auto"/>
            <w:bottom w:val="none" w:sz="0" w:space="0" w:color="auto"/>
            <w:right w:val="none" w:sz="0" w:space="0" w:color="auto"/>
          </w:divBdr>
        </w:div>
        <w:div w:id="184637115">
          <w:marLeft w:val="0"/>
          <w:marRight w:val="0"/>
          <w:marTop w:val="0"/>
          <w:marBottom w:val="0"/>
          <w:divBdr>
            <w:top w:val="none" w:sz="0" w:space="0" w:color="auto"/>
            <w:left w:val="none" w:sz="0" w:space="0" w:color="auto"/>
            <w:bottom w:val="none" w:sz="0" w:space="0" w:color="auto"/>
            <w:right w:val="none" w:sz="0" w:space="0" w:color="auto"/>
          </w:divBdr>
        </w:div>
        <w:div w:id="1462764388">
          <w:marLeft w:val="0"/>
          <w:marRight w:val="0"/>
          <w:marTop w:val="0"/>
          <w:marBottom w:val="0"/>
          <w:divBdr>
            <w:top w:val="none" w:sz="0" w:space="0" w:color="auto"/>
            <w:left w:val="none" w:sz="0" w:space="0" w:color="auto"/>
            <w:bottom w:val="none" w:sz="0" w:space="0" w:color="auto"/>
            <w:right w:val="none" w:sz="0" w:space="0" w:color="auto"/>
          </w:divBdr>
        </w:div>
      </w:divsChild>
    </w:div>
    <w:div w:id="755253442">
      <w:bodyDiv w:val="1"/>
      <w:marLeft w:val="0"/>
      <w:marRight w:val="0"/>
      <w:marTop w:val="0"/>
      <w:marBottom w:val="0"/>
      <w:divBdr>
        <w:top w:val="none" w:sz="0" w:space="0" w:color="auto"/>
        <w:left w:val="none" w:sz="0" w:space="0" w:color="auto"/>
        <w:bottom w:val="none" w:sz="0" w:space="0" w:color="auto"/>
        <w:right w:val="none" w:sz="0" w:space="0" w:color="auto"/>
      </w:divBdr>
    </w:div>
    <w:div w:id="761298642">
      <w:bodyDiv w:val="1"/>
      <w:marLeft w:val="0"/>
      <w:marRight w:val="0"/>
      <w:marTop w:val="0"/>
      <w:marBottom w:val="0"/>
      <w:divBdr>
        <w:top w:val="none" w:sz="0" w:space="0" w:color="auto"/>
        <w:left w:val="none" w:sz="0" w:space="0" w:color="auto"/>
        <w:bottom w:val="none" w:sz="0" w:space="0" w:color="auto"/>
        <w:right w:val="none" w:sz="0" w:space="0" w:color="auto"/>
      </w:divBdr>
    </w:div>
    <w:div w:id="796489647">
      <w:bodyDiv w:val="1"/>
      <w:marLeft w:val="0"/>
      <w:marRight w:val="0"/>
      <w:marTop w:val="0"/>
      <w:marBottom w:val="0"/>
      <w:divBdr>
        <w:top w:val="none" w:sz="0" w:space="0" w:color="auto"/>
        <w:left w:val="none" w:sz="0" w:space="0" w:color="auto"/>
        <w:bottom w:val="none" w:sz="0" w:space="0" w:color="auto"/>
        <w:right w:val="none" w:sz="0" w:space="0" w:color="auto"/>
      </w:divBdr>
    </w:div>
    <w:div w:id="827139841">
      <w:bodyDiv w:val="1"/>
      <w:marLeft w:val="0"/>
      <w:marRight w:val="0"/>
      <w:marTop w:val="0"/>
      <w:marBottom w:val="0"/>
      <w:divBdr>
        <w:top w:val="none" w:sz="0" w:space="0" w:color="auto"/>
        <w:left w:val="none" w:sz="0" w:space="0" w:color="auto"/>
        <w:bottom w:val="none" w:sz="0" w:space="0" w:color="auto"/>
        <w:right w:val="none" w:sz="0" w:space="0" w:color="auto"/>
      </w:divBdr>
    </w:div>
    <w:div w:id="851918378">
      <w:bodyDiv w:val="1"/>
      <w:marLeft w:val="0"/>
      <w:marRight w:val="0"/>
      <w:marTop w:val="0"/>
      <w:marBottom w:val="0"/>
      <w:divBdr>
        <w:top w:val="none" w:sz="0" w:space="0" w:color="auto"/>
        <w:left w:val="none" w:sz="0" w:space="0" w:color="auto"/>
        <w:bottom w:val="none" w:sz="0" w:space="0" w:color="auto"/>
        <w:right w:val="none" w:sz="0" w:space="0" w:color="auto"/>
      </w:divBdr>
      <w:divsChild>
        <w:div w:id="1464228644">
          <w:marLeft w:val="0"/>
          <w:marRight w:val="0"/>
          <w:marTop w:val="0"/>
          <w:marBottom w:val="0"/>
          <w:divBdr>
            <w:top w:val="none" w:sz="0" w:space="0" w:color="auto"/>
            <w:left w:val="none" w:sz="0" w:space="0" w:color="auto"/>
            <w:bottom w:val="none" w:sz="0" w:space="0" w:color="auto"/>
            <w:right w:val="none" w:sz="0" w:space="0" w:color="auto"/>
          </w:divBdr>
        </w:div>
        <w:div w:id="640422189">
          <w:marLeft w:val="0"/>
          <w:marRight w:val="0"/>
          <w:marTop w:val="0"/>
          <w:marBottom w:val="0"/>
          <w:divBdr>
            <w:top w:val="none" w:sz="0" w:space="0" w:color="auto"/>
            <w:left w:val="none" w:sz="0" w:space="0" w:color="auto"/>
            <w:bottom w:val="none" w:sz="0" w:space="0" w:color="auto"/>
            <w:right w:val="none" w:sz="0" w:space="0" w:color="auto"/>
          </w:divBdr>
        </w:div>
        <w:div w:id="1765883973">
          <w:marLeft w:val="0"/>
          <w:marRight w:val="0"/>
          <w:marTop w:val="0"/>
          <w:marBottom w:val="0"/>
          <w:divBdr>
            <w:top w:val="none" w:sz="0" w:space="0" w:color="auto"/>
            <w:left w:val="none" w:sz="0" w:space="0" w:color="auto"/>
            <w:bottom w:val="none" w:sz="0" w:space="0" w:color="auto"/>
            <w:right w:val="none" w:sz="0" w:space="0" w:color="auto"/>
          </w:divBdr>
        </w:div>
      </w:divsChild>
    </w:div>
    <w:div w:id="862671068">
      <w:bodyDiv w:val="1"/>
      <w:marLeft w:val="0"/>
      <w:marRight w:val="0"/>
      <w:marTop w:val="0"/>
      <w:marBottom w:val="0"/>
      <w:divBdr>
        <w:top w:val="none" w:sz="0" w:space="0" w:color="auto"/>
        <w:left w:val="none" w:sz="0" w:space="0" w:color="auto"/>
        <w:bottom w:val="none" w:sz="0" w:space="0" w:color="auto"/>
        <w:right w:val="none" w:sz="0" w:space="0" w:color="auto"/>
      </w:divBdr>
    </w:div>
    <w:div w:id="872419518">
      <w:bodyDiv w:val="1"/>
      <w:marLeft w:val="0"/>
      <w:marRight w:val="0"/>
      <w:marTop w:val="0"/>
      <w:marBottom w:val="0"/>
      <w:divBdr>
        <w:top w:val="none" w:sz="0" w:space="0" w:color="auto"/>
        <w:left w:val="none" w:sz="0" w:space="0" w:color="auto"/>
        <w:bottom w:val="none" w:sz="0" w:space="0" w:color="auto"/>
        <w:right w:val="none" w:sz="0" w:space="0" w:color="auto"/>
      </w:divBdr>
    </w:div>
    <w:div w:id="900794303">
      <w:bodyDiv w:val="1"/>
      <w:marLeft w:val="0"/>
      <w:marRight w:val="0"/>
      <w:marTop w:val="0"/>
      <w:marBottom w:val="0"/>
      <w:divBdr>
        <w:top w:val="none" w:sz="0" w:space="0" w:color="auto"/>
        <w:left w:val="none" w:sz="0" w:space="0" w:color="auto"/>
        <w:bottom w:val="none" w:sz="0" w:space="0" w:color="auto"/>
        <w:right w:val="none" w:sz="0" w:space="0" w:color="auto"/>
      </w:divBdr>
    </w:div>
    <w:div w:id="912817163">
      <w:bodyDiv w:val="1"/>
      <w:marLeft w:val="0"/>
      <w:marRight w:val="0"/>
      <w:marTop w:val="0"/>
      <w:marBottom w:val="0"/>
      <w:divBdr>
        <w:top w:val="none" w:sz="0" w:space="0" w:color="auto"/>
        <w:left w:val="none" w:sz="0" w:space="0" w:color="auto"/>
        <w:bottom w:val="none" w:sz="0" w:space="0" w:color="auto"/>
        <w:right w:val="none" w:sz="0" w:space="0" w:color="auto"/>
      </w:divBdr>
    </w:div>
    <w:div w:id="937372394">
      <w:bodyDiv w:val="1"/>
      <w:marLeft w:val="0"/>
      <w:marRight w:val="0"/>
      <w:marTop w:val="0"/>
      <w:marBottom w:val="0"/>
      <w:divBdr>
        <w:top w:val="none" w:sz="0" w:space="0" w:color="auto"/>
        <w:left w:val="none" w:sz="0" w:space="0" w:color="auto"/>
        <w:bottom w:val="none" w:sz="0" w:space="0" w:color="auto"/>
        <w:right w:val="none" w:sz="0" w:space="0" w:color="auto"/>
      </w:divBdr>
    </w:div>
    <w:div w:id="975988700">
      <w:bodyDiv w:val="1"/>
      <w:marLeft w:val="0"/>
      <w:marRight w:val="0"/>
      <w:marTop w:val="0"/>
      <w:marBottom w:val="0"/>
      <w:divBdr>
        <w:top w:val="none" w:sz="0" w:space="0" w:color="auto"/>
        <w:left w:val="none" w:sz="0" w:space="0" w:color="auto"/>
        <w:bottom w:val="none" w:sz="0" w:space="0" w:color="auto"/>
        <w:right w:val="none" w:sz="0" w:space="0" w:color="auto"/>
      </w:divBdr>
    </w:div>
    <w:div w:id="1015420355">
      <w:bodyDiv w:val="1"/>
      <w:marLeft w:val="0"/>
      <w:marRight w:val="0"/>
      <w:marTop w:val="0"/>
      <w:marBottom w:val="0"/>
      <w:divBdr>
        <w:top w:val="none" w:sz="0" w:space="0" w:color="auto"/>
        <w:left w:val="none" w:sz="0" w:space="0" w:color="auto"/>
        <w:bottom w:val="none" w:sz="0" w:space="0" w:color="auto"/>
        <w:right w:val="none" w:sz="0" w:space="0" w:color="auto"/>
      </w:divBdr>
    </w:div>
    <w:div w:id="1059674342">
      <w:bodyDiv w:val="1"/>
      <w:marLeft w:val="0"/>
      <w:marRight w:val="0"/>
      <w:marTop w:val="0"/>
      <w:marBottom w:val="0"/>
      <w:divBdr>
        <w:top w:val="none" w:sz="0" w:space="0" w:color="auto"/>
        <w:left w:val="none" w:sz="0" w:space="0" w:color="auto"/>
        <w:bottom w:val="none" w:sz="0" w:space="0" w:color="auto"/>
        <w:right w:val="none" w:sz="0" w:space="0" w:color="auto"/>
      </w:divBdr>
    </w:div>
    <w:div w:id="1089429847">
      <w:bodyDiv w:val="1"/>
      <w:marLeft w:val="0"/>
      <w:marRight w:val="0"/>
      <w:marTop w:val="0"/>
      <w:marBottom w:val="0"/>
      <w:divBdr>
        <w:top w:val="none" w:sz="0" w:space="0" w:color="auto"/>
        <w:left w:val="none" w:sz="0" w:space="0" w:color="auto"/>
        <w:bottom w:val="none" w:sz="0" w:space="0" w:color="auto"/>
        <w:right w:val="none" w:sz="0" w:space="0" w:color="auto"/>
      </w:divBdr>
    </w:div>
    <w:div w:id="1093087769">
      <w:bodyDiv w:val="1"/>
      <w:marLeft w:val="0"/>
      <w:marRight w:val="0"/>
      <w:marTop w:val="0"/>
      <w:marBottom w:val="0"/>
      <w:divBdr>
        <w:top w:val="none" w:sz="0" w:space="0" w:color="auto"/>
        <w:left w:val="none" w:sz="0" w:space="0" w:color="auto"/>
        <w:bottom w:val="none" w:sz="0" w:space="0" w:color="auto"/>
        <w:right w:val="none" w:sz="0" w:space="0" w:color="auto"/>
      </w:divBdr>
    </w:div>
    <w:div w:id="1093745704">
      <w:bodyDiv w:val="1"/>
      <w:marLeft w:val="0"/>
      <w:marRight w:val="0"/>
      <w:marTop w:val="0"/>
      <w:marBottom w:val="0"/>
      <w:divBdr>
        <w:top w:val="none" w:sz="0" w:space="0" w:color="auto"/>
        <w:left w:val="none" w:sz="0" w:space="0" w:color="auto"/>
        <w:bottom w:val="none" w:sz="0" w:space="0" w:color="auto"/>
        <w:right w:val="none" w:sz="0" w:space="0" w:color="auto"/>
      </w:divBdr>
    </w:div>
    <w:div w:id="1099132903">
      <w:bodyDiv w:val="1"/>
      <w:marLeft w:val="0"/>
      <w:marRight w:val="0"/>
      <w:marTop w:val="0"/>
      <w:marBottom w:val="0"/>
      <w:divBdr>
        <w:top w:val="none" w:sz="0" w:space="0" w:color="auto"/>
        <w:left w:val="none" w:sz="0" w:space="0" w:color="auto"/>
        <w:bottom w:val="none" w:sz="0" w:space="0" w:color="auto"/>
        <w:right w:val="none" w:sz="0" w:space="0" w:color="auto"/>
      </w:divBdr>
    </w:div>
    <w:div w:id="1118061491">
      <w:bodyDiv w:val="1"/>
      <w:marLeft w:val="0"/>
      <w:marRight w:val="0"/>
      <w:marTop w:val="0"/>
      <w:marBottom w:val="0"/>
      <w:divBdr>
        <w:top w:val="none" w:sz="0" w:space="0" w:color="auto"/>
        <w:left w:val="none" w:sz="0" w:space="0" w:color="auto"/>
        <w:bottom w:val="none" w:sz="0" w:space="0" w:color="auto"/>
        <w:right w:val="none" w:sz="0" w:space="0" w:color="auto"/>
      </w:divBdr>
    </w:div>
    <w:div w:id="1118258489">
      <w:bodyDiv w:val="1"/>
      <w:marLeft w:val="0"/>
      <w:marRight w:val="0"/>
      <w:marTop w:val="0"/>
      <w:marBottom w:val="0"/>
      <w:divBdr>
        <w:top w:val="none" w:sz="0" w:space="0" w:color="auto"/>
        <w:left w:val="none" w:sz="0" w:space="0" w:color="auto"/>
        <w:bottom w:val="none" w:sz="0" w:space="0" w:color="auto"/>
        <w:right w:val="none" w:sz="0" w:space="0" w:color="auto"/>
      </w:divBdr>
    </w:div>
    <w:div w:id="1122186993">
      <w:bodyDiv w:val="1"/>
      <w:marLeft w:val="0"/>
      <w:marRight w:val="0"/>
      <w:marTop w:val="0"/>
      <w:marBottom w:val="0"/>
      <w:divBdr>
        <w:top w:val="none" w:sz="0" w:space="0" w:color="auto"/>
        <w:left w:val="none" w:sz="0" w:space="0" w:color="auto"/>
        <w:bottom w:val="none" w:sz="0" w:space="0" w:color="auto"/>
        <w:right w:val="none" w:sz="0" w:space="0" w:color="auto"/>
      </w:divBdr>
    </w:div>
    <w:div w:id="1139375315">
      <w:bodyDiv w:val="1"/>
      <w:marLeft w:val="0"/>
      <w:marRight w:val="0"/>
      <w:marTop w:val="0"/>
      <w:marBottom w:val="0"/>
      <w:divBdr>
        <w:top w:val="none" w:sz="0" w:space="0" w:color="auto"/>
        <w:left w:val="none" w:sz="0" w:space="0" w:color="auto"/>
        <w:bottom w:val="none" w:sz="0" w:space="0" w:color="auto"/>
        <w:right w:val="none" w:sz="0" w:space="0" w:color="auto"/>
      </w:divBdr>
    </w:div>
    <w:div w:id="1143042420">
      <w:bodyDiv w:val="1"/>
      <w:marLeft w:val="0"/>
      <w:marRight w:val="0"/>
      <w:marTop w:val="0"/>
      <w:marBottom w:val="0"/>
      <w:divBdr>
        <w:top w:val="none" w:sz="0" w:space="0" w:color="auto"/>
        <w:left w:val="none" w:sz="0" w:space="0" w:color="auto"/>
        <w:bottom w:val="none" w:sz="0" w:space="0" w:color="auto"/>
        <w:right w:val="none" w:sz="0" w:space="0" w:color="auto"/>
      </w:divBdr>
    </w:div>
    <w:div w:id="1145732882">
      <w:bodyDiv w:val="1"/>
      <w:marLeft w:val="0"/>
      <w:marRight w:val="0"/>
      <w:marTop w:val="0"/>
      <w:marBottom w:val="0"/>
      <w:divBdr>
        <w:top w:val="none" w:sz="0" w:space="0" w:color="auto"/>
        <w:left w:val="none" w:sz="0" w:space="0" w:color="auto"/>
        <w:bottom w:val="none" w:sz="0" w:space="0" w:color="auto"/>
        <w:right w:val="none" w:sz="0" w:space="0" w:color="auto"/>
      </w:divBdr>
    </w:div>
    <w:div w:id="1146238167">
      <w:bodyDiv w:val="1"/>
      <w:marLeft w:val="0"/>
      <w:marRight w:val="0"/>
      <w:marTop w:val="0"/>
      <w:marBottom w:val="0"/>
      <w:divBdr>
        <w:top w:val="none" w:sz="0" w:space="0" w:color="auto"/>
        <w:left w:val="none" w:sz="0" w:space="0" w:color="auto"/>
        <w:bottom w:val="none" w:sz="0" w:space="0" w:color="auto"/>
        <w:right w:val="none" w:sz="0" w:space="0" w:color="auto"/>
      </w:divBdr>
    </w:div>
    <w:div w:id="1149596939">
      <w:bodyDiv w:val="1"/>
      <w:marLeft w:val="0"/>
      <w:marRight w:val="0"/>
      <w:marTop w:val="0"/>
      <w:marBottom w:val="0"/>
      <w:divBdr>
        <w:top w:val="none" w:sz="0" w:space="0" w:color="auto"/>
        <w:left w:val="none" w:sz="0" w:space="0" w:color="auto"/>
        <w:bottom w:val="none" w:sz="0" w:space="0" w:color="auto"/>
        <w:right w:val="none" w:sz="0" w:space="0" w:color="auto"/>
      </w:divBdr>
    </w:div>
    <w:div w:id="1237278907">
      <w:bodyDiv w:val="1"/>
      <w:marLeft w:val="0"/>
      <w:marRight w:val="0"/>
      <w:marTop w:val="0"/>
      <w:marBottom w:val="0"/>
      <w:divBdr>
        <w:top w:val="none" w:sz="0" w:space="0" w:color="auto"/>
        <w:left w:val="none" w:sz="0" w:space="0" w:color="auto"/>
        <w:bottom w:val="none" w:sz="0" w:space="0" w:color="auto"/>
        <w:right w:val="none" w:sz="0" w:space="0" w:color="auto"/>
      </w:divBdr>
    </w:div>
    <w:div w:id="1279947505">
      <w:bodyDiv w:val="1"/>
      <w:marLeft w:val="0"/>
      <w:marRight w:val="0"/>
      <w:marTop w:val="0"/>
      <w:marBottom w:val="0"/>
      <w:divBdr>
        <w:top w:val="none" w:sz="0" w:space="0" w:color="auto"/>
        <w:left w:val="none" w:sz="0" w:space="0" w:color="auto"/>
        <w:bottom w:val="none" w:sz="0" w:space="0" w:color="auto"/>
        <w:right w:val="none" w:sz="0" w:space="0" w:color="auto"/>
      </w:divBdr>
    </w:div>
    <w:div w:id="1307856004">
      <w:bodyDiv w:val="1"/>
      <w:marLeft w:val="0"/>
      <w:marRight w:val="0"/>
      <w:marTop w:val="0"/>
      <w:marBottom w:val="0"/>
      <w:divBdr>
        <w:top w:val="none" w:sz="0" w:space="0" w:color="auto"/>
        <w:left w:val="none" w:sz="0" w:space="0" w:color="auto"/>
        <w:bottom w:val="none" w:sz="0" w:space="0" w:color="auto"/>
        <w:right w:val="none" w:sz="0" w:space="0" w:color="auto"/>
      </w:divBdr>
    </w:div>
    <w:div w:id="1351563856">
      <w:bodyDiv w:val="1"/>
      <w:marLeft w:val="0"/>
      <w:marRight w:val="0"/>
      <w:marTop w:val="0"/>
      <w:marBottom w:val="0"/>
      <w:divBdr>
        <w:top w:val="none" w:sz="0" w:space="0" w:color="auto"/>
        <w:left w:val="none" w:sz="0" w:space="0" w:color="auto"/>
        <w:bottom w:val="none" w:sz="0" w:space="0" w:color="auto"/>
        <w:right w:val="none" w:sz="0" w:space="0" w:color="auto"/>
      </w:divBdr>
    </w:div>
    <w:div w:id="1366828056">
      <w:bodyDiv w:val="1"/>
      <w:marLeft w:val="0"/>
      <w:marRight w:val="0"/>
      <w:marTop w:val="0"/>
      <w:marBottom w:val="0"/>
      <w:divBdr>
        <w:top w:val="none" w:sz="0" w:space="0" w:color="auto"/>
        <w:left w:val="none" w:sz="0" w:space="0" w:color="auto"/>
        <w:bottom w:val="none" w:sz="0" w:space="0" w:color="auto"/>
        <w:right w:val="none" w:sz="0" w:space="0" w:color="auto"/>
      </w:divBdr>
    </w:div>
    <w:div w:id="1391267231">
      <w:bodyDiv w:val="1"/>
      <w:marLeft w:val="0"/>
      <w:marRight w:val="0"/>
      <w:marTop w:val="0"/>
      <w:marBottom w:val="0"/>
      <w:divBdr>
        <w:top w:val="none" w:sz="0" w:space="0" w:color="auto"/>
        <w:left w:val="none" w:sz="0" w:space="0" w:color="auto"/>
        <w:bottom w:val="none" w:sz="0" w:space="0" w:color="auto"/>
        <w:right w:val="none" w:sz="0" w:space="0" w:color="auto"/>
      </w:divBdr>
    </w:div>
    <w:div w:id="1398168836">
      <w:bodyDiv w:val="1"/>
      <w:marLeft w:val="0"/>
      <w:marRight w:val="0"/>
      <w:marTop w:val="0"/>
      <w:marBottom w:val="0"/>
      <w:divBdr>
        <w:top w:val="none" w:sz="0" w:space="0" w:color="auto"/>
        <w:left w:val="none" w:sz="0" w:space="0" w:color="auto"/>
        <w:bottom w:val="none" w:sz="0" w:space="0" w:color="auto"/>
        <w:right w:val="none" w:sz="0" w:space="0" w:color="auto"/>
      </w:divBdr>
    </w:div>
    <w:div w:id="1406683916">
      <w:bodyDiv w:val="1"/>
      <w:marLeft w:val="0"/>
      <w:marRight w:val="0"/>
      <w:marTop w:val="0"/>
      <w:marBottom w:val="0"/>
      <w:divBdr>
        <w:top w:val="none" w:sz="0" w:space="0" w:color="auto"/>
        <w:left w:val="none" w:sz="0" w:space="0" w:color="auto"/>
        <w:bottom w:val="none" w:sz="0" w:space="0" w:color="auto"/>
        <w:right w:val="none" w:sz="0" w:space="0" w:color="auto"/>
      </w:divBdr>
    </w:div>
    <w:div w:id="1414859468">
      <w:bodyDiv w:val="1"/>
      <w:marLeft w:val="0"/>
      <w:marRight w:val="0"/>
      <w:marTop w:val="0"/>
      <w:marBottom w:val="0"/>
      <w:divBdr>
        <w:top w:val="none" w:sz="0" w:space="0" w:color="auto"/>
        <w:left w:val="none" w:sz="0" w:space="0" w:color="auto"/>
        <w:bottom w:val="none" w:sz="0" w:space="0" w:color="auto"/>
        <w:right w:val="none" w:sz="0" w:space="0" w:color="auto"/>
      </w:divBdr>
    </w:div>
    <w:div w:id="1425028724">
      <w:bodyDiv w:val="1"/>
      <w:marLeft w:val="0"/>
      <w:marRight w:val="0"/>
      <w:marTop w:val="0"/>
      <w:marBottom w:val="0"/>
      <w:divBdr>
        <w:top w:val="none" w:sz="0" w:space="0" w:color="auto"/>
        <w:left w:val="none" w:sz="0" w:space="0" w:color="auto"/>
        <w:bottom w:val="none" w:sz="0" w:space="0" w:color="auto"/>
        <w:right w:val="none" w:sz="0" w:space="0" w:color="auto"/>
      </w:divBdr>
    </w:div>
    <w:div w:id="1470896734">
      <w:bodyDiv w:val="1"/>
      <w:marLeft w:val="0"/>
      <w:marRight w:val="0"/>
      <w:marTop w:val="0"/>
      <w:marBottom w:val="0"/>
      <w:divBdr>
        <w:top w:val="none" w:sz="0" w:space="0" w:color="auto"/>
        <w:left w:val="none" w:sz="0" w:space="0" w:color="auto"/>
        <w:bottom w:val="none" w:sz="0" w:space="0" w:color="auto"/>
        <w:right w:val="none" w:sz="0" w:space="0" w:color="auto"/>
      </w:divBdr>
    </w:div>
    <w:div w:id="1489637742">
      <w:bodyDiv w:val="1"/>
      <w:marLeft w:val="0"/>
      <w:marRight w:val="0"/>
      <w:marTop w:val="0"/>
      <w:marBottom w:val="0"/>
      <w:divBdr>
        <w:top w:val="none" w:sz="0" w:space="0" w:color="auto"/>
        <w:left w:val="none" w:sz="0" w:space="0" w:color="auto"/>
        <w:bottom w:val="none" w:sz="0" w:space="0" w:color="auto"/>
        <w:right w:val="none" w:sz="0" w:space="0" w:color="auto"/>
      </w:divBdr>
    </w:div>
    <w:div w:id="1499418968">
      <w:bodyDiv w:val="1"/>
      <w:marLeft w:val="0"/>
      <w:marRight w:val="0"/>
      <w:marTop w:val="0"/>
      <w:marBottom w:val="0"/>
      <w:divBdr>
        <w:top w:val="none" w:sz="0" w:space="0" w:color="auto"/>
        <w:left w:val="none" w:sz="0" w:space="0" w:color="auto"/>
        <w:bottom w:val="none" w:sz="0" w:space="0" w:color="auto"/>
        <w:right w:val="none" w:sz="0" w:space="0" w:color="auto"/>
      </w:divBdr>
    </w:div>
    <w:div w:id="1560364442">
      <w:bodyDiv w:val="1"/>
      <w:marLeft w:val="0"/>
      <w:marRight w:val="0"/>
      <w:marTop w:val="0"/>
      <w:marBottom w:val="0"/>
      <w:divBdr>
        <w:top w:val="none" w:sz="0" w:space="0" w:color="auto"/>
        <w:left w:val="none" w:sz="0" w:space="0" w:color="auto"/>
        <w:bottom w:val="none" w:sz="0" w:space="0" w:color="auto"/>
        <w:right w:val="none" w:sz="0" w:space="0" w:color="auto"/>
      </w:divBdr>
    </w:div>
    <w:div w:id="1563976826">
      <w:bodyDiv w:val="1"/>
      <w:marLeft w:val="0"/>
      <w:marRight w:val="0"/>
      <w:marTop w:val="0"/>
      <w:marBottom w:val="0"/>
      <w:divBdr>
        <w:top w:val="none" w:sz="0" w:space="0" w:color="auto"/>
        <w:left w:val="none" w:sz="0" w:space="0" w:color="auto"/>
        <w:bottom w:val="none" w:sz="0" w:space="0" w:color="auto"/>
        <w:right w:val="none" w:sz="0" w:space="0" w:color="auto"/>
      </w:divBdr>
    </w:div>
    <w:div w:id="1580169435">
      <w:bodyDiv w:val="1"/>
      <w:marLeft w:val="0"/>
      <w:marRight w:val="0"/>
      <w:marTop w:val="0"/>
      <w:marBottom w:val="0"/>
      <w:divBdr>
        <w:top w:val="none" w:sz="0" w:space="0" w:color="auto"/>
        <w:left w:val="none" w:sz="0" w:space="0" w:color="auto"/>
        <w:bottom w:val="none" w:sz="0" w:space="0" w:color="auto"/>
        <w:right w:val="none" w:sz="0" w:space="0" w:color="auto"/>
      </w:divBdr>
    </w:div>
    <w:div w:id="1585139428">
      <w:bodyDiv w:val="1"/>
      <w:marLeft w:val="0"/>
      <w:marRight w:val="0"/>
      <w:marTop w:val="0"/>
      <w:marBottom w:val="0"/>
      <w:divBdr>
        <w:top w:val="none" w:sz="0" w:space="0" w:color="auto"/>
        <w:left w:val="none" w:sz="0" w:space="0" w:color="auto"/>
        <w:bottom w:val="none" w:sz="0" w:space="0" w:color="auto"/>
        <w:right w:val="none" w:sz="0" w:space="0" w:color="auto"/>
      </w:divBdr>
    </w:div>
    <w:div w:id="1586913128">
      <w:bodyDiv w:val="1"/>
      <w:marLeft w:val="0"/>
      <w:marRight w:val="0"/>
      <w:marTop w:val="0"/>
      <w:marBottom w:val="0"/>
      <w:divBdr>
        <w:top w:val="none" w:sz="0" w:space="0" w:color="auto"/>
        <w:left w:val="none" w:sz="0" w:space="0" w:color="auto"/>
        <w:bottom w:val="none" w:sz="0" w:space="0" w:color="auto"/>
        <w:right w:val="none" w:sz="0" w:space="0" w:color="auto"/>
      </w:divBdr>
    </w:div>
    <w:div w:id="1598102399">
      <w:bodyDiv w:val="1"/>
      <w:marLeft w:val="0"/>
      <w:marRight w:val="0"/>
      <w:marTop w:val="0"/>
      <w:marBottom w:val="0"/>
      <w:divBdr>
        <w:top w:val="none" w:sz="0" w:space="0" w:color="auto"/>
        <w:left w:val="none" w:sz="0" w:space="0" w:color="auto"/>
        <w:bottom w:val="none" w:sz="0" w:space="0" w:color="auto"/>
        <w:right w:val="none" w:sz="0" w:space="0" w:color="auto"/>
      </w:divBdr>
    </w:div>
    <w:div w:id="1599102013">
      <w:bodyDiv w:val="1"/>
      <w:marLeft w:val="0"/>
      <w:marRight w:val="0"/>
      <w:marTop w:val="0"/>
      <w:marBottom w:val="0"/>
      <w:divBdr>
        <w:top w:val="none" w:sz="0" w:space="0" w:color="auto"/>
        <w:left w:val="none" w:sz="0" w:space="0" w:color="auto"/>
        <w:bottom w:val="none" w:sz="0" w:space="0" w:color="auto"/>
        <w:right w:val="none" w:sz="0" w:space="0" w:color="auto"/>
      </w:divBdr>
    </w:div>
    <w:div w:id="1613856183">
      <w:bodyDiv w:val="1"/>
      <w:marLeft w:val="0"/>
      <w:marRight w:val="0"/>
      <w:marTop w:val="0"/>
      <w:marBottom w:val="0"/>
      <w:divBdr>
        <w:top w:val="none" w:sz="0" w:space="0" w:color="auto"/>
        <w:left w:val="none" w:sz="0" w:space="0" w:color="auto"/>
        <w:bottom w:val="none" w:sz="0" w:space="0" w:color="auto"/>
        <w:right w:val="none" w:sz="0" w:space="0" w:color="auto"/>
      </w:divBdr>
    </w:div>
    <w:div w:id="1677420909">
      <w:bodyDiv w:val="1"/>
      <w:marLeft w:val="0"/>
      <w:marRight w:val="0"/>
      <w:marTop w:val="0"/>
      <w:marBottom w:val="0"/>
      <w:divBdr>
        <w:top w:val="none" w:sz="0" w:space="0" w:color="auto"/>
        <w:left w:val="none" w:sz="0" w:space="0" w:color="auto"/>
        <w:bottom w:val="none" w:sz="0" w:space="0" w:color="auto"/>
        <w:right w:val="none" w:sz="0" w:space="0" w:color="auto"/>
      </w:divBdr>
    </w:div>
    <w:div w:id="1678192117">
      <w:bodyDiv w:val="1"/>
      <w:marLeft w:val="0"/>
      <w:marRight w:val="0"/>
      <w:marTop w:val="0"/>
      <w:marBottom w:val="0"/>
      <w:divBdr>
        <w:top w:val="none" w:sz="0" w:space="0" w:color="auto"/>
        <w:left w:val="none" w:sz="0" w:space="0" w:color="auto"/>
        <w:bottom w:val="none" w:sz="0" w:space="0" w:color="auto"/>
        <w:right w:val="none" w:sz="0" w:space="0" w:color="auto"/>
      </w:divBdr>
    </w:div>
    <w:div w:id="1686323708">
      <w:bodyDiv w:val="1"/>
      <w:marLeft w:val="0"/>
      <w:marRight w:val="0"/>
      <w:marTop w:val="0"/>
      <w:marBottom w:val="0"/>
      <w:divBdr>
        <w:top w:val="none" w:sz="0" w:space="0" w:color="auto"/>
        <w:left w:val="none" w:sz="0" w:space="0" w:color="auto"/>
        <w:bottom w:val="none" w:sz="0" w:space="0" w:color="auto"/>
        <w:right w:val="none" w:sz="0" w:space="0" w:color="auto"/>
      </w:divBdr>
    </w:div>
    <w:div w:id="1697004890">
      <w:bodyDiv w:val="1"/>
      <w:marLeft w:val="0"/>
      <w:marRight w:val="0"/>
      <w:marTop w:val="0"/>
      <w:marBottom w:val="0"/>
      <w:divBdr>
        <w:top w:val="none" w:sz="0" w:space="0" w:color="auto"/>
        <w:left w:val="none" w:sz="0" w:space="0" w:color="auto"/>
        <w:bottom w:val="none" w:sz="0" w:space="0" w:color="auto"/>
        <w:right w:val="none" w:sz="0" w:space="0" w:color="auto"/>
      </w:divBdr>
    </w:div>
    <w:div w:id="1706560276">
      <w:bodyDiv w:val="1"/>
      <w:marLeft w:val="0"/>
      <w:marRight w:val="0"/>
      <w:marTop w:val="0"/>
      <w:marBottom w:val="0"/>
      <w:divBdr>
        <w:top w:val="none" w:sz="0" w:space="0" w:color="auto"/>
        <w:left w:val="none" w:sz="0" w:space="0" w:color="auto"/>
        <w:bottom w:val="none" w:sz="0" w:space="0" w:color="auto"/>
        <w:right w:val="none" w:sz="0" w:space="0" w:color="auto"/>
      </w:divBdr>
    </w:div>
    <w:div w:id="1714846317">
      <w:bodyDiv w:val="1"/>
      <w:marLeft w:val="0"/>
      <w:marRight w:val="0"/>
      <w:marTop w:val="0"/>
      <w:marBottom w:val="0"/>
      <w:divBdr>
        <w:top w:val="none" w:sz="0" w:space="0" w:color="auto"/>
        <w:left w:val="none" w:sz="0" w:space="0" w:color="auto"/>
        <w:bottom w:val="none" w:sz="0" w:space="0" w:color="auto"/>
        <w:right w:val="none" w:sz="0" w:space="0" w:color="auto"/>
      </w:divBdr>
    </w:div>
    <w:div w:id="1718504693">
      <w:bodyDiv w:val="1"/>
      <w:marLeft w:val="0"/>
      <w:marRight w:val="0"/>
      <w:marTop w:val="0"/>
      <w:marBottom w:val="0"/>
      <w:divBdr>
        <w:top w:val="none" w:sz="0" w:space="0" w:color="auto"/>
        <w:left w:val="none" w:sz="0" w:space="0" w:color="auto"/>
        <w:bottom w:val="none" w:sz="0" w:space="0" w:color="auto"/>
        <w:right w:val="none" w:sz="0" w:space="0" w:color="auto"/>
      </w:divBdr>
    </w:div>
    <w:div w:id="1747219570">
      <w:bodyDiv w:val="1"/>
      <w:marLeft w:val="0"/>
      <w:marRight w:val="0"/>
      <w:marTop w:val="0"/>
      <w:marBottom w:val="0"/>
      <w:divBdr>
        <w:top w:val="none" w:sz="0" w:space="0" w:color="auto"/>
        <w:left w:val="none" w:sz="0" w:space="0" w:color="auto"/>
        <w:bottom w:val="none" w:sz="0" w:space="0" w:color="auto"/>
        <w:right w:val="none" w:sz="0" w:space="0" w:color="auto"/>
      </w:divBdr>
    </w:div>
    <w:div w:id="1757441335">
      <w:bodyDiv w:val="1"/>
      <w:marLeft w:val="0"/>
      <w:marRight w:val="0"/>
      <w:marTop w:val="0"/>
      <w:marBottom w:val="0"/>
      <w:divBdr>
        <w:top w:val="none" w:sz="0" w:space="0" w:color="auto"/>
        <w:left w:val="none" w:sz="0" w:space="0" w:color="auto"/>
        <w:bottom w:val="none" w:sz="0" w:space="0" w:color="auto"/>
        <w:right w:val="none" w:sz="0" w:space="0" w:color="auto"/>
      </w:divBdr>
    </w:div>
    <w:div w:id="1772430314">
      <w:bodyDiv w:val="1"/>
      <w:marLeft w:val="0"/>
      <w:marRight w:val="0"/>
      <w:marTop w:val="0"/>
      <w:marBottom w:val="0"/>
      <w:divBdr>
        <w:top w:val="none" w:sz="0" w:space="0" w:color="auto"/>
        <w:left w:val="none" w:sz="0" w:space="0" w:color="auto"/>
        <w:bottom w:val="none" w:sz="0" w:space="0" w:color="auto"/>
        <w:right w:val="none" w:sz="0" w:space="0" w:color="auto"/>
      </w:divBdr>
    </w:div>
    <w:div w:id="1779762417">
      <w:bodyDiv w:val="1"/>
      <w:marLeft w:val="0"/>
      <w:marRight w:val="0"/>
      <w:marTop w:val="0"/>
      <w:marBottom w:val="0"/>
      <w:divBdr>
        <w:top w:val="none" w:sz="0" w:space="0" w:color="auto"/>
        <w:left w:val="none" w:sz="0" w:space="0" w:color="auto"/>
        <w:bottom w:val="none" w:sz="0" w:space="0" w:color="auto"/>
        <w:right w:val="none" w:sz="0" w:space="0" w:color="auto"/>
      </w:divBdr>
    </w:div>
    <w:div w:id="1782530178">
      <w:bodyDiv w:val="1"/>
      <w:marLeft w:val="0"/>
      <w:marRight w:val="0"/>
      <w:marTop w:val="0"/>
      <w:marBottom w:val="0"/>
      <w:divBdr>
        <w:top w:val="none" w:sz="0" w:space="0" w:color="auto"/>
        <w:left w:val="none" w:sz="0" w:space="0" w:color="auto"/>
        <w:bottom w:val="none" w:sz="0" w:space="0" w:color="auto"/>
        <w:right w:val="none" w:sz="0" w:space="0" w:color="auto"/>
      </w:divBdr>
    </w:div>
    <w:div w:id="1813478745">
      <w:bodyDiv w:val="1"/>
      <w:marLeft w:val="0"/>
      <w:marRight w:val="0"/>
      <w:marTop w:val="0"/>
      <w:marBottom w:val="0"/>
      <w:divBdr>
        <w:top w:val="none" w:sz="0" w:space="0" w:color="auto"/>
        <w:left w:val="none" w:sz="0" w:space="0" w:color="auto"/>
        <w:bottom w:val="none" w:sz="0" w:space="0" w:color="auto"/>
        <w:right w:val="none" w:sz="0" w:space="0" w:color="auto"/>
      </w:divBdr>
    </w:div>
    <w:div w:id="1821339431">
      <w:bodyDiv w:val="1"/>
      <w:marLeft w:val="0"/>
      <w:marRight w:val="0"/>
      <w:marTop w:val="0"/>
      <w:marBottom w:val="0"/>
      <w:divBdr>
        <w:top w:val="none" w:sz="0" w:space="0" w:color="auto"/>
        <w:left w:val="none" w:sz="0" w:space="0" w:color="auto"/>
        <w:bottom w:val="none" w:sz="0" w:space="0" w:color="auto"/>
        <w:right w:val="none" w:sz="0" w:space="0" w:color="auto"/>
      </w:divBdr>
      <w:divsChild>
        <w:div w:id="181169928">
          <w:marLeft w:val="0"/>
          <w:marRight w:val="0"/>
          <w:marTop w:val="0"/>
          <w:marBottom w:val="0"/>
          <w:divBdr>
            <w:top w:val="none" w:sz="0" w:space="0" w:color="auto"/>
            <w:left w:val="none" w:sz="0" w:space="0" w:color="auto"/>
            <w:bottom w:val="none" w:sz="0" w:space="0" w:color="auto"/>
            <w:right w:val="none" w:sz="0" w:space="0" w:color="auto"/>
          </w:divBdr>
        </w:div>
        <w:div w:id="872428347">
          <w:marLeft w:val="0"/>
          <w:marRight w:val="0"/>
          <w:marTop w:val="0"/>
          <w:marBottom w:val="0"/>
          <w:divBdr>
            <w:top w:val="none" w:sz="0" w:space="0" w:color="auto"/>
            <w:left w:val="none" w:sz="0" w:space="0" w:color="auto"/>
            <w:bottom w:val="none" w:sz="0" w:space="0" w:color="auto"/>
            <w:right w:val="none" w:sz="0" w:space="0" w:color="auto"/>
          </w:divBdr>
        </w:div>
      </w:divsChild>
    </w:div>
    <w:div w:id="1829010854">
      <w:bodyDiv w:val="1"/>
      <w:marLeft w:val="0"/>
      <w:marRight w:val="0"/>
      <w:marTop w:val="0"/>
      <w:marBottom w:val="0"/>
      <w:divBdr>
        <w:top w:val="none" w:sz="0" w:space="0" w:color="auto"/>
        <w:left w:val="none" w:sz="0" w:space="0" w:color="auto"/>
        <w:bottom w:val="none" w:sz="0" w:space="0" w:color="auto"/>
        <w:right w:val="none" w:sz="0" w:space="0" w:color="auto"/>
      </w:divBdr>
    </w:div>
    <w:div w:id="1853183555">
      <w:bodyDiv w:val="1"/>
      <w:marLeft w:val="0"/>
      <w:marRight w:val="0"/>
      <w:marTop w:val="0"/>
      <w:marBottom w:val="0"/>
      <w:divBdr>
        <w:top w:val="none" w:sz="0" w:space="0" w:color="auto"/>
        <w:left w:val="none" w:sz="0" w:space="0" w:color="auto"/>
        <w:bottom w:val="none" w:sz="0" w:space="0" w:color="auto"/>
        <w:right w:val="none" w:sz="0" w:space="0" w:color="auto"/>
      </w:divBdr>
    </w:div>
    <w:div w:id="1863467780">
      <w:bodyDiv w:val="1"/>
      <w:marLeft w:val="0"/>
      <w:marRight w:val="0"/>
      <w:marTop w:val="0"/>
      <w:marBottom w:val="0"/>
      <w:divBdr>
        <w:top w:val="none" w:sz="0" w:space="0" w:color="auto"/>
        <w:left w:val="none" w:sz="0" w:space="0" w:color="auto"/>
        <w:bottom w:val="none" w:sz="0" w:space="0" w:color="auto"/>
        <w:right w:val="none" w:sz="0" w:space="0" w:color="auto"/>
      </w:divBdr>
    </w:div>
    <w:div w:id="1868717790">
      <w:bodyDiv w:val="1"/>
      <w:marLeft w:val="0"/>
      <w:marRight w:val="0"/>
      <w:marTop w:val="0"/>
      <w:marBottom w:val="0"/>
      <w:divBdr>
        <w:top w:val="none" w:sz="0" w:space="0" w:color="auto"/>
        <w:left w:val="none" w:sz="0" w:space="0" w:color="auto"/>
        <w:bottom w:val="none" w:sz="0" w:space="0" w:color="auto"/>
        <w:right w:val="none" w:sz="0" w:space="0" w:color="auto"/>
      </w:divBdr>
    </w:div>
    <w:div w:id="1872840702">
      <w:bodyDiv w:val="1"/>
      <w:marLeft w:val="0"/>
      <w:marRight w:val="0"/>
      <w:marTop w:val="0"/>
      <w:marBottom w:val="0"/>
      <w:divBdr>
        <w:top w:val="none" w:sz="0" w:space="0" w:color="auto"/>
        <w:left w:val="none" w:sz="0" w:space="0" w:color="auto"/>
        <w:bottom w:val="none" w:sz="0" w:space="0" w:color="auto"/>
        <w:right w:val="none" w:sz="0" w:space="0" w:color="auto"/>
      </w:divBdr>
    </w:div>
    <w:div w:id="1878354434">
      <w:bodyDiv w:val="1"/>
      <w:marLeft w:val="0"/>
      <w:marRight w:val="0"/>
      <w:marTop w:val="0"/>
      <w:marBottom w:val="0"/>
      <w:divBdr>
        <w:top w:val="none" w:sz="0" w:space="0" w:color="auto"/>
        <w:left w:val="none" w:sz="0" w:space="0" w:color="auto"/>
        <w:bottom w:val="none" w:sz="0" w:space="0" w:color="auto"/>
        <w:right w:val="none" w:sz="0" w:space="0" w:color="auto"/>
      </w:divBdr>
    </w:div>
    <w:div w:id="1878618740">
      <w:bodyDiv w:val="1"/>
      <w:marLeft w:val="0"/>
      <w:marRight w:val="0"/>
      <w:marTop w:val="0"/>
      <w:marBottom w:val="0"/>
      <w:divBdr>
        <w:top w:val="none" w:sz="0" w:space="0" w:color="auto"/>
        <w:left w:val="none" w:sz="0" w:space="0" w:color="auto"/>
        <w:bottom w:val="none" w:sz="0" w:space="0" w:color="auto"/>
        <w:right w:val="none" w:sz="0" w:space="0" w:color="auto"/>
      </w:divBdr>
    </w:div>
    <w:div w:id="1886674218">
      <w:bodyDiv w:val="1"/>
      <w:marLeft w:val="0"/>
      <w:marRight w:val="0"/>
      <w:marTop w:val="0"/>
      <w:marBottom w:val="0"/>
      <w:divBdr>
        <w:top w:val="none" w:sz="0" w:space="0" w:color="auto"/>
        <w:left w:val="none" w:sz="0" w:space="0" w:color="auto"/>
        <w:bottom w:val="none" w:sz="0" w:space="0" w:color="auto"/>
        <w:right w:val="none" w:sz="0" w:space="0" w:color="auto"/>
      </w:divBdr>
      <w:divsChild>
        <w:div w:id="1098797153">
          <w:marLeft w:val="0"/>
          <w:marRight w:val="0"/>
          <w:marTop w:val="0"/>
          <w:marBottom w:val="0"/>
          <w:divBdr>
            <w:top w:val="none" w:sz="0" w:space="0" w:color="auto"/>
            <w:left w:val="none" w:sz="0" w:space="0" w:color="auto"/>
            <w:bottom w:val="none" w:sz="0" w:space="0" w:color="auto"/>
            <w:right w:val="none" w:sz="0" w:space="0" w:color="auto"/>
          </w:divBdr>
        </w:div>
        <w:div w:id="729352065">
          <w:marLeft w:val="0"/>
          <w:marRight w:val="0"/>
          <w:marTop w:val="0"/>
          <w:marBottom w:val="0"/>
          <w:divBdr>
            <w:top w:val="none" w:sz="0" w:space="0" w:color="auto"/>
            <w:left w:val="none" w:sz="0" w:space="0" w:color="auto"/>
            <w:bottom w:val="none" w:sz="0" w:space="0" w:color="auto"/>
            <w:right w:val="none" w:sz="0" w:space="0" w:color="auto"/>
          </w:divBdr>
        </w:div>
      </w:divsChild>
    </w:div>
    <w:div w:id="1903128626">
      <w:bodyDiv w:val="1"/>
      <w:marLeft w:val="0"/>
      <w:marRight w:val="0"/>
      <w:marTop w:val="0"/>
      <w:marBottom w:val="0"/>
      <w:divBdr>
        <w:top w:val="none" w:sz="0" w:space="0" w:color="auto"/>
        <w:left w:val="none" w:sz="0" w:space="0" w:color="auto"/>
        <w:bottom w:val="none" w:sz="0" w:space="0" w:color="auto"/>
        <w:right w:val="none" w:sz="0" w:space="0" w:color="auto"/>
      </w:divBdr>
    </w:div>
    <w:div w:id="1917323099">
      <w:bodyDiv w:val="1"/>
      <w:marLeft w:val="0"/>
      <w:marRight w:val="0"/>
      <w:marTop w:val="0"/>
      <w:marBottom w:val="0"/>
      <w:divBdr>
        <w:top w:val="none" w:sz="0" w:space="0" w:color="auto"/>
        <w:left w:val="none" w:sz="0" w:space="0" w:color="auto"/>
        <w:bottom w:val="none" w:sz="0" w:space="0" w:color="auto"/>
        <w:right w:val="none" w:sz="0" w:space="0" w:color="auto"/>
      </w:divBdr>
    </w:div>
    <w:div w:id="1919821284">
      <w:bodyDiv w:val="1"/>
      <w:marLeft w:val="0"/>
      <w:marRight w:val="0"/>
      <w:marTop w:val="0"/>
      <w:marBottom w:val="0"/>
      <w:divBdr>
        <w:top w:val="none" w:sz="0" w:space="0" w:color="auto"/>
        <w:left w:val="none" w:sz="0" w:space="0" w:color="auto"/>
        <w:bottom w:val="none" w:sz="0" w:space="0" w:color="auto"/>
        <w:right w:val="none" w:sz="0" w:space="0" w:color="auto"/>
      </w:divBdr>
    </w:div>
    <w:div w:id="1953395360">
      <w:bodyDiv w:val="1"/>
      <w:marLeft w:val="0"/>
      <w:marRight w:val="0"/>
      <w:marTop w:val="0"/>
      <w:marBottom w:val="0"/>
      <w:divBdr>
        <w:top w:val="none" w:sz="0" w:space="0" w:color="auto"/>
        <w:left w:val="none" w:sz="0" w:space="0" w:color="auto"/>
        <w:bottom w:val="none" w:sz="0" w:space="0" w:color="auto"/>
        <w:right w:val="none" w:sz="0" w:space="0" w:color="auto"/>
      </w:divBdr>
    </w:div>
    <w:div w:id="1959945772">
      <w:bodyDiv w:val="1"/>
      <w:marLeft w:val="0"/>
      <w:marRight w:val="0"/>
      <w:marTop w:val="0"/>
      <w:marBottom w:val="0"/>
      <w:divBdr>
        <w:top w:val="none" w:sz="0" w:space="0" w:color="auto"/>
        <w:left w:val="none" w:sz="0" w:space="0" w:color="auto"/>
        <w:bottom w:val="none" w:sz="0" w:space="0" w:color="auto"/>
        <w:right w:val="none" w:sz="0" w:space="0" w:color="auto"/>
      </w:divBdr>
    </w:div>
    <w:div w:id="2009013166">
      <w:bodyDiv w:val="1"/>
      <w:marLeft w:val="0"/>
      <w:marRight w:val="0"/>
      <w:marTop w:val="0"/>
      <w:marBottom w:val="0"/>
      <w:divBdr>
        <w:top w:val="none" w:sz="0" w:space="0" w:color="auto"/>
        <w:left w:val="none" w:sz="0" w:space="0" w:color="auto"/>
        <w:bottom w:val="none" w:sz="0" w:space="0" w:color="auto"/>
        <w:right w:val="none" w:sz="0" w:space="0" w:color="auto"/>
      </w:divBdr>
    </w:div>
    <w:div w:id="2069918268">
      <w:bodyDiv w:val="1"/>
      <w:marLeft w:val="0"/>
      <w:marRight w:val="0"/>
      <w:marTop w:val="0"/>
      <w:marBottom w:val="0"/>
      <w:divBdr>
        <w:top w:val="none" w:sz="0" w:space="0" w:color="auto"/>
        <w:left w:val="none" w:sz="0" w:space="0" w:color="auto"/>
        <w:bottom w:val="none" w:sz="0" w:space="0" w:color="auto"/>
        <w:right w:val="none" w:sz="0" w:space="0" w:color="auto"/>
      </w:divBdr>
    </w:div>
    <w:div w:id="2096389496">
      <w:bodyDiv w:val="1"/>
      <w:marLeft w:val="0"/>
      <w:marRight w:val="0"/>
      <w:marTop w:val="0"/>
      <w:marBottom w:val="0"/>
      <w:divBdr>
        <w:top w:val="none" w:sz="0" w:space="0" w:color="auto"/>
        <w:left w:val="none" w:sz="0" w:space="0" w:color="auto"/>
        <w:bottom w:val="none" w:sz="0" w:space="0" w:color="auto"/>
        <w:right w:val="none" w:sz="0" w:space="0" w:color="auto"/>
      </w:divBdr>
      <w:divsChild>
        <w:div w:id="1949894478">
          <w:marLeft w:val="0"/>
          <w:marRight w:val="0"/>
          <w:marTop w:val="0"/>
          <w:marBottom w:val="0"/>
          <w:divBdr>
            <w:top w:val="none" w:sz="0" w:space="0" w:color="auto"/>
            <w:left w:val="none" w:sz="0" w:space="0" w:color="auto"/>
            <w:bottom w:val="none" w:sz="0" w:space="0" w:color="auto"/>
            <w:right w:val="none" w:sz="0" w:space="0" w:color="auto"/>
          </w:divBdr>
        </w:div>
        <w:div w:id="1268733613">
          <w:marLeft w:val="0"/>
          <w:marRight w:val="0"/>
          <w:marTop w:val="0"/>
          <w:marBottom w:val="0"/>
          <w:divBdr>
            <w:top w:val="none" w:sz="0" w:space="0" w:color="auto"/>
            <w:left w:val="none" w:sz="0" w:space="0" w:color="auto"/>
            <w:bottom w:val="none" w:sz="0" w:space="0" w:color="auto"/>
            <w:right w:val="none" w:sz="0" w:space="0" w:color="auto"/>
          </w:divBdr>
        </w:div>
        <w:div w:id="1087385607">
          <w:marLeft w:val="0"/>
          <w:marRight w:val="0"/>
          <w:marTop w:val="0"/>
          <w:marBottom w:val="0"/>
          <w:divBdr>
            <w:top w:val="none" w:sz="0" w:space="0" w:color="auto"/>
            <w:left w:val="none" w:sz="0" w:space="0" w:color="auto"/>
            <w:bottom w:val="none" w:sz="0" w:space="0" w:color="auto"/>
            <w:right w:val="none" w:sz="0" w:space="0" w:color="auto"/>
          </w:divBdr>
        </w:div>
        <w:div w:id="392965790">
          <w:marLeft w:val="0"/>
          <w:marRight w:val="0"/>
          <w:marTop w:val="0"/>
          <w:marBottom w:val="0"/>
          <w:divBdr>
            <w:top w:val="none" w:sz="0" w:space="0" w:color="auto"/>
            <w:left w:val="none" w:sz="0" w:space="0" w:color="auto"/>
            <w:bottom w:val="none" w:sz="0" w:space="0" w:color="auto"/>
            <w:right w:val="none" w:sz="0" w:space="0" w:color="auto"/>
          </w:divBdr>
        </w:div>
        <w:div w:id="2048530124">
          <w:marLeft w:val="0"/>
          <w:marRight w:val="0"/>
          <w:marTop w:val="0"/>
          <w:marBottom w:val="0"/>
          <w:divBdr>
            <w:top w:val="none" w:sz="0" w:space="0" w:color="auto"/>
            <w:left w:val="none" w:sz="0" w:space="0" w:color="auto"/>
            <w:bottom w:val="none" w:sz="0" w:space="0" w:color="auto"/>
            <w:right w:val="none" w:sz="0" w:space="0" w:color="auto"/>
          </w:divBdr>
        </w:div>
        <w:div w:id="770929853">
          <w:marLeft w:val="0"/>
          <w:marRight w:val="0"/>
          <w:marTop w:val="0"/>
          <w:marBottom w:val="0"/>
          <w:divBdr>
            <w:top w:val="none" w:sz="0" w:space="0" w:color="auto"/>
            <w:left w:val="none" w:sz="0" w:space="0" w:color="auto"/>
            <w:bottom w:val="none" w:sz="0" w:space="0" w:color="auto"/>
            <w:right w:val="none" w:sz="0" w:space="0" w:color="auto"/>
          </w:divBdr>
        </w:div>
        <w:div w:id="615019292">
          <w:marLeft w:val="0"/>
          <w:marRight w:val="0"/>
          <w:marTop w:val="0"/>
          <w:marBottom w:val="0"/>
          <w:divBdr>
            <w:top w:val="none" w:sz="0" w:space="0" w:color="auto"/>
            <w:left w:val="none" w:sz="0" w:space="0" w:color="auto"/>
            <w:bottom w:val="none" w:sz="0" w:space="0" w:color="auto"/>
            <w:right w:val="none" w:sz="0" w:space="0" w:color="auto"/>
          </w:divBdr>
        </w:div>
        <w:div w:id="660962361">
          <w:marLeft w:val="0"/>
          <w:marRight w:val="0"/>
          <w:marTop w:val="0"/>
          <w:marBottom w:val="0"/>
          <w:divBdr>
            <w:top w:val="none" w:sz="0" w:space="0" w:color="auto"/>
            <w:left w:val="none" w:sz="0" w:space="0" w:color="auto"/>
            <w:bottom w:val="none" w:sz="0" w:space="0" w:color="auto"/>
            <w:right w:val="none" w:sz="0" w:space="0" w:color="auto"/>
          </w:divBdr>
        </w:div>
        <w:div w:id="1270045046">
          <w:marLeft w:val="0"/>
          <w:marRight w:val="0"/>
          <w:marTop w:val="0"/>
          <w:marBottom w:val="0"/>
          <w:divBdr>
            <w:top w:val="none" w:sz="0" w:space="0" w:color="auto"/>
            <w:left w:val="none" w:sz="0" w:space="0" w:color="auto"/>
            <w:bottom w:val="none" w:sz="0" w:space="0" w:color="auto"/>
            <w:right w:val="none" w:sz="0" w:space="0" w:color="auto"/>
          </w:divBdr>
        </w:div>
        <w:div w:id="619186627">
          <w:marLeft w:val="0"/>
          <w:marRight w:val="0"/>
          <w:marTop w:val="0"/>
          <w:marBottom w:val="0"/>
          <w:divBdr>
            <w:top w:val="none" w:sz="0" w:space="0" w:color="auto"/>
            <w:left w:val="none" w:sz="0" w:space="0" w:color="auto"/>
            <w:bottom w:val="none" w:sz="0" w:space="0" w:color="auto"/>
            <w:right w:val="none" w:sz="0" w:space="0" w:color="auto"/>
          </w:divBdr>
        </w:div>
        <w:div w:id="2100297744">
          <w:marLeft w:val="0"/>
          <w:marRight w:val="0"/>
          <w:marTop w:val="0"/>
          <w:marBottom w:val="0"/>
          <w:divBdr>
            <w:top w:val="none" w:sz="0" w:space="0" w:color="auto"/>
            <w:left w:val="none" w:sz="0" w:space="0" w:color="auto"/>
            <w:bottom w:val="none" w:sz="0" w:space="0" w:color="auto"/>
            <w:right w:val="none" w:sz="0" w:space="0" w:color="auto"/>
          </w:divBdr>
        </w:div>
        <w:div w:id="1770347492">
          <w:marLeft w:val="0"/>
          <w:marRight w:val="0"/>
          <w:marTop w:val="0"/>
          <w:marBottom w:val="0"/>
          <w:divBdr>
            <w:top w:val="none" w:sz="0" w:space="0" w:color="auto"/>
            <w:left w:val="none" w:sz="0" w:space="0" w:color="auto"/>
            <w:bottom w:val="none" w:sz="0" w:space="0" w:color="auto"/>
            <w:right w:val="none" w:sz="0" w:space="0" w:color="auto"/>
          </w:divBdr>
        </w:div>
        <w:div w:id="1496533058">
          <w:marLeft w:val="0"/>
          <w:marRight w:val="0"/>
          <w:marTop w:val="0"/>
          <w:marBottom w:val="0"/>
          <w:divBdr>
            <w:top w:val="none" w:sz="0" w:space="0" w:color="auto"/>
            <w:left w:val="none" w:sz="0" w:space="0" w:color="auto"/>
            <w:bottom w:val="none" w:sz="0" w:space="0" w:color="auto"/>
            <w:right w:val="none" w:sz="0" w:space="0" w:color="auto"/>
          </w:divBdr>
        </w:div>
        <w:div w:id="871573672">
          <w:marLeft w:val="0"/>
          <w:marRight w:val="0"/>
          <w:marTop w:val="0"/>
          <w:marBottom w:val="0"/>
          <w:divBdr>
            <w:top w:val="none" w:sz="0" w:space="0" w:color="auto"/>
            <w:left w:val="none" w:sz="0" w:space="0" w:color="auto"/>
            <w:bottom w:val="none" w:sz="0" w:space="0" w:color="auto"/>
            <w:right w:val="none" w:sz="0" w:space="0" w:color="auto"/>
          </w:divBdr>
        </w:div>
        <w:div w:id="1019085857">
          <w:marLeft w:val="0"/>
          <w:marRight w:val="0"/>
          <w:marTop w:val="0"/>
          <w:marBottom w:val="0"/>
          <w:divBdr>
            <w:top w:val="none" w:sz="0" w:space="0" w:color="auto"/>
            <w:left w:val="none" w:sz="0" w:space="0" w:color="auto"/>
            <w:bottom w:val="none" w:sz="0" w:space="0" w:color="auto"/>
            <w:right w:val="none" w:sz="0" w:space="0" w:color="auto"/>
          </w:divBdr>
        </w:div>
      </w:divsChild>
    </w:div>
    <w:div w:id="2142140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hyperlink" Target="https://www.oecd.org/gov/ethics/integrity-recommendation-brazilian-portuguese.pdf" TargetMode="External"/><Relationship Id="rId39" Type="http://schemas.openxmlformats.org/officeDocument/2006/relationships/image" Target="media/image12.png"/><Relationship Id="rId21" Type="http://schemas.openxmlformats.org/officeDocument/2006/relationships/hyperlink" Target="https://www.revistacgg.org/contabil/article/view/86" TargetMode="External"/><Relationship Id="rId34" Type="http://schemas.openxmlformats.org/officeDocument/2006/relationships/image" Target="media/image7.png"/><Relationship Id="rId42" Type="http://schemas.openxmlformats.org/officeDocument/2006/relationships/image" Target="media/image15.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5.xml"/><Relationship Id="rId29" Type="http://schemas.openxmlformats.org/officeDocument/2006/relationships/hyperlink" Target="https://ubibliorum.ubi.pt/bitstream/10400.6/1869/1/Tese%20Sandra%20Rodrigues.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hyperlink" Target="https://www.researchgate.net/profile/Gabrielito_Menezes/publication/312490823_Da%2054%20dos_de_Painel_no_EViews/links/587e721d08ae9275d4eb9153/Dados-de-Painel-noEViews.pdf" TargetMode="External"/><Relationship Id="rId32" Type="http://schemas.openxmlformats.org/officeDocument/2006/relationships/image" Target="media/image5.png"/><Relationship Id="rId37" Type="http://schemas.openxmlformats.org/officeDocument/2006/relationships/image" Target="media/image10.png"/><Relationship Id="rId40" Type="http://schemas.openxmlformats.org/officeDocument/2006/relationships/image" Target="media/image13.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hyperlink" Target="https://www.imf.org/external/np/fad/trans/por/manualp.pdf" TargetMode="External"/><Relationship Id="rId28" Type="http://schemas.openxmlformats.org/officeDocument/2006/relationships/hyperlink" Target="https://repositorium.sdum.uminho.pt/bitstream/1822/54333/1/Munic&#237;pios%20em%20Portugal.pdf" TargetMode="External"/><Relationship Id="rId36" Type="http://schemas.openxmlformats.org/officeDocument/2006/relationships/image" Target="media/image9.png"/><Relationship Id="rId10" Type="http://schemas.openxmlformats.org/officeDocument/2006/relationships/footer" Target="footer2.xml"/><Relationship Id="rId19" Type="http://schemas.openxmlformats.org/officeDocument/2006/relationships/chart" Target="charts/chart8.xml"/><Relationship Id="rId31" Type="http://schemas.openxmlformats.org/officeDocument/2006/relationships/image" Target="media/image4.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3.xml"/><Relationship Id="rId22" Type="http://schemas.openxmlformats.org/officeDocument/2006/relationships/hyperlink" Target="http://wiki.nosdigitais.teia.org.br/images/2/21/Apostila_mulitcolinearidade.pdf" TargetMode="External"/><Relationship Id="rId27" Type="http://schemas.openxmlformats.org/officeDocument/2006/relationships/hyperlink" Target="http://www.cpc.tcontas.pt/documentos/outros/guia_cplp.pdf" TargetMode="External"/><Relationship Id="rId30" Type="http://schemas.openxmlformats.org/officeDocument/2006/relationships/hyperlink" Target="https://www.academia.edu/1873682/Basic_Statistics_-_2004" TargetMode="External"/><Relationship Id="rId35" Type="http://schemas.openxmlformats.org/officeDocument/2006/relationships/image" Target="media/image8.png"/><Relationship Id="rId43" Type="http://schemas.openxmlformats.org/officeDocument/2006/relationships/image" Target="media/image16.emf"/><Relationship Id="rId8" Type="http://schemas.openxmlformats.org/officeDocument/2006/relationships/image" Target="media/image1.emf"/><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hyperlink" Target="https://bibliotecadigital.ipb.pt/bitstream/10198/7325/1/estdescr.pdf" TargetMode="External"/><Relationship Id="rId33" Type="http://schemas.openxmlformats.org/officeDocument/2006/relationships/image" Target="media/image6.png"/><Relationship Id="rId38" Type="http://schemas.openxmlformats.org/officeDocument/2006/relationships/image" Target="media/image11.png"/><Relationship Id="rId20" Type="http://schemas.openxmlformats.org/officeDocument/2006/relationships/image" Target="media/image3.emf"/><Relationship Id="rId41" Type="http://schemas.openxmlformats.org/officeDocument/2006/relationships/image" Target="media/image14.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Bruno%20Faria\Desktop\Livro1.xlsx" TargetMode="External"/><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Bruno%20Faria\Desktop\Livro1.xlsx" TargetMode="External"/><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oleObject" Target="file:///D:\bd_spss%20(1).xlsx" TargetMode="External"/><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Bruno%20Faria\Desktop\Livro1.xlsx" TargetMode="External"/><Relationship Id="rId2" Type="http://schemas.microsoft.com/office/2011/relationships/chartColorStyle" Target="colors6.xml"/><Relationship Id="rId1" Type="http://schemas.microsoft.com/office/2011/relationships/chartStyle" Target="style6.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Column1</c:v>
                </c:pt>
              </c:strCache>
            </c:strRef>
          </c:tx>
          <c:spPr>
            <a:solidFill>
              <a:schemeClr val="accent1">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A</c:v>
                </c:pt>
                <c:pt idx="1">
                  <c:v>B</c:v>
                </c:pt>
                <c:pt idx="2">
                  <c:v>C</c:v>
                </c:pt>
                <c:pt idx="3">
                  <c:v>D</c:v>
                </c:pt>
                <c:pt idx="4">
                  <c:v>E</c:v>
                </c:pt>
                <c:pt idx="5">
                  <c:v>F</c:v>
                </c:pt>
                <c:pt idx="6">
                  <c:v>G</c:v>
                </c:pt>
              </c:strCache>
            </c:strRef>
          </c:cat>
          <c:val>
            <c:numRef>
              <c:f>Sheet1!$B$2:$B$8</c:f>
              <c:numCache>
                <c:formatCode>General</c:formatCode>
                <c:ptCount val="7"/>
                <c:pt idx="0">
                  <c:v>0.15</c:v>
                </c:pt>
                <c:pt idx="1">
                  <c:v>0.06</c:v>
                </c:pt>
                <c:pt idx="2">
                  <c:v>0.12</c:v>
                </c:pt>
                <c:pt idx="3">
                  <c:v>0.06</c:v>
                </c:pt>
                <c:pt idx="4">
                  <c:v>0.21</c:v>
                </c:pt>
                <c:pt idx="5">
                  <c:v>0.15</c:v>
                </c:pt>
                <c:pt idx="6">
                  <c:v>0.25</c:v>
                </c:pt>
              </c:numCache>
            </c:numRef>
          </c:val>
          <c:extLst>
            <c:ext xmlns:c16="http://schemas.microsoft.com/office/drawing/2014/chart" uri="{C3380CC4-5D6E-409C-BE32-E72D297353CC}">
              <c16:uniqueId val="{00000000-FAF7-4DA6-A900-F174792D9590}"/>
            </c:ext>
          </c:extLst>
        </c:ser>
        <c:dLbls>
          <c:dLblPos val="outEnd"/>
          <c:showLegendKey val="0"/>
          <c:showVal val="1"/>
          <c:showCatName val="0"/>
          <c:showSerName val="0"/>
          <c:showPercent val="0"/>
          <c:showBubbleSize val="0"/>
        </c:dLbls>
        <c:gapWidth val="219"/>
        <c:overlap val="-27"/>
        <c:axId val="178254592"/>
        <c:axId val="178257280"/>
      </c:barChart>
      <c:catAx>
        <c:axId val="178254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pt-PT"/>
          </a:p>
        </c:txPr>
        <c:crossAx val="178257280"/>
        <c:crosses val="autoZero"/>
        <c:auto val="1"/>
        <c:lblAlgn val="ctr"/>
        <c:lblOffset val="100"/>
        <c:noMultiLvlLbl val="0"/>
      </c:catAx>
      <c:valAx>
        <c:axId val="178257280"/>
        <c:scaling>
          <c:orientation val="minMax"/>
          <c:max val="0.25"/>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crossAx val="17825459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pt-PT"/>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pivotSource>
    <c:name>[bd_spss (1).xlsx]Sheet4!PivotTable2</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2"/>
          </a:solidFill>
          <a:ln w="12700" cap="flat" cmpd="sng" algn="ctr">
            <a:solidFill>
              <a:schemeClr val="accent2"/>
            </a:solidFill>
            <a:prstDash val="solid"/>
            <a:miter lim="800000"/>
          </a:ln>
          <a:effectLst/>
        </c:spPr>
      </c:pivotFmt>
      <c:pivotFmt>
        <c:idx val="2"/>
        <c:spPr>
          <a:solidFill>
            <a:schemeClr val="accent2"/>
          </a:solidFill>
          <a:ln>
            <a:solidFill>
              <a:schemeClr val="accent2"/>
            </a:solidFill>
          </a:ln>
          <a:effectLst/>
        </c:spPr>
      </c:pivotFmt>
      <c:pivotFmt>
        <c:idx val="3"/>
        <c:spPr>
          <a:solidFill>
            <a:schemeClr val="accent2"/>
          </a:solidFill>
          <a:ln>
            <a:solidFill>
              <a:schemeClr val="accent2"/>
            </a:solidFill>
          </a:ln>
          <a:effectLst/>
        </c:spPr>
      </c:pivotFmt>
      <c:pivotFmt>
        <c:idx val="4"/>
        <c:spPr>
          <a:solidFill>
            <a:schemeClr val="accent2"/>
          </a:solidFill>
          <a:ln>
            <a:solidFill>
              <a:schemeClr val="accent2"/>
            </a:solidFill>
          </a:ln>
          <a:effectLst/>
        </c:spPr>
      </c:pivotFmt>
      <c:pivotFmt>
        <c:idx val="5"/>
        <c:spPr>
          <a:solidFill>
            <a:schemeClr val="accent2"/>
          </a:solidFill>
          <a:ln>
            <a:solidFill>
              <a:schemeClr val="accent2"/>
            </a:solidFill>
          </a:ln>
          <a:effectLst/>
        </c:spPr>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2"/>
          </a:solidFill>
          <a:ln w="12700" cap="flat" cmpd="sng" algn="ctr">
            <a:solidFill>
              <a:schemeClr val="accent2"/>
            </a:solidFill>
            <a:prstDash val="solid"/>
            <a:miter lim="800000"/>
          </a:ln>
          <a:effectLst/>
        </c:spPr>
      </c:pivotFmt>
      <c:pivotFmt>
        <c:idx val="8"/>
        <c:spPr>
          <a:solidFill>
            <a:schemeClr val="accent2"/>
          </a:solidFill>
          <a:ln>
            <a:solidFill>
              <a:schemeClr val="accent2"/>
            </a:solidFill>
          </a:ln>
          <a:effectLst/>
        </c:spPr>
      </c:pivotFmt>
      <c:pivotFmt>
        <c:idx val="9"/>
        <c:spPr>
          <a:solidFill>
            <a:schemeClr val="accent2"/>
          </a:solidFill>
          <a:ln>
            <a:solidFill>
              <a:schemeClr val="accent2"/>
            </a:solidFill>
          </a:ln>
          <a:effectLst/>
        </c:spPr>
      </c:pivotFmt>
      <c:pivotFmt>
        <c:idx val="10"/>
        <c:spPr>
          <a:solidFill>
            <a:schemeClr val="accent2"/>
          </a:solidFill>
          <a:ln>
            <a:solidFill>
              <a:schemeClr val="accent2"/>
            </a:solidFill>
          </a:ln>
          <a:effectLst/>
        </c:spPr>
      </c:pivotFmt>
      <c:pivotFmt>
        <c:idx val="11"/>
        <c:spPr>
          <a:solidFill>
            <a:schemeClr val="accent2"/>
          </a:solidFill>
          <a:ln>
            <a:solidFill>
              <a:schemeClr val="accent2"/>
            </a:solidFill>
          </a:ln>
          <a:effectLst/>
        </c:spPr>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0"/>
          <c:showCatName val="0"/>
          <c:showSerName val="0"/>
          <c:showPercent val="0"/>
          <c:showBubbleSize val="0"/>
          <c:extLst>
            <c:ext xmlns:c15="http://schemas.microsoft.com/office/drawing/2012/chart" uri="{CE6537A1-D6FC-4f65-9D91-7224C49458BB}"/>
          </c:extLst>
        </c:dLbl>
      </c:pivotFmt>
      <c:pivotFmt>
        <c:idx val="13"/>
        <c:spPr>
          <a:solidFill>
            <a:schemeClr val="accent2"/>
          </a:solidFill>
          <a:ln w="12700" cap="flat" cmpd="sng" algn="ctr">
            <a:solidFill>
              <a:schemeClr val="accent2"/>
            </a:solidFill>
            <a:prstDash val="solid"/>
            <a:miter lim="800000"/>
          </a:ln>
          <a:effectLst/>
        </c:spPr>
      </c:pivotFmt>
      <c:pivotFmt>
        <c:idx val="14"/>
        <c:spPr>
          <a:solidFill>
            <a:schemeClr val="accent2"/>
          </a:solidFill>
          <a:ln>
            <a:solidFill>
              <a:schemeClr val="accent2"/>
            </a:solidFill>
          </a:ln>
          <a:effectLst/>
        </c:spPr>
      </c:pivotFmt>
      <c:pivotFmt>
        <c:idx val="15"/>
        <c:spPr>
          <a:solidFill>
            <a:schemeClr val="accent2"/>
          </a:solidFill>
          <a:ln>
            <a:solidFill>
              <a:schemeClr val="accent2"/>
            </a:solidFill>
          </a:ln>
          <a:effectLst/>
        </c:spPr>
      </c:pivotFmt>
      <c:pivotFmt>
        <c:idx val="16"/>
        <c:spPr>
          <a:solidFill>
            <a:schemeClr val="accent2"/>
          </a:solidFill>
          <a:ln>
            <a:solidFill>
              <a:schemeClr val="accent2"/>
            </a:solidFill>
          </a:ln>
          <a:effectLst/>
        </c:spPr>
      </c:pivotFmt>
      <c:pivotFmt>
        <c:idx val="17"/>
        <c:spPr>
          <a:solidFill>
            <a:schemeClr val="accent2"/>
          </a:solidFill>
          <a:ln>
            <a:solidFill>
              <a:schemeClr val="accent2"/>
            </a:solidFill>
          </a:ln>
          <a:effectLst/>
        </c:spPr>
      </c:pivotFmt>
    </c:pivotFmts>
    <c:plotArea>
      <c:layout/>
      <c:barChart>
        <c:barDir val="col"/>
        <c:grouping val="clustered"/>
        <c:varyColors val="0"/>
        <c:ser>
          <c:idx val="0"/>
          <c:order val="0"/>
          <c:tx>
            <c:strRef>
              <c:f>Sheet4!$B$3</c:f>
              <c:strCache>
                <c:ptCount val="1"/>
                <c:pt idx="0">
                  <c:v>Total</c:v>
                </c:pt>
              </c:strCache>
            </c:strRef>
          </c:tx>
          <c:spPr>
            <a:solidFill>
              <a:schemeClr val="accent1"/>
            </a:solidFill>
            <a:ln>
              <a:noFill/>
            </a:ln>
            <a:effectLst/>
          </c:spPr>
          <c:invertIfNegative val="0"/>
          <c:dPt>
            <c:idx val="1"/>
            <c:invertIfNegative val="0"/>
            <c:bubble3D val="0"/>
            <c:spPr>
              <a:solidFill>
                <a:schemeClr val="accent2"/>
              </a:solidFill>
              <a:ln w="12700" cap="flat" cmpd="sng" algn="ctr">
                <a:solidFill>
                  <a:schemeClr val="accent2"/>
                </a:solidFill>
                <a:prstDash val="solid"/>
                <a:miter lim="800000"/>
              </a:ln>
              <a:effectLst/>
            </c:spPr>
            <c:extLst>
              <c:ext xmlns:c16="http://schemas.microsoft.com/office/drawing/2014/chart" uri="{C3380CC4-5D6E-409C-BE32-E72D297353CC}">
                <c16:uniqueId val="{00000001-600E-4AA4-A7D8-F2B93867A8AE}"/>
              </c:ext>
            </c:extLst>
          </c:dPt>
          <c:dPt>
            <c:idx val="3"/>
            <c:invertIfNegative val="0"/>
            <c:bubble3D val="0"/>
            <c:spPr>
              <a:solidFill>
                <a:schemeClr val="accent2"/>
              </a:solidFill>
              <a:ln>
                <a:solidFill>
                  <a:schemeClr val="accent2"/>
                </a:solidFill>
              </a:ln>
              <a:effectLst/>
            </c:spPr>
            <c:extLst>
              <c:ext xmlns:c16="http://schemas.microsoft.com/office/drawing/2014/chart" uri="{C3380CC4-5D6E-409C-BE32-E72D297353CC}">
                <c16:uniqueId val="{00000003-600E-4AA4-A7D8-F2B93867A8AE}"/>
              </c:ext>
            </c:extLst>
          </c:dPt>
          <c:dPt>
            <c:idx val="5"/>
            <c:invertIfNegative val="0"/>
            <c:bubble3D val="0"/>
            <c:spPr>
              <a:solidFill>
                <a:schemeClr val="accent2"/>
              </a:solidFill>
              <a:ln>
                <a:solidFill>
                  <a:schemeClr val="accent2"/>
                </a:solidFill>
              </a:ln>
              <a:effectLst/>
            </c:spPr>
            <c:extLst>
              <c:ext xmlns:c16="http://schemas.microsoft.com/office/drawing/2014/chart" uri="{C3380CC4-5D6E-409C-BE32-E72D297353CC}">
                <c16:uniqueId val="{00000005-600E-4AA4-A7D8-F2B93867A8AE}"/>
              </c:ext>
            </c:extLst>
          </c:dPt>
          <c:dPt>
            <c:idx val="7"/>
            <c:invertIfNegative val="0"/>
            <c:bubble3D val="0"/>
            <c:spPr>
              <a:solidFill>
                <a:schemeClr val="accent2"/>
              </a:solidFill>
              <a:ln>
                <a:solidFill>
                  <a:schemeClr val="accent2"/>
                </a:solidFill>
              </a:ln>
              <a:effectLst/>
            </c:spPr>
            <c:extLst>
              <c:ext xmlns:c16="http://schemas.microsoft.com/office/drawing/2014/chart" uri="{C3380CC4-5D6E-409C-BE32-E72D297353CC}">
                <c16:uniqueId val="{00000007-600E-4AA4-A7D8-F2B93867A8AE}"/>
              </c:ext>
            </c:extLst>
          </c:dPt>
          <c:dPt>
            <c:idx val="9"/>
            <c:invertIfNegative val="0"/>
            <c:bubble3D val="0"/>
            <c:spPr>
              <a:solidFill>
                <a:schemeClr val="accent2"/>
              </a:solidFill>
              <a:ln>
                <a:solidFill>
                  <a:schemeClr val="accent2"/>
                </a:solidFill>
              </a:ln>
              <a:effectLst/>
            </c:spPr>
            <c:extLst>
              <c:ext xmlns:c16="http://schemas.microsoft.com/office/drawing/2014/chart" uri="{C3380CC4-5D6E-409C-BE32-E72D297353CC}">
                <c16:uniqueId val="{00000009-600E-4AA4-A7D8-F2B93867A8AE}"/>
              </c:ext>
            </c:extLst>
          </c:dPt>
          <c:cat>
            <c:multiLvlStrRef>
              <c:f>Sheet4!$A$4:$A$19</c:f>
              <c:multiLvlStrCache>
                <c:ptCount val="10"/>
                <c:lvl>
                  <c:pt idx="0">
                    <c:v>0</c:v>
                  </c:pt>
                  <c:pt idx="1">
                    <c:v>1</c:v>
                  </c:pt>
                  <c:pt idx="2">
                    <c:v>0</c:v>
                  </c:pt>
                  <c:pt idx="3">
                    <c:v>1</c:v>
                  </c:pt>
                  <c:pt idx="4">
                    <c:v>0</c:v>
                  </c:pt>
                  <c:pt idx="5">
                    <c:v>1</c:v>
                  </c:pt>
                  <c:pt idx="6">
                    <c:v>0</c:v>
                  </c:pt>
                  <c:pt idx="7">
                    <c:v>1</c:v>
                  </c:pt>
                  <c:pt idx="8">
                    <c:v>0</c:v>
                  </c:pt>
                  <c:pt idx="9">
                    <c:v>1</c:v>
                  </c:pt>
                </c:lvl>
                <c:lvl>
                  <c:pt idx="0">
                    <c:v>2013</c:v>
                  </c:pt>
                  <c:pt idx="2">
                    <c:v>2014</c:v>
                  </c:pt>
                  <c:pt idx="4">
                    <c:v>2015</c:v>
                  </c:pt>
                  <c:pt idx="6">
                    <c:v>2016</c:v>
                  </c:pt>
                  <c:pt idx="8">
                    <c:v>2017</c:v>
                  </c:pt>
                </c:lvl>
              </c:multiLvlStrCache>
            </c:multiLvlStrRef>
          </c:cat>
          <c:val>
            <c:numRef>
              <c:f>Sheet4!$B$4:$B$19</c:f>
              <c:numCache>
                <c:formatCode>General</c:formatCode>
                <c:ptCount val="10"/>
                <c:pt idx="0">
                  <c:v>32.761194029850749</c:v>
                </c:pt>
                <c:pt idx="1">
                  <c:v>33.240663900414937</c:v>
                </c:pt>
                <c:pt idx="2">
                  <c:v>34.506098081023445</c:v>
                </c:pt>
                <c:pt idx="3">
                  <c:v>33.363586247777114</c:v>
                </c:pt>
                <c:pt idx="4">
                  <c:v>43.388891257995738</c:v>
                </c:pt>
                <c:pt idx="5">
                  <c:v>44.553858921161861</c:v>
                </c:pt>
                <c:pt idx="6">
                  <c:v>52.340319829424296</c:v>
                </c:pt>
                <c:pt idx="7">
                  <c:v>52.457273266152917</c:v>
                </c:pt>
                <c:pt idx="8">
                  <c:v>49.42690934065935</c:v>
                </c:pt>
                <c:pt idx="9">
                  <c:v>51.194135044642842</c:v>
                </c:pt>
              </c:numCache>
            </c:numRef>
          </c:val>
          <c:extLst>
            <c:ext xmlns:c16="http://schemas.microsoft.com/office/drawing/2014/chart" uri="{C3380CC4-5D6E-409C-BE32-E72D297353CC}">
              <c16:uniqueId val="{0000000A-600E-4AA4-A7D8-F2B93867A8AE}"/>
            </c:ext>
          </c:extLst>
        </c:ser>
        <c:dLbls>
          <c:showLegendKey val="0"/>
          <c:showVal val="0"/>
          <c:showCatName val="0"/>
          <c:showSerName val="0"/>
          <c:showPercent val="0"/>
          <c:showBubbleSize val="0"/>
        </c:dLbls>
        <c:gapWidth val="60"/>
        <c:overlap val="-27"/>
        <c:axId val="886452144"/>
        <c:axId val="886438832"/>
      </c:barChart>
      <c:catAx>
        <c:axId val="886452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PT"/>
          </a:p>
        </c:txPr>
        <c:crossAx val="886438832"/>
        <c:crosses val="autoZero"/>
        <c:auto val="1"/>
        <c:lblAlgn val="ctr"/>
        <c:lblOffset val="100"/>
        <c:noMultiLvlLbl val="0"/>
      </c:catAx>
      <c:valAx>
        <c:axId val="8864388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PT"/>
          </a:p>
        </c:txPr>
        <c:crossAx val="88645214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pt-PT"/>
    </a:p>
  </c:txPr>
  <c:externalData r:id="rId3">
    <c:autoUpdate val="0"/>
  </c:externalData>
  <c:extLst>
    <c:ext xmlns:c14="http://schemas.microsoft.com/office/drawing/2007/8/2/chart" uri="{781A3756-C4B2-4CAC-9D66-4F8BD8637D16}">
      <c14:pivotOptions>
        <c14:dropZoneFilter val="1"/>
        <c14:dropZoneCategories val="1"/>
      </c14:pivotOptions>
    </c:ext>
    <c:ext xmlns:c16="http://schemas.microsoft.com/office/drawing/2014/chart" uri="{E28EC0CA-F0BB-4C9C-879D-F8772B89E7AC}">
      <c16:pivotOptions16>
        <c16:showExpandCollapseFieldButtons val="1"/>
      </c16:pivotOptions16>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pivotSource>
    <c:name>[Livro1.xlsx]DES!Tabela dinâmica1</c:name>
    <c:fmtId val="-1"/>
  </c:pivotSource>
  <c:chart>
    <c:autoTitleDeleted val="1"/>
    <c:pivotFmts>
      <c:pivotFmt>
        <c:idx val="0"/>
        <c:marker>
          <c:symbol val="none"/>
        </c:marker>
      </c:pivotFmt>
      <c:pivotFmt>
        <c:idx val="1"/>
        <c:marker>
          <c:symbol val="none"/>
        </c:marker>
      </c:pivotFmt>
      <c:pivotFmt>
        <c:idx val="2"/>
        <c:marker>
          <c:symbol val="none"/>
        </c:marker>
      </c:pivotFmt>
    </c:pivotFmts>
    <c:plotArea>
      <c:layout/>
      <c:barChart>
        <c:barDir val="col"/>
        <c:grouping val="clustered"/>
        <c:varyColors val="0"/>
        <c:ser>
          <c:idx val="0"/>
          <c:order val="0"/>
          <c:tx>
            <c:strRef>
              <c:f>DES!$B$3</c:f>
              <c:strCache>
                <c:ptCount val="1"/>
                <c:pt idx="0">
                  <c:v>Total</c:v>
                </c:pt>
              </c:strCache>
            </c:strRef>
          </c:tx>
          <c:spPr>
            <a:solidFill>
              <a:schemeClr val="accent1"/>
            </a:solidFill>
            <a:ln>
              <a:noFill/>
            </a:ln>
            <a:effectLst/>
          </c:spPr>
          <c:invertIfNegative val="0"/>
          <c:dPt>
            <c:idx val="1"/>
            <c:invertIfNegative val="0"/>
            <c:bubble3D val="0"/>
            <c:spPr>
              <a:solidFill>
                <a:schemeClr val="accent2"/>
              </a:solidFill>
              <a:ln>
                <a:noFill/>
              </a:ln>
              <a:effectLst/>
            </c:spPr>
            <c:extLst>
              <c:ext xmlns:c16="http://schemas.microsoft.com/office/drawing/2014/chart" uri="{C3380CC4-5D6E-409C-BE32-E72D297353CC}">
                <c16:uniqueId val="{00000001-01C6-4884-B650-E437EF784FB2}"/>
              </c:ext>
            </c:extLst>
          </c:dPt>
          <c:dPt>
            <c:idx val="3"/>
            <c:invertIfNegative val="0"/>
            <c:bubble3D val="0"/>
            <c:spPr>
              <a:solidFill>
                <a:schemeClr val="accent2"/>
              </a:solidFill>
              <a:ln>
                <a:noFill/>
              </a:ln>
              <a:effectLst/>
            </c:spPr>
            <c:extLst>
              <c:ext xmlns:c16="http://schemas.microsoft.com/office/drawing/2014/chart" uri="{C3380CC4-5D6E-409C-BE32-E72D297353CC}">
                <c16:uniqueId val="{00000003-01C6-4884-B650-E437EF784FB2}"/>
              </c:ext>
            </c:extLst>
          </c:dPt>
          <c:dPt>
            <c:idx val="5"/>
            <c:invertIfNegative val="0"/>
            <c:bubble3D val="0"/>
            <c:spPr>
              <a:solidFill>
                <a:schemeClr val="accent2"/>
              </a:solidFill>
              <a:ln>
                <a:noFill/>
              </a:ln>
              <a:effectLst/>
            </c:spPr>
            <c:extLst>
              <c:ext xmlns:c16="http://schemas.microsoft.com/office/drawing/2014/chart" uri="{C3380CC4-5D6E-409C-BE32-E72D297353CC}">
                <c16:uniqueId val="{00000005-01C6-4884-B650-E437EF784FB2}"/>
              </c:ext>
            </c:extLst>
          </c:dPt>
          <c:dPt>
            <c:idx val="7"/>
            <c:invertIfNegative val="0"/>
            <c:bubble3D val="0"/>
            <c:spPr>
              <a:solidFill>
                <a:schemeClr val="accent2"/>
              </a:solidFill>
              <a:ln>
                <a:noFill/>
              </a:ln>
              <a:effectLst/>
            </c:spPr>
            <c:extLst>
              <c:ext xmlns:c16="http://schemas.microsoft.com/office/drawing/2014/chart" uri="{C3380CC4-5D6E-409C-BE32-E72D297353CC}">
                <c16:uniqueId val="{00000007-01C6-4884-B650-E437EF784FB2}"/>
              </c:ext>
            </c:extLst>
          </c:dPt>
          <c:dPt>
            <c:idx val="9"/>
            <c:invertIfNegative val="0"/>
            <c:bubble3D val="0"/>
            <c:spPr>
              <a:solidFill>
                <a:schemeClr val="accent2"/>
              </a:solidFill>
              <a:ln>
                <a:noFill/>
              </a:ln>
              <a:effectLst/>
            </c:spPr>
            <c:extLst>
              <c:ext xmlns:c16="http://schemas.microsoft.com/office/drawing/2014/chart" uri="{C3380CC4-5D6E-409C-BE32-E72D297353CC}">
                <c16:uniqueId val="{00000009-01C6-4884-B650-E437EF784FB2}"/>
              </c:ext>
            </c:extLst>
          </c:dPt>
          <c:cat>
            <c:multiLvlStrRef>
              <c:f>DES!$A$4:$A$19</c:f>
              <c:multiLvlStrCache>
                <c:ptCount val="10"/>
                <c:lvl>
                  <c:pt idx="0">
                    <c:v>0</c:v>
                  </c:pt>
                  <c:pt idx="1">
                    <c:v>1</c:v>
                  </c:pt>
                  <c:pt idx="2">
                    <c:v>0</c:v>
                  </c:pt>
                  <c:pt idx="3">
                    <c:v>1</c:v>
                  </c:pt>
                  <c:pt idx="4">
                    <c:v>0</c:v>
                  </c:pt>
                  <c:pt idx="5">
                    <c:v>1</c:v>
                  </c:pt>
                  <c:pt idx="6">
                    <c:v>0</c:v>
                  </c:pt>
                  <c:pt idx="7">
                    <c:v>1</c:v>
                  </c:pt>
                  <c:pt idx="8">
                    <c:v>0</c:v>
                  </c:pt>
                  <c:pt idx="9">
                    <c:v>1</c:v>
                  </c:pt>
                </c:lvl>
                <c:lvl>
                  <c:pt idx="0">
                    <c:v>2013</c:v>
                  </c:pt>
                  <c:pt idx="2">
                    <c:v>2014</c:v>
                  </c:pt>
                  <c:pt idx="4">
                    <c:v>2015</c:v>
                  </c:pt>
                  <c:pt idx="6">
                    <c:v>2016</c:v>
                  </c:pt>
                  <c:pt idx="8">
                    <c:v>2017</c:v>
                  </c:pt>
                </c:lvl>
              </c:multiLvlStrCache>
            </c:multiLvlStrRef>
          </c:cat>
          <c:val>
            <c:numRef>
              <c:f>DES!$B$4:$B$19</c:f>
              <c:numCache>
                <c:formatCode>General</c:formatCode>
                <c:ptCount val="10"/>
                <c:pt idx="0">
                  <c:v>32.052419354838712</c:v>
                </c:pt>
                <c:pt idx="1">
                  <c:v>37.616666666666667</c:v>
                </c:pt>
                <c:pt idx="2">
                  <c:v>32.006770186335388</c:v>
                </c:pt>
                <c:pt idx="3">
                  <c:v>40.99672727272727</c:v>
                </c:pt>
                <c:pt idx="4">
                  <c:v>43.152670807453447</c:v>
                </c:pt>
                <c:pt idx="5">
                  <c:v>49.580181818181813</c:v>
                </c:pt>
                <c:pt idx="6">
                  <c:v>51.871107986501656</c:v>
                </c:pt>
                <c:pt idx="7">
                  <c:v>55.069312169312163</c:v>
                </c:pt>
                <c:pt idx="8">
                  <c:v>49.943457476375727</c:v>
                </c:pt>
                <c:pt idx="9">
                  <c:v>55.69469187675071</c:v>
                </c:pt>
              </c:numCache>
            </c:numRef>
          </c:val>
          <c:extLst>
            <c:ext xmlns:c16="http://schemas.microsoft.com/office/drawing/2014/chart" uri="{C3380CC4-5D6E-409C-BE32-E72D297353CC}">
              <c16:uniqueId val="{0000000A-01C6-4884-B650-E437EF784FB2}"/>
            </c:ext>
          </c:extLst>
        </c:ser>
        <c:dLbls>
          <c:showLegendKey val="0"/>
          <c:showVal val="0"/>
          <c:showCatName val="0"/>
          <c:showSerName val="0"/>
          <c:showPercent val="0"/>
          <c:showBubbleSize val="0"/>
        </c:dLbls>
        <c:gapWidth val="60"/>
        <c:overlap val="-27"/>
        <c:axId val="196890624"/>
        <c:axId val="196892160"/>
      </c:barChart>
      <c:catAx>
        <c:axId val="19689062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PT"/>
          </a:p>
        </c:txPr>
        <c:crossAx val="196892160"/>
        <c:crosses val="autoZero"/>
        <c:auto val="1"/>
        <c:lblAlgn val="ctr"/>
        <c:lblOffset val="100"/>
        <c:noMultiLvlLbl val="0"/>
      </c:catAx>
      <c:valAx>
        <c:axId val="196892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PT"/>
          </a:p>
        </c:txPr>
        <c:crossAx val="19689062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extLst>
    <c:ext xmlns:c14="http://schemas.microsoft.com/office/drawing/2007/8/2/chart" uri="{781A3756-C4B2-4CAC-9D66-4F8BD8637D16}">
      <c14:pivotOptions>
        <c14:dropZoneFilter val="1"/>
        <c14:dropZoneCategories val="1"/>
      </c14:pivotOptions>
    </c:ext>
  </c:extLst>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pivotSource>
    <c:name>[bd_spss (1).xlsx]Sheet1!PivotTable1</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Sheet1!$B$3</c:f>
              <c:strCache>
                <c:ptCount val="1"/>
                <c:pt idx="0">
                  <c:v>Total</c:v>
                </c:pt>
              </c:strCache>
            </c:strRef>
          </c:tx>
          <c:spPr>
            <a:solidFill>
              <a:schemeClr val="accent1"/>
            </a:solidFill>
            <a:ln>
              <a:noFill/>
            </a:ln>
            <a:effectLst/>
          </c:spPr>
          <c:invertIfNegative val="0"/>
          <c:dPt>
            <c:idx val="1"/>
            <c:invertIfNegative val="0"/>
            <c:bubble3D val="0"/>
            <c:spPr>
              <a:solidFill>
                <a:schemeClr val="accent2"/>
              </a:solidFill>
              <a:ln>
                <a:noFill/>
              </a:ln>
              <a:effectLst/>
            </c:spPr>
            <c:extLst>
              <c:ext xmlns:c16="http://schemas.microsoft.com/office/drawing/2014/chart" uri="{C3380CC4-5D6E-409C-BE32-E72D297353CC}">
                <c16:uniqueId val="{00000002-713F-43DF-926F-72E95182E90C}"/>
              </c:ext>
            </c:extLst>
          </c:dPt>
          <c:dPt>
            <c:idx val="3"/>
            <c:invertIfNegative val="0"/>
            <c:bubble3D val="0"/>
            <c:spPr>
              <a:solidFill>
                <a:schemeClr val="accent2"/>
              </a:solidFill>
              <a:ln>
                <a:noFill/>
              </a:ln>
              <a:effectLst/>
            </c:spPr>
            <c:extLst>
              <c:ext xmlns:c16="http://schemas.microsoft.com/office/drawing/2014/chart" uri="{C3380CC4-5D6E-409C-BE32-E72D297353CC}">
                <c16:uniqueId val="{00000003-713F-43DF-926F-72E95182E90C}"/>
              </c:ext>
            </c:extLst>
          </c:dPt>
          <c:dPt>
            <c:idx val="5"/>
            <c:invertIfNegative val="0"/>
            <c:bubble3D val="0"/>
            <c:spPr>
              <a:solidFill>
                <a:schemeClr val="accent2"/>
              </a:solidFill>
              <a:ln>
                <a:noFill/>
              </a:ln>
              <a:effectLst/>
            </c:spPr>
            <c:extLst>
              <c:ext xmlns:c16="http://schemas.microsoft.com/office/drawing/2014/chart" uri="{C3380CC4-5D6E-409C-BE32-E72D297353CC}">
                <c16:uniqueId val="{00000004-713F-43DF-926F-72E95182E90C}"/>
              </c:ext>
            </c:extLst>
          </c:dPt>
          <c:dPt>
            <c:idx val="7"/>
            <c:invertIfNegative val="0"/>
            <c:bubble3D val="0"/>
            <c:spPr>
              <a:solidFill>
                <a:schemeClr val="accent2"/>
              </a:solidFill>
              <a:ln>
                <a:noFill/>
              </a:ln>
              <a:effectLst/>
            </c:spPr>
            <c:extLst>
              <c:ext xmlns:c16="http://schemas.microsoft.com/office/drawing/2014/chart" uri="{C3380CC4-5D6E-409C-BE32-E72D297353CC}">
                <c16:uniqueId val="{00000005-713F-43DF-926F-72E95182E90C}"/>
              </c:ext>
            </c:extLst>
          </c:dPt>
          <c:dPt>
            <c:idx val="9"/>
            <c:invertIfNegative val="0"/>
            <c:bubble3D val="0"/>
            <c:spPr>
              <a:solidFill>
                <a:schemeClr val="accent2"/>
              </a:solidFill>
              <a:ln>
                <a:noFill/>
              </a:ln>
              <a:effectLst/>
            </c:spPr>
            <c:extLst>
              <c:ext xmlns:c16="http://schemas.microsoft.com/office/drawing/2014/chart" uri="{C3380CC4-5D6E-409C-BE32-E72D297353CC}">
                <c16:uniqueId val="{00000006-713F-43DF-926F-72E95182E90C}"/>
              </c:ext>
            </c:extLst>
          </c:dPt>
          <c:cat>
            <c:multiLvlStrRef>
              <c:f>Sheet1!$A$4:$A$19</c:f>
              <c:multiLvlStrCache>
                <c:ptCount val="10"/>
                <c:lvl>
                  <c:pt idx="0">
                    <c:v>0</c:v>
                  </c:pt>
                  <c:pt idx="1">
                    <c:v>1</c:v>
                  </c:pt>
                  <c:pt idx="2">
                    <c:v>0</c:v>
                  </c:pt>
                  <c:pt idx="3">
                    <c:v>1</c:v>
                  </c:pt>
                  <c:pt idx="4">
                    <c:v>0</c:v>
                  </c:pt>
                  <c:pt idx="5">
                    <c:v>1</c:v>
                  </c:pt>
                  <c:pt idx="6">
                    <c:v>0</c:v>
                  </c:pt>
                  <c:pt idx="7">
                    <c:v>1</c:v>
                  </c:pt>
                  <c:pt idx="8">
                    <c:v>0</c:v>
                  </c:pt>
                  <c:pt idx="9">
                    <c:v>1</c:v>
                  </c:pt>
                </c:lvl>
                <c:lvl>
                  <c:pt idx="0">
                    <c:v>2013</c:v>
                  </c:pt>
                  <c:pt idx="2">
                    <c:v>2014</c:v>
                  </c:pt>
                  <c:pt idx="4">
                    <c:v>2015</c:v>
                  </c:pt>
                  <c:pt idx="6">
                    <c:v>2016</c:v>
                  </c:pt>
                  <c:pt idx="8">
                    <c:v>2017</c:v>
                  </c:pt>
                </c:lvl>
              </c:multiLvlStrCache>
            </c:multiLvlStrRef>
          </c:cat>
          <c:val>
            <c:numRef>
              <c:f>Sheet1!$B$4:$B$19</c:f>
              <c:numCache>
                <c:formatCode>General</c:formatCode>
                <c:ptCount val="10"/>
                <c:pt idx="0">
                  <c:v>36.282051282051285</c:v>
                </c:pt>
                <c:pt idx="1">
                  <c:v>32.680297397769515</c:v>
                </c:pt>
                <c:pt idx="2">
                  <c:v>39.360791925465854</c:v>
                </c:pt>
                <c:pt idx="3">
                  <c:v>32.602810796074159</c:v>
                </c:pt>
                <c:pt idx="4">
                  <c:v>48.397571428571425</c:v>
                </c:pt>
                <c:pt idx="5">
                  <c:v>43.599410646387859</c:v>
                </c:pt>
                <c:pt idx="6">
                  <c:v>52.984870129870131</c:v>
                </c:pt>
                <c:pt idx="7">
                  <c:v>52.339659090909066</c:v>
                </c:pt>
                <c:pt idx="8">
                  <c:v>52.296703296703299</c:v>
                </c:pt>
                <c:pt idx="9">
                  <c:v>50.766608409321137</c:v>
                </c:pt>
              </c:numCache>
            </c:numRef>
          </c:val>
          <c:extLst>
            <c:ext xmlns:c16="http://schemas.microsoft.com/office/drawing/2014/chart" uri="{C3380CC4-5D6E-409C-BE32-E72D297353CC}">
              <c16:uniqueId val="{00000000-713F-43DF-926F-72E95182E90C}"/>
            </c:ext>
          </c:extLst>
        </c:ser>
        <c:dLbls>
          <c:showLegendKey val="0"/>
          <c:showVal val="0"/>
          <c:showCatName val="0"/>
          <c:showSerName val="0"/>
          <c:showPercent val="0"/>
          <c:showBubbleSize val="0"/>
        </c:dLbls>
        <c:gapWidth val="60"/>
        <c:overlap val="-27"/>
        <c:axId val="1013678512"/>
        <c:axId val="1150775904"/>
      </c:barChart>
      <c:catAx>
        <c:axId val="1013678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PT"/>
          </a:p>
        </c:txPr>
        <c:crossAx val="1150775904"/>
        <c:crosses val="autoZero"/>
        <c:auto val="1"/>
        <c:lblAlgn val="ctr"/>
        <c:lblOffset val="100"/>
        <c:noMultiLvlLbl val="0"/>
      </c:catAx>
      <c:valAx>
        <c:axId val="11507759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PT"/>
          </a:p>
        </c:txPr>
        <c:crossAx val="1013678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pt-PT"/>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pivotSource>
    <c:name>[BD_29_11.xlsx]End!Tabela dinâmica1</c:name>
    <c:fmtId val="-1"/>
  </c:pivotSource>
  <c:chart>
    <c:autoTitleDeleted val="1"/>
    <c:pivotFmts>
      <c:pivotFmt>
        <c:idx val="0"/>
        <c:marker>
          <c:symbol val="none"/>
        </c:marker>
      </c:pivotFmt>
      <c:pivotFmt>
        <c:idx val="1"/>
        <c:marker>
          <c:symbol val="none"/>
        </c:marker>
      </c:pivotFmt>
      <c:pivotFmt>
        <c:idx val="2"/>
      </c:pivotFmt>
      <c:pivotFmt>
        <c:idx val="3"/>
      </c:pivotFmt>
      <c:pivotFmt>
        <c:idx val="4"/>
        <c:marker>
          <c:symbol val="none"/>
        </c:marker>
      </c:pivotFmt>
      <c:pivotFmt>
        <c:idx val="5"/>
        <c:spPr>
          <a:solidFill>
            <a:schemeClr val="accent6"/>
          </a:solidFill>
          <a:ln>
            <a:noFill/>
          </a:ln>
          <a:effectLst/>
        </c:spPr>
      </c:pivotFmt>
      <c:pivotFmt>
        <c:idx val="6"/>
        <c:spPr>
          <a:solidFill>
            <a:schemeClr val="accent6"/>
          </a:solidFill>
          <a:ln>
            <a:noFill/>
          </a:ln>
          <a:effectLst/>
        </c:spPr>
      </c:pivotFmt>
      <c:pivotFmt>
        <c:idx val="7"/>
        <c:spPr>
          <a:solidFill>
            <a:schemeClr val="accent6"/>
          </a:solidFill>
          <a:ln>
            <a:noFill/>
          </a:ln>
          <a:effectLst/>
        </c:spPr>
      </c:pivotFmt>
      <c:pivotFmt>
        <c:idx val="8"/>
        <c:spPr>
          <a:solidFill>
            <a:schemeClr val="accent6"/>
          </a:solidFill>
          <a:ln>
            <a:noFill/>
          </a:ln>
          <a:effectLst/>
        </c:spPr>
      </c:pivotFmt>
      <c:pivotFmt>
        <c:idx val="9"/>
        <c:spPr>
          <a:solidFill>
            <a:schemeClr val="accent6"/>
          </a:solidFill>
          <a:ln>
            <a:noFill/>
          </a:ln>
          <a:effectLst/>
        </c:spPr>
      </c:pivotFmt>
      <c:pivotFmt>
        <c:idx val="10"/>
        <c:spPr>
          <a:solidFill>
            <a:schemeClr val="accent3"/>
          </a:solidFill>
          <a:ln>
            <a:noFill/>
          </a:ln>
          <a:effectLst/>
        </c:spPr>
      </c:pivotFmt>
      <c:pivotFmt>
        <c:idx val="11"/>
        <c:spPr>
          <a:solidFill>
            <a:schemeClr val="accent3"/>
          </a:solidFill>
          <a:ln>
            <a:noFill/>
          </a:ln>
          <a:effectLst/>
        </c:spPr>
      </c:pivotFmt>
      <c:pivotFmt>
        <c:idx val="12"/>
        <c:spPr>
          <a:solidFill>
            <a:schemeClr val="accent3"/>
          </a:solidFill>
          <a:ln>
            <a:noFill/>
          </a:ln>
          <a:effectLst/>
        </c:spPr>
      </c:pivotFmt>
      <c:pivotFmt>
        <c:idx val="13"/>
        <c:spPr>
          <a:solidFill>
            <a:schemeClr val="accent3"/>
          </a:solidFill>
          <a:ln>
            <a:noFill/>
          </a:ln>
          <a:effectLst/>
        </c:spPr>
      </c:pivotFmt>
      <c:pivotFmt>
        <c:idx val="14"/>
        <c:spPr>
          <a:solidFill>
            <a:schemeClr val="accent3"/>
          </a:solidFill>
          <a:ln>
            <a:noFill/>
          </a:ln>
          <a:effectLst/>
        </c:spPr>
      </c:pivotFmt>
      <c:pivotFmt>
        <c:idx val="15"/>
        <c:marker>
          <c:symbol val="none"/>
        </c:marker>
      </c:pivotFmt>
      <c:pivotFmt>
        <c:idx val="16"/>
        <c:spPr>
          <a:solidFill>
            <a:schemeClr val="accent6"/>
          </a:solidFill>
          <a:ln>
            <a:noFill/>
          </a:ln>
          <a:effectLst/>
        </c:spPr>
      </c:pivotFmt>
      <c:pivotFmt>
        <c:idx val="17"/>
        <c:spPr>
          <a:solidFill>
            <a:schemeClr val="accent3"/>
          </a:solidFill>
          <a:ln>
            <a:noFill/>
          </a:ln>
          <a:effectLst/>
        </c:spPr>
      </c:pivotFmt>
      <c:pivotFmt>
        <c:idx val="18"/>
        <c:spPr>
          <a:solidFill>
            <a:schemeClr val="accent6"/>
          </a:solidFill>
          <a:ln>
            <a:noFill/>
          </a:ln>
          <a:effectLst/>
        </c:spPr>
      </c:pivotFmt>
      <c:pivotFmt>
        <c:idx val="19"/>
        <c:spPr>
          <a:solidFill>
            <a:schemeClr val="accent3"/>
          </a:solidFill>
          <a:ln>
            <a:noFill/>
          </a:ln>
          <a:effectLst/>
        </c:spPr>
      </c:pivotFmt>
      <c:pivotFmt>
        <c:idx val="20"/>
        <c:spPr>
          <a:solidFill>
            <a:schemeClr val="accent6"/>
          </a:solidFill>
          <a:ln>
            <a:noFill/>
          </a:ln>
          <a:effectLst/>
        </c:spPr>
      </c:pivotFmt>
      <c:pivotFmt>
        <c:idx val="21"/>
        <c:spPr>
          <a:solidFill>
            <a:schemeClr val="accent3"/>
          </a:solidFill>
          <a:ln>
            <a:noFill/>
          </a:ln>
          <a:effectLst/>
        </c:spPr>
      </c:pivotFmt>
      <c:pivotFmt>
        <c:idx val="22"/>
        <c:spPr>
          <a:solidFill>
            <a:schemeClr val="accent6"/>
          </a:solidFill>
          <a:ln>
            <a:noFill/>
          </a:ln>
          <a:effectLst/>
        </c:spPr>
      </c:pivotFmt>
      <c:pivotFmt>
        <c:idx val="23"/>
        <c:spPr>
          <a:solidFill>
            <a:schemeClr val="accent3"/>
          </a:solidFill>
          <a:ln>
            <a:noFill/>
          </a:ln>
          <a:effectLst/>
        </c:spPr>
      </c:pivotFmt>
      <c:pivotFmt>
        <c:idx val="24"/>
        <c:spPr>
          <a:solidFill>
            <a:schemeClr val="accent6"/>
          </a:solidFill>
          <a:ln>
            <a:noFill/>
          </a:ln>
          <a:effectLst/>
        </c:spPr>
      </c:pivotFmt>
      <c:pivotFmt>
        <c:idx val="25"/>
        <c:spPr>
          <a:solidFill>
            <a:schemeClr val="accent3"/>
          </a:solidFill>
          <a:ln>
            <a:noFill/>
          </a:ln>
          <a:effectLst/>
        </c:spPr>
      </c:pivotFmt>
      <c:pivotFmt>
        <c:idx val="26"/>
        <c:marker>
          <c:symbol val="none"/>
        </c:marker>
      </c:pivotFmt>
      <c:pivotFmt>
        <c:idx val="27"/>
        <c:spPr>
          <a:solidFill>
            <a:schemeClr val="accent6"/>
          </a:solidFill>
          <a:ln>
            <a:noFill/>
          </a:ln>
          <a:effectLst/>
        </c:spPr>
      </c:pivotFmt>
      <c:pivotFmt>
        <c:idx val="28"/>
        <c:spPr>
          <a:solidFill>
            <a:schemeClr val="accent3"/>
          </a:solidFill>
          <a:ln>
            <a:noFill/>
          </a:ln>
          <a:effectLst/>
        </c:spPr>
      </c:pivotFmt>
      <c:pivotFmt>
        <c:idx val="29"/>
        <c:spPr>
          <a:solidFill>
            <a:schemeClr val="accent6"/>
          </a:solidFill>
          <a:ln>
            <a:noFill/>
          </a:ln>
          <a:effectLst/>
        </c:spPr>
      </c:pivotFmt>
      <c:pivotFmt>
        <c:idx val="30"/>
        <c:spPr>
          <a:solidFill>
            <a:schemeClr val="accent3"/>
          </a:solidFill>
          <a:ln>
            <a:noFill/>
          </a:ln>
          <a:effectLst/>
        </c:spPr>
      </c:pivotFmt>
      <c:pivotFmt>
        <c:idx val="31"/>
        <c:spPr>
          <a:solidFill>
            <a:schemeClr val="accent6"/>
          </a:solidFill>
          <a:ln>
            <a:noFill/>
          </a:ln>
          <a:effectLst/>
        </c:spPr>
      </c:pivotFmt>
      <c:pivotFmt>
        <c:idx val="32"/>
        <c:spPr>
          <a:solidFill>
            <a:schemeClr val="accent3"/>
          </a:solidFill>
          <a:ln>
            <a:noFill/>
          </a:ln>
          <a:effectLst/>
        </c:spPr>
      </c:pivotFmt>
      <c:pivotFmt>
        <c:idx val="33"/>
        <c:spPr>
          <a:solidFill>
            <a:schemeClr val="accent6"/>
          </a:solidFill>
          <a:ln>
            <a:noFill/>
          </a:ln>
          <a:effectLst/>
        </c:spPr>
      </c:pivotFmt>
      <c:pivotFmt>
        <c:idx val="34"/>
        <c:spPr>
          <a:solidFill>
            <a:schemeClr val="accent3"/>
          </a:solidFill>
          <a:ln>
            <a:noFill/>
          </a:ln>
          <a:effectLst/>
        </c:spPr>
      </c:pivotFmt>
      <c:pivotFmt>
        <c:idx val="35"/>
        <c:spPr>
          <a:solidFill>
            <a:schemeClr val="accent6"/>
          </a:solidFill>
          <a:ln>
            <a:noFill/>
          </a:ln>
          <a:effectLst/>
        </c:spPr>
      </c:pivotFmt>
      <c:pivotFmt>
        <c:idx val="36"/>
        <c:spPr>
          <a:solidFill>
            <a:schemeClr val="accent3"/>
          </a:solidFill>
          <a:ln>
            <a:noFill/>
          </a:ln>
          <a:effectLst/>
        </c:spPr>
      </c:pivotFmt>
    </c:pivotFmts>
    <c:plotArea>
      <c:layout/>
      <c:barChart>
        <c:barDir val="col"/>
        <c:grouping val="clustered"/>
        <c:varyColors val="0"/>
        <c:ser>
          <c:idx val="0"/>
          <c:order val="0"/>
          <c:tx>
            <c:strRef>
              <c:f>End!$B$3</c:f>
              <c:strCache>
                <c:ptCount val="1"/>
                <c:pt idx="0">
                  <c:v>Total</c:v>
                </c:pt>
              </c:strCache>
            </c:strRef>
          </c:tx>
          <c:spPr>
            <a:solidFill>
              <a:schemeClr val="accent1"/>
            </a:solidFill>
            <a:ln>
              <a:noFill/>
            </a:ln>
            <a:effectLst/>
          </c:spPr>
          <c:invertIfNegative val="0"/>
          <c:dPt>
            <c:idx val="1"/>
            <c:invertIfNegative val="0"/>
            <c:bubble3D val="0"/>
            <c:spPr>
              <a:solidFill>
                <a:schemeClr val="accent6"/>
              </a:solidFill>
              <a:ln>
                <a:solidFill>
                  <a:schemeClr val="accent6"/>
                </a:solidFill>
              </a:ln>
              <a:effectLst/>
            </c:spPr>
            <c:extLst>
              <c:ext xmlns:c16="http://schemas.microsoft.com/office/drawing/2014/chart" uri="{C3380CC4-5D6E-409C-BE32-E72D297353CC}">
                <c16:uniqueId val="{00000001-0B3C-45C1-A7C4-37E22AB8A250}"/>
              </c:ext>
            </c:extLst>
          </c:dPt>
          <c:dPt>
            <c:idx val="2"/>
            <c:invertIfNegative val="0"/>
            <c:bubble3D val="0"/>
            <c:spPr>
              <a:solidFill>
                <a:schemeClr val="accent2"/>
              </a:solidFill>
              <a:ln>
                <a:noFill/>
              </a:ln>
              <a:effectLst/>
            </c:spPr>
            <c:extLst>
              <c:ext xmlns:c16="http://schemas.microsoft.com/office/drawing/2014/chart" uri="{C3380CC4-5D6E-409C-BE32-E72D297353CC}">
                <c16:uniqueId val="{00000003-0B3C-45C1-A7C4-37E22AB8A250}"/>
              </c:ext>
            </c:extLst>
          </c:dPt>
          <c:dPt>
            <c:idx val="4"/>
            <c:invertIfNegative val="0"/>
            <c:bubble3D val="0"/>
            <c:spPr>
              <a:solidFill>
                <a:schemeClr val="accent6"/>
              </a:solidFill>
              <a:ln>
                <a:noFill/>
              </a:ln>
              <a:effectLst/>
            </c:spPr>
            <c:extLst>
              <c:ext xmlns:c16="http://schemas.microsoft.com/office/drawing/2014/chart" uri="{C3380CC4-5D6E-409C-BE32-E72D297353CC}">
                <c16:uniqueId val="{00000005-0B3C-45C1-A7C4-37E22AB8A250}"/>
              </c:ext>
            </c:extLst>
          </c:dPt>
          <c:dPt>
            <c:idx val="5"/>
            <c:invertIfNegative val="0"/>
            <c:bubble3D val="0"/>
            <c:spPr>
              <a:solidFill>
                <a:schemeClr val="accent2"/>
              </a:solidFill>
              <a:ln>
                <a:noFill/>
              </a:ln>
              <a:effectLst/>
            </c:spPr>
            <c:extLst>
              <c:ext xmlns:c16="http://schemas.microsoft.com/office/drawing/2014/chart" uri="{C3380CC4-5D6E-409C-BE32-E72D297353CC}">
                <c16:uniqueId val="{00000007-0B3C-45C1-A7C4-37E22AB8A250}"/>
              </c:ext>
            </c:extLst>
          </c:dPt>
          <c:dPt>
            <c:idx val="7"/>
            <c:invertIfNegative val="0"/>
            <c:bubble3D val="0"/>
            <c:spPr>
              <a:solidFill>
                <a:schemeClr val="accent6"/>
              </a:solidFill>
              <a:ln>
                <a:noFill/>
              </a:ln>
              <a:effectLst/>
            </c:spPr>
            <c:extLst>
              <c:ext xmlns:c16="http://schemas.microsoft.com/office/drawing/2014/chart" uri="{C3380CC4-5D6E-409C-BE32-E72D297353CC}">
                <c16:uniqueId val="{00000009-0B3C-45C1-A7C4-37E22AB8A250}"/>
              </c:ext>
            </c:extLst>
          </c:dPt>
          <c:dPt>
            <c:idx val="8"/>
            <c:invertIfNegative val="0"/>
            <c:bubble3D val="0"/>
            <c:spPr>
              <a:solidFill>
                <a:schemeClr val="accent2"/>
              </a:solidFill>
              <a:ln>
                <a:noFill/>
              </a:ln>
              <a:effectLst/>
            </c:spPr>
            <c:extLst>
              <c:ext xmlns:c16="http://schemas.microsoft.com/office/drawing/2014/chart" uri="{C3380CC4-5D6E-409C-BE32-E72D297353CC}">
                <c16:uniqueId val="{0000000B-0B3C-45C1-A7C4-37E22AB8A250}"/>
              </c:ext>
            </c:extLst>
          </c:dPt>
          <c:dPt>
            <c:idx val="10"/>
            <c:invertIfNegative val="0"/>
            <c:bubble3D val="0"/>
            <c:spPr>
              <a:solidFill>
                <a:schemeClr val="accent6"/>
              </a:solidFill>
              <a:ln>
                <a:noFill/>
              </a:ln>
              <a:effectLst/>
            </c:spPr>
            <c:extLst>
              <c:ext xmlns:c16="http://schemas.microsoft.com/office/drawing/2014/chart" uri="{C3380CC4-5D6E-409C-BE32-E72D297353CC}">
                <c16:uniqueId val="{0000000D-0B3C-45C1-A7C4-37E22AB8A250}"/>
              </c:ext>
            </c:extLst>
          </c:dPt>
          <c:dPt>
            <c:idx val="11"/>
            <c:invertIfNegative val="0"/>
            <c:bubble3D val="0"/>
            <c:spPr>
              <a:solidFill>
                <a:schemeClr val="accent2"/>
              </a:solidFill>
              <a:ln>
                <a:noFill/>
              </a:ln>
              <a:effectLst/>
            </c:spPr>
            <c:extLst>
              <c:ext xmlns:c16="http://schemas.microsoft.com/office/drawing/2014/chart" uri="{C3380CC4-5D6E-409C-BE32-E72D297353CC}">
                <c16:uniqueId val="{0000000F-0B3C-45C1-A7C4-37E22AB8A250}"/>
              </c:ext>
            </c:extLst>
          </c:dPt>
          <c:dPt>
            <c:idx val="13"/>
            <c:invertIfNegative val="0"/>
            <c:bubble3D val="0"/>
            <c:spPr>
              <a:solidFill>
                <a:schemeClr val="accent6"/>
              </a:solidFill>
              <a:ln>
                <a:noFill/>
              </a:ln>
              <a:effectLst/>
            </c:spPr>
            <c:extLst>
              <c:ext xmlns:c16="http://schemas.microsoft.com/office/drawing/2014/chart" uri="{C3380CC4-5D6E-409C-BE32-E72D297353CC}">
                <c16:uniqueId val="{00000011-0B3C-45C1-A7C4-37E22AB8A250}"/>
              </c:ext>
            </c:extLst>
          </c:dPt>
          <c:dPt>
            <c:idx val="14"/>
            <c:invertIfNegative val="0"/>
            <c:bubble3D val="0"/>
            <c:spPr>
              <a:solidFill>
                <a:schemeClr val="accent2"/>
              </a:solidFill>
              <a:ln>
                <a:noFill/>
              </a:ln>
              <a:effectLst/>
            </c:spPr>
            <c:extLst>
              <c:ext xmlns:c16="http://schemas.microsoft.com/office/drawing/2014/chart" uri="{C3380CC4-5D6E-409C-BE32-E72D297353CC}">
                <c16:uniqueId val="{00000013-0B3C-45C1-A7C4-37E22AB8A250}"/>
              </c:ext>
            </c:extLst>
          </c:dPt>
          <c:cat>
            <c:multiLvlStrRef>
              <c:f>End!$A$4:$A$24</c:f>
              <c:multiLvlStrCache>
                <c:ptCount val="15"/>
                <c:lvl>
                  <c:pt idx="0">
                    <c:v>1</c:v>
                  </c:pt>
                  <c:pt idx="1">
                    <c:v>2</c:v>
                  </c:pt>
                  <c:pt idx="2">
                    <c:v>3</c:v>
                  </c:pt>
                  <c:pt idx="3">
                    <c:v>1</c:v>
                  </c:pt>
                  <c:pt idx="4">
                    <c:v>2</c:v>
                  </c:pt>
                  <c:pt idx="5">
                    <c:v>3</c:v>
                  </c:pt>
                  <c:pt idx="6">
                    <c:v>1</c:v>
                  </c:pt>
                  <c:pt idx="7">
                    <c:v>2</c:v>
                  </c:pt>
                  <c:pt idx="8">
                    <c:v>3</c:v>
                  </c:pt>
                  <c:pt idx="9">
                    <c:v>1</c:v>
                  </c:pt>
                  <c:pt idx="10">
                    <c:v>2</c:v>
                  </c:pt>
                  <c:pt idx="11">
                    <c:v>3</c:v>
                  </c:pt>
                  <c:pt idx="12">
                    <c:v>1</c:v>
                  </c:pt>
                  <c:pt idx="13">
                    <c:v>2</c:v>
                  </c:pt>
                  <c:pt idx="14">
                    <c:v>3</c:v>
                  </c:pt>
                </c:lvl>
                <c:lvl>
                  <c:pt idx="0">
                    <c:v>2013</c:v>
                  </c:pt>
                  <c:pt idx="3">
                    <c:v>2014</c:v>
                  </c:pt>
                  <c:pt idx="6">
                    <c:v>2015</c:v>
                  </c:pt>
                  <c:pt idx="9">
                    <c:v>2016</c:v>
                  </c:pt>
                  <c:pt idx="12">
                    <c:v>2017</c:v>
                  </c:pt>
                </c:lvl>
              </c:multiLvlStrCache>
            </c:multiLvlStrRef>
          </c:cat>
          <c:val>
            <c:numRef>
              <c:f>End!$B$4:$B$24</c:f>
              <c:numCache>
                <c:formatCode>General</c:formatCode>
                <c:ptCount val="15"/>
                <c:pt idx="0">
                  <c:v>30.75</c:v>
                </c:pt>
                <c:pt idx="1">
                  <c:v>36.1</c:v>
                </c:pt>
                <c:pt idx="2">
                  <c:v>39.083333333333336</c:v>
                </c:pt>
                <c:pt idx="3">
                  <c:v>29.670916149068315</c:v>
                </c:pt>
                <c:pt idx="4">
                  <c:v>38.446571428571431</c:v>
                </c:pt>
                <c:pt idx="5">
                  <c:v>43.684464285714292</c:v>
                </c:pt>
                <c:pt idx="6">
                  <c:v>40.767652509652521</c:v>
                </c:pt>
                <c:pt idx="7">
                  <c:v>49.845844155844162</c:v>
                </c:pt>
                <c:pt idx="8">
                  <c:v>48.657559523809532</c:v>
                </c:pt>
                <c:pt idx="9">
                  <c:v>50.36621235521234</c:v>
                </c:pt>
                <c:pt idx="10">
                  <c:v>55.942799422799432</c:v>
                </c:pt>
                <c:pt idx="11">
                  <c:v>53.871577380952381</c:v>
                </c:pt>
                <c:pt idx="12">
                  <c:v>49.213621351766491</c:v>
                </c:pt>
                <c:pt idx="13">
                  <c:v>53.048090379008798</c:v>
                </c:pt>
                <c:pt idx="14">
                  <c:v>55.14380952380953</c:v>
                </c:pt>
              </c:numCache>
            </c:numRef>
          </c:val>
          <c:extLst>
            <c:ext xmlns:c16="http://schemas.microsoft.com/office/drawing/2014/chart" uri="{C3380CC4-5D6E-409C-BE32-E72D297353CC}">
              <c16:uniqueId val="{00000014-0B3C-45C1-A7C4-37E22AB8A250}"/>
            </c:ext>
          </c:extLst>
        </c:ser>
        <c:dLbls>
          <c:showLegendKey val="0"/>
          <c:showVal val="0"/>
          <c:showCatName val="0"/>
          <c:showSerName val="0"/>
          <c:showPercent val="0"/>
          <c:showBubbleSize val="0"/>
        </c:dLbls>
        <c:gapWidth val="50"/>
        <c:overlap val="-27"/>
        <c:axId val="198452352"/>
        <c:axId val="198453888"/>
      </c:barChart>
      <c:catAx>
        <c:axId val="1984523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PT"/>
          </a:p>
        </c:txPr>
        <c:crossAx val="198453888"/>
        <c:crosses val="autoZero"/>
        <c:auto val="1"/>
        <c:lblAlgn val="ctr"/>
        <c:lblOffset val="100"/>
        <c:noMultiLvlLbl val="0"/>
      </c:catAx>
      <c:valAx>
        <c:axId val="1984538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PT"/>
          </a:p>
        </c:txPr>
        <c:crossAx val="19845235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pt-PT"/>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Lst>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pivotSource>
    <c:name>[bd_spss (1).xlsx]Sheet4!PivotTable2</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Sheet4!$B$3</c:f>
              <c:strCache>
                <c:ptCount val="1"/>
                <c:pt idx="0">
                  <c:v>Total</c:v>
                </c:pt>
              </c:strCache>
            </c:strRef>
          </c:tx>
          <c:spPr>
            <a:solidFill>
              <a:schemeClr val="accent1"/>
            </a:solidFill>
            <a:ln>
              <a:noFill/>
            </a:ln>
            <a:effectLst/>
          </c:spPr>
          <c:invertIfNegative val="0"/>
          <c:dPt>
            <c:idx val="1"/>
            <c:invertIfNegative val="0"/>
            <c:bubble3D val="0"/>
            <c:spPr>
              <a:solidFill>
                <a:schemeClr val="accent2"/>
              </a:solidFill>
              <a:ln>
                <a:solidFill>
                  <a:schemeClr val="accent2"/>
                </a:solidFill>
              </a:ln>
              <a:effectLst/>
            </c:spPr>
            <c:extLst>
              <c:ext xmlns:c16="http://schemas.microsoft.com/office/drawing/2014/chart" uri="{C3380CC4-5D6E-409C-BE32-E72D297353CC}">
                <c16:uniqueId val="{00000001-0B2D-4D8E-8F33-AF9E3407F137}"/>
              </c:ext>
            </c:extLst>
          </c:dPt>
          <c:dPt>
            <c:idx val="3"/>
            <c:invertIfNegative val="0"/>
            <c:bubble3D val="0"/>
            <c:spPr>
              <a:solidFill>
                <a:schemeClr val="accent2"/>
              </a:solidFill>
              <a:ln>
                <a:solidFill>
                  <a:schemeClr val="accent2"/>
                </a:solidFill>
              </a:ln>
              <a:effectLst/>
            </c:spPr>
            <c:extLst>
              <c:ext xmlns:c16="http://schemas.microsoft.com/office/drawing/2014/chart" uri="{C3380CC4-5D6E-409C-BE32-E72D297353CC}">
                <c16:uniqueId val="{00000003-0B2D-4D8E-8F33-AF9E3407F137}"/>
              </c:ext>
            </c:extLst>
          </c:dPt>
          <c:dPt>
            <c:idx val="5"/>
            <c:invertIfNegative val="0"/>
            <c:bubble3D val="0"/>
            <c:spPr>
              <a:solidFill>
                <a:schemeClr val="accent2"/>
              </a:solidFill>
              <a:ln>
                <a:solidFill>
                  <a:schemeClr val="accent2"/>
                </a:solidFill>
              </a:ln>
              <a:effectLst/>
            </c:spPr>
            <c:extLst>
              <c:ext xmlns:c16="http://schemas.microsoft.com/office/drawing/2014/chart" uri="{C3380CC4-5D6E-409C-BE32-E72D297353CC}">
                <c16:uniqueId val="{00000005-0B2D-4D8E-8F33-AF9E3407F137}"/>
              </c:ext>
            </c:extLst>
          </c:dPt>
          <c:dPt>
            <c:idx val="7"/>
            <c:invertIfNegative val="0"/>
            <c:bubble3D val="0"/>
            <c:spPr>
              <a:solidFill>
                <a:schemeClr val="accent2"/>
              </a:solidFill>
              <a:ln>
                <a:solidFill>
                  <a:schemeClr val="accent2"/>
                </a:solidFill>
              </a:ln>
              <a:effectLst/>
            </c:spPr>
            <c:extLst>
              <c:ext xmlns:c16="http://schemas.microsoft.com/office/drawing/2014/chart" uri="{C3380CC4-5D6E-409C-BE32-E72D297353CC}">
                <c16:uniqueId val="{00000007-0B2D-4D8E-8F33-AF9E3407F137}"/>
              </c:ext>
            </c:extLst>
          </c:dPt>
          <c:dPt>
            <c:idx val="9"/>
            <c:invertIfNegative val="0"/>
            <c:bubble3D val="0"/>
            <c:spPr>
              <a:solidFill>
                <a:schemeClr val="accent2"/>
              </a:solidFill>
              <a:ln>
                <a:solidFill>
                  <a:schemeClr val="accent2"/>
                </a:solidFill>
              </a:ln>
              <a:effectLst/>
            </c:spPr>
            <c:extLst>
              <c:ext xmlns:c16="http://schemas.microsoft.com/office/drawing/2014/chart" uri="{C3380CC4-5D6E-409C-BE32-E72D297353CC}">
                <c16:uniqueId val="{00000009-0B2D-4D8E-8F33-AF9E3407F137}"/>
              </c:ext>
            </c:extLst>
          </c:dPt>
          <c:cat>
            <c:multiLvlStrRef>
              <c:f>Sheet4!$A$4:$A$19</c:f>
              <c:multiLvlStrCache>
                <c:ptCount val="10"/>
                <c:lvl>
                  <c:pt idx="0">
                    <c:v>0</c:v>
                  </c:pt>
                  <c:pt idx="1">
                    <c:v>1</c:v>
                  </c:pt>
                  <c:pt idx="2">
                    <c:v>0</c:v>
                  </c:pt>
                  <c:pt idx="3">
                    <c:v>1</c:v>
                  </c:pt>
                  <c:pt idx="4">
                    <c:v>0</c:v>
                  </c:pt>
                  <c:pt idx="5">
                    <c:v>1</c:v>
                  </c:pt>
                  <c:pt idx="6">
                    <c:v>0</c:v>
                  </c:pt>
                  <c:pt idx="7">
                    <c:v>1</c:v>
                  </c:pt>
                  <c:pt idx="8">
                    <c:v>0</c:v>
                  </c:pt>
                  <c:pt idx="9">
                    <c:v>1</c:v>
                  </c:pt>
                </c:lvl>
                <c:lvl>
                  <c:pt idx="0">
                    <c:v>2013</c:v>
                  </c:pt>
                  <c:pt idx="2">
                    <c:v>2014</c:v>
                  </c:pt>
                  <c:pt idx="4">
                    <c:v>2015</c:v>
                  </c:pt>
                  <c:pt idx="6">
                    <c:v>2016</c:v>
                  </c:pt>
                  <c:pt idx="8">
                    <c:v>2017</c:v>
                  </c:pt>
                </c:lvl>
              </c:multiLvlStrCache>
            </c:multiLvlStrRef>
          </c:cat>
          <c:val>
            <c:numRef>
              <c:f>Sheet4!$B$4:$B$19</c:f>
              <c:numCache>
                <c:formatCode>General</c:formatCode>
                <c:ptCount val="10"/>
                <c:pt idx="0">
                  <c:v>34.954285714285717</c:v>
                </c:pt>
                <c:pt idx="1">
                  <c:v>30.744360902255639</c:v>
                </c:pt>
                <c:pt idx="2">
                  <c:v>36.289948674080392</c:v>
                </c:pt>
                <c:pt idx="3">
                  <c:v>30.440506585612972</c:v>
                </c:pt>
                <c:pt idx="4">
                  <c:v>46.082567922874674</c:v>
                </c:pt>
                <c:pt idx="5">
                  <c:v>42.297083743842371</c:v>
                </c:pt>
                <c:pt idx="6">
                  <c:v>53.406915377616023</c:v>
                </c:pt>
                <c:pt idx="7">
                  <c:v>51.418003784295152</c:v>
                </c:pt>
                <c:pt idx="8">
                  <c:v>52.05022556390977</c:v>
                </c:pt>
                <c:pt idx="9">
                  <c:v>49.770920329670339</c:v>
                </c:pt>
              </c:numCache>
            </c:numRef>
          </c:val>
          <c:extLst>
            <c:ext xmlns:c16="http://schemas.microsoft.com/office/drawing/2014/chart" uri="{C3380CC4-5D6E-409C-BE32-E72D297353CC}">
              <c16:uniqueId val="{0000000A-0B2D-4D8E-8F33-AF9E3407F137}"/>
            </c:ext>
          </c:extLst>
        </c:ser>
        <c:dLbls>
          <c:showLegendKey val="0"/>
          <c:showVal val="0"/>
          <c:showCatName val="0"/>
          <c:showSerName val="0"/>
          <c:showPercent val="0"/>
          <c:showBubbleSize val="0"/>
        </c:dLbls>
        <c:gapWidth val="60"/>
        <c:overlap val="-27"/>
        <c:axId val="80758143"/>
        <c:axId val="80769791"/>
      </c:barChart>
      <c:catAx>
        <c:axId val="80758143"/>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PT"/>
          </a:p>
        </c:txPr>
        <c:crossAx val="80769791"/>
        <c:crosses val="autoZero"/>
        <c:auto val="1"/>
        <c:lblAlgn val="ctr"/>
        <c:lblOffset val="100"/>
        <c:noMultiLvlLbl val="0"/>
      </c:catAx>
      <c:valAx>
        <c:axId val="807697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PT"/>
          </a:p>
        </c:txPr>
        <c:crossAx val="8075814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pt-PT"/>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pivotSource>
    <c:name>[Livro1.xlsx]DES!Tabela dinâmica1</c:name>
    <c:fmtId val="-1"/>
  </c:pivotSource>
  <c:chart>
    <c:autoTitleDeleted val="1"/>
    <c:pivotFmts>
      <c:pivotFmt>
        <c:idx val="0"/>
        <c:marker>
          <c:symbol val="none"/>
        </c:marker>
      </c:pivotFmt>
      <c:pivotFmt>
        <c:idx val="1"/>
        <c:marker>
          <c:symbol val="none"/>
        </c:marker>
      </c:pivotFmt>
      <c:pivotFmt>
        <c:idx val="2"/>
        <c:marker>
          <c:symbol val="none"/>
        </c:marker>
      </c:pivotFmt>
    </c:pivotFmts>
    <c:plotArea>
      <c:layout/>
      <c:barChart>
        <c:barDir val="col"/>
        <c:grouping val="clustered"/>
        <c:varyColors val="0"/>
        <c:ser>
          <c:idx val="0"/>
          <c:order val="0"/>
          <c:tx>
            <c:strRef>
              <c:f>DES!$B$3</c:f>
              <c:strCache>
                <c:ptCount val="1"/>
                <c:pt idx="0">
                  <c:v>Total</c:v>
                </c:pt>
              </c:strCache>
            </c:strRef>
          </c:tx>
          <c:spPr>
            <a:solidFill>
              <a:schemeClr val="accent1"/>
            </a:solidFill>
            <a:ln>
              <a:noFill/>
            </a:ln>
            <a:effectLst/>
          </c:spPr>
          <c:invertIfNegative val="0"/>
          <c:dPt>
            <c:idx val="1"/>
            <c:invertIfNegative val="0"/>
            <c:bubble3D val="0"/>
            <c:spPr>
              <a:solidFill>
                <a:schemeClr val="accent2"/>
              </a:solidFill>
              <a:ln>
                <a:noFill/>
              </a:ln>
              <a:effectLst/>
            </c:spPr>
            <c:extLst>
              <c:ext xmlns:c16="http://schemas.microsoft.com/office/drawing/2014/chart" uri="{C3380CC4-5D6E-409C-BE32-E72D297353CC}">
                <c16:uniqueId val="{00000001-A682-4F44-8F2F-025CFA904315}"/>
              </c:ext>
            </c:extLst>
          </c:dPt>
          <c:dPt>
            <c:idx val="3"/>
            <c:invertIfNegative val="0"/>
            <c:bubble3D val="0"/>
            <c:spPr>
              <a:solidFill>
                <a:schemeClr val="accent2"/>
              </a:solidFill>
              <a:ln>
                <a:noFill/>
              </a:ln>
              <a:effectLst/>
            </c:spPr>
            <c:extLst>
              <c:ext xmlns:c16="http://schemas.microsoft.com/office/drawing/2014/chart" uri="{C3380CC4-5D6E-409C-BE32-E72D297353CC}">
                <c16:uniqueId val="{00000003-A682-4F44-8F2F-025CFA904315}"/>
              </c:ext>
            </c:extLst>
          </c:dPt>
          <c:dPt>
            <c:idx val="5"/>
            <c:invertIfNegative val="0"/>
            <c:bubble3D val="0"/>
            <c:spPr>
              <a:solidFill>
                <a:schemeClr val="accent2"/>
              </a:solidFill>
              <a:ln>
                <a:noFill/>
              </a:ln>
              <a:effectLst/>
            </c:spPr>
            <c:extLst>
              <c:ext xmlns:c16="http://schemas.microsoft.com/office/drawing/2014/chart" uri="{C3380CC4-5D6E-409C-BE32-E72D297353CC}">
                <c16:uniqueId val="{00000005-A682-4F44-8F2F-025CFA904315}"/>
              </c:ext>
            </c:extLst>
          </c:dPt>
          <c:dPt>
            <c:idx val="7"/>
            <c:invertIfNegative val="0"/>
            <c:bubble3D val="0"/>
            <c:spPr>
              <a:solidFill>
                <a:schemeClr val="accent2"/>
              </a:solidFill>
              <a:ln>
                <a:noFill/>
              </a:ln>
              <a:effectLst/>
            </c:spPr>
            <c:extLst>
              <c:ext xmlns:c16="http://schemas.microsoft.com/office/drawing/2014/chart" uri="{C3380CC4-5D6E-409C-BE32-E72D297353CC}">
                <c16:uniqueId val="{00000007-A682-4F44-8F2F-025CFA904315}"/>
              </c:ext>
            </c:extLst>
          </c:dPt>
          <c:dPt>
            <c:idx val="9"/>
            <c:invertIfNegative val="0"/>
            <c:bubble3D val="0"/>
            <c:spPr>
              <a:solidFill>
                <a:schemeClr val="accent2"/>
              </a:solidFill>
              <a:ln>
                <a:noFill/>
              </a:ln>
              <a:effectLst/>
            </c:spPr>
            <c:extLst>
              <c:ext xmlns:c16="http://schemas.microsoft.com/office/drawing/2014/chart" uri="{C3380CC4-5D6E-409C-BE32-E72D297353CC}">
                <c16:uniqueId val="{00000009-A682-4F44-8F2F-025CFA904315}"/>
              </c:ext>
            </c:extLst>
          </c:dPt>
          <c:cat>
            <c:multiLvlStrRef>
              <c:f>DES!$A$4:$A$19</c:f>
              <c:multiLvlStrCache>
                <c:ptCount val="10"/>
                <c:lvl>
                  <c:pt idx="0">
                    <c:v>0</c:v>
                  </c:pt>
                  <c:pt idx="1">
                    <c:v>1</c:v>
                  </c:pt>
                  <c:pt idx="2">
                    <c:v>0</c:v>
                  </c:pt>
                  <c:pt idx="3">
                    <c:v>1</c:v>
                  </c:pt>
                  <c:pt idx="4">
                    <c:v>0</c:v>
                  </c:pt>
                  <c:pt idx="5">
                    <c:v>1</c:v>
                  </c:pt>
                  <c:pt idx="6">
                    <c:v>0</c:v>
                  </c:pt>
                  <c:pt idx="7">
                    <c:v>1</c:v>
                  </c:pt>
                  <c:pt idx="8">
                    <c:v>0</c:v>
                  </c:pt>
                  <c:pt idx="9">
                    <c:v>1</c:v>
                  </c:pt>
                </c:lvl>
                <c:lvl>
                  <c:pt idx="0">
                    <c:v>2013</c:v>
                  </c:pt>
                  <c:pt idx="2">
                    <c:v>2014</c:v>
                  </c:pt>
                  <c:pt idx="4">
                    <c:v>2015</c:v>
                  </c:pt>
                  <c:pt idx="6">
                    <c:v>2016</c:v>
                  </c:pt>
                  <c:pt idx="8">
                    <c:v>2017</c:v>
                  </c:pt>
                </c:lvl>
              </c:multiLvlStrCache>
            </c:multiLvlStrRef>
          </c:cat>
          <c:val>
            <c:numRef>
              <c:f>DES!$B$4:$B$19</c:f>
              <c:numCache>
                <c:formatCode>General</c:formatCode>
                <c:ptCount val="10"/>
                <c:pt idx="0">
                  <c:v>32.052419354838712</c:v>
                </c:pt>
                <c:pt idx="1">
                  <c:v>37.616666666666667</c:v>
                </c:pt>
                <c:pt idx="2">
                  <c:v>32.006770186335388</c:v>
                </c:pt>
                <c:pt idx="3">
                  <c:v>40.99672727272727</c:v>
                </c:pt>
                <c:pt idx="4">
                  <c:v>43.152670807453447</c:v>
                </c:pt>
                <c:pt idx="5">
                  <c:v>49.580181818181813</c:v>
                </c:pt>
                <c:pt idx="6">
                  <c:v>51.871107986501656</c:v>
                </c:pt>
                <c:pt idx="7">
                  <c:v>55.069312169312163</c:v>
                </c:pt>
                <c:pt idx="8">
                  <c:v>49.943457476375727</c:v>
                </c:pt>
                <c:pt idx="9">
                  <c:v>55.69469187675071</c:v>
                </c:pt>
              </c:numCache>
            </c:numRef>
          </c:val>
          <c:extLst>
            <c:ext xmlns:c16="http://schemas.microsoft.com/office/drawing/2014/chart" uri="{C3380CC4-5D6E-409C-BE32-E72D297353CC}">
              <c16:uniqueId val="{0000000A-A682-4F44-8F2F-025CFA904315}"/>
            </c:ext>
          </c:extLst>
        </c:ser>
        <c:dLbls>
          <c:showLegendKey val="0"/>
          <c:showVal val="0"/>
          <c:showCatName val="0"/>
          <c:showSerName val="0"/>
          <c:showPercent val="0"/>
          <c:showBubbleSize val="0"/>
        </c:dLbls>
        <c:gapWidth val="60"/>
        <c:overlap val="-27"/>
        <c:axId val="198471040"/>
        <c:axId val="198489216"/>
      </c:barChart>
      <c:catAx>
        <c:axId val="19847104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PT"/>
          </a:p>
        </c:txPr>
        <c:crossAx val="198489216"/>
        <c:crosses val="autoZero"/>
        <c:auto val="1"/>
        <c:lblAlgn val="ctr"/>
        <c:lblOffset val="100"/>
        <c:noMultiLvlLbl val="0"/>
      </c:catAx>
      <c:valAx>
        <c:axId val="1984892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PT"/>
          </a:p>
        </c:txPr>
        <c:crossAx val="19847104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pt-PT"/>
    </a:p>
  </c:txPr>
  <c:externalData r:id="rId3">
    <c:autoUpdate val="0"/>
  </c:externalData>
  <c:extLst>
    <c:ext xmlns:c14="http://schemas.microsoft.com/office/drawing/2007/8/2/chart" uri="{781A3756-C4B2-4CAC-9D66-4F8BD8637D16}">
      <c14:pivotOptions>
        <c14:dropZoneFilter val="1"/>
        <c14:dropZoneCategories val="1"/>
      </c14:pivotOptions>
    </c:ext>
  </c:extLst>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pivotSource>
    <c:name>[bd_spss (1).xlsx]Sheet1!PivotTable1</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Sheet1!$B$3</c:f>
              <c:strCache>
                <c:ptCount val="1"/>
                <c:pt idx="0">
                  <c:v>Total</c:v>
                </c:pt>
              </c:strCache>
            </c:strRef>
          </c:tx>
          <c:spPr>
            <a:solidFill>
              <a:schemeClr val="accent1"/>
            </a:solidFill>
            <a:ln>
              <a:noFill/>
            </a:ln>
            <a:effectLst/>
          </c:spPr>
          <c:invertIfNegative val="0"/>
          <c:dPt>
            <c:idx val="1"/>
            <c:invertIfNegative val="0"/>
            <c:bubble3D val="0"/>
            <c:spPr>
              <a:solidFill>
                <a:schemeClr val="accent2"/>
              </a:solidFill>
              <a:ln>
                <a:noFill/>
              </a:ln>
              <a:effectLst/>
            </c:spPr>
            <c:extLst>
              <c:ext xmlns:c16="http://schemas.microsoft.com/office/drawing/2014/chart" uri="{C3380CC4-5D6E-409C-BE32-E72D297353CC}">
                <c16:uniqueId val="{00000002-71CF-4F94-AA04-D84F3730657A}"/>
              </c:ext>
            </c:extLst>
          </c:dPt>
          <c:dPt>
            <c:idx val="3"/>
            <c:invertIfNegative val="0"/>
            <c:bubble3D val="0"/>
            <c:spPr>
              <a:solidFill>
                <a:schemeClr val="accent2"/>
              </a:solidFill>
              <a:ln>
                <a:noFill/>
              </a:ln>
              <a:effectLst/>
            </c:spPr>
            <c:extLst>
              <c:ext xmlns:c16="http://schemas.microsoft.com/office/drawing/2014/chart" uri="{C3380CC4-5D6E-409C-BE32-E72D297353CC}">
                <c16:uniqueId val="{00000003-71CF-4F94-AA04-D84F3730657A}"/>
              </c:ext>
            </c:extLst>
          </c:dPt>
          <c:dPt>
            <c:idx val="5"/>
            <c:invertIfNegative val="0"/>
            <c:bubble3D val="0"/>
            <c:spPr>
              <a:solidFill>
                <a:schemeClr val="accent2"/>
              </a:solidFill>
              <a:ln>
                <a:noFill/>
              </a:ln>
              <a:effectLst/>
            </c:spPr>
            <c:extLst>
              <c:ext xmlns:c16="http://schemas.microsoft.com/office/drawing/2014/chart" uri="{C3380CC4-5D6E-409C-BE32-E72D297353CC}">
                <c16:uniqueId val="{00000004-71CF-4F94-AA04-D84F3730657A}"/>
              </c:ext>
            </c:extLst>
          </c:dPt>
          <c:dPt>
            <c:idx val="7"/>
            <c:invertIfNegative val="0"/>
            <c:bubble3D val="0"/>
            <c:spPr>
              <a:solidFill>
                <a:schemeClr val="accent2"/>
              </a:solidFill>
              <a:ln>
                <a:noFill/>
              </a:ln>
              <a:effectLst/>
            </c:spPr>
            <c:extLst>
              <c:ext xmlns:c16="http://schemas.microsoft.com/office/drawing/2014/chart" uri="{C3380CC4-5D6E-409C-BE32-E72D297353CC}">
                <c16:uniqueId val="{00000005-71CF-4F94-AA04-D84F3730657A}"/>
              </c:ext>
            </c:extLst>
          </c:dPt>
          <c:dPt>
            <c:idx val="9"/>
            <c:invertIfNegative val="0"/>
            <c:bubble3D val="0"/>
            <c:spPr>
              <a:solidFill>
                <a:schemeClr val="accent2"/>
              </a:solidFill>
              <a:ln>
                <a:noFill/>
              </a:ln>
              <a:effectLst/>
            </c:spPr>
            <c:extLst>
              <c:ext xmlns:c16="http://schemas.microsoft.com/office/drawing/2014/chart" uri="{C3380CC4-5D6E-409C-BE32-E72D297353CC}">
                <c16:uniqueId val="{00000006-71CF-4F94-AA04-D84F3730657A}"/>
              </c:ext>
            </c:extLst>
          </c:dPt>
          <c:cat>
            <c:multiLvlStrRef>
              <c:f>Sheet1!$A$4:$A$19</c:f>
              <c:multiLvlStrCache>
                <c:ptCount val="10"/>
                <c:lvl>
                  <c:pt idx="0">
                    <c:v>0</c:v>
                  </c:pt>
                  <c:pt idx="1">
                    <c:v>1</c:v>
                  </c:pt>
                  <c:pt idx="2">
                    <c:v>0</c:v>
                  </c:pt>
                  <c:pt idx="3">
                    <c:v>1</c:v>
                  </c:pt>
                  <c:pt idx="4">
                    <c:v>0</c:v>
                  </c:pt>
                  <c:pt idx="5">
                    <c:v>1</c:v>
                  </c:pt>
                  <c:pt idx="6">
                    <c:v>0</c:v>
                  </c:pt>
                  <c:pt idx="7">
                    <c:v>1</c:v>
                  </c:pt>
                  <c:pt idx="8">
                    <c:v>0</c:v>
                  </c:pt>
                  <c:pt idx="9">
                    <c:v>1</c:v>
                  </c:pt>
                </c:lvl>
                <c:lvl>
                  <c:pt idx="0">
                    <c:v>2013</c:v>
                  </c:pt>
                  <c:pt idx="2">
                    <c:v>2014</c:v>
                  </c:pt>
                  <c:pt idx="4">
                    <c:v>2015</c:v>
                  </c:pt>
                  <c:pt idx="6">
                    <c:v>2016</c:v>
                  </c:pt>
                  <c:pt idx="8">
                    <c:v>2017</c:v>
                  </c:pt>
                </c:lvl>
              </c:multiLvlStrCache>
            </c:multiLvlStrRef>
          </c:cat>
          <c:val>
            <c:numRef>
              <c:f>Sheet1!$B$4:$B$19</c:f>
              <c:numCache>
                <c:formatCode>General</c:formatCode>
                <c:ptCount val="10"/>
                <c:pt idx="0">
                  <c:v>32.193798449612402</c:v>
                </c:pt>
                <c:pt idx="1">
                  <c:v>38</c:v>
                </c:pt>
                <c:pt idx="2">
                  <c:v>32.016896456256909</c:v>
                </c:pt>
                <c:pt idx="3">
                  <c:v>41.843471428571441</c:v>
                </c:pt>
                <c:pt idx="4">
                  <c:v>43.442931893687728</c:v>
                </c:pt>
                <c:pt idx="5">
                  <c:v>48.725185714285715</c:v>
                </c:pt>
                <c:pt idx="6">
                  <c:v>52.461769102990012</c:v>
                </c:pt>
                <c:pt idx="7">
                  <c:v>52.277357142857134</c:v>
                </c:pt>
                <c:pt idx="8">
                  <c:v>51.18177521008402</c:v>
                </c:pt>
                <c:pt idx="9">
                  <c:v>48.734861111111123</c:v>
                </c:pt>
              </c:numCache>
            </c:numRef>
          </c:val>
          <c:extLst>
            <c:ext xmlns:c16="http://schemas.microsoft.com/office/drawing/2014/chart" uri="{C3380CC4-5D6E-409C-BE32-E72D297353CC}">
              <c16:uniqueId val="{00000000-71CF-4F94-AA04-D84F3730657A}"/>
            </c:ext>
          </c:extLst>
        </c:ser>
        <c:dLbls>
          <c:showLegendKey val="0"/>
          <c:showVal val="0"/>
          <c:showCatName val="0"/>
          <c:showSerName val="0"/>
          <c:showPercent val="0"/>
          <c:showBubbleSize val="0"/>
        </c:dLbls>
        <c:gapWidth val="60"/>
        <c:overlap val="-27"/>
        <c:axId val="1013678512"/>
        <c:axId val="1150775904"/>
      </c:barChart>
      <c:catAx>
        <c:axId val="1013678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PT"/>
          </a:p>
        </c:txPr>
        <c:crossAx val="1150775904"/>
        <c:crosses val="autoZero"/>
        <c:auto val="1"/>
        <c:lblAlgn val="ctr"/>
        <c:lblOffset val="100"/>
        <c:noMultiLvlLbl val="0"/>
      </c:catAx>
      <c:valAx>
        <c:axId val="11507759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PT"/>
          </a:p>
        </c:txPr>
        <c:crossAx val="1013678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pt-PT"/>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B18A64-6BE0-4F83-8EC0-16702DB414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27742</Words>
  <Characters>149811</Characters>
  <Application>Microsoft Office Word</Application>
  <DocSecurity>0</DocSecurity>
  <Lines>1248</Lines>
  <Paragraphs>354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177199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Administrador</dc:creator>
  <cp:lastModifiedBy>Mariana Escaninha</cp:lastModifiedBy>
  <cp:revision>4</cp:revision>
  <cp:lastPrinted>2021-03-14T14:41:00Z</cp:lastPrinted>
  <dcterms:created xsi:type="dcterms:W3CDTF">2021-03-14T14:41:00Z</dcterms:created>
  <dcterms:modified xsi:type="dcterms:W3CDTF">2021-03-14T14:42:00Z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795924e2-68a1-3900-8f77-57efb3c08c77</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