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7432" w:rsidRPr="005B19AB" w:rsidRDefault="00CD7432" w:rsidP="00CD7432">
      <w:pPr>
        <w:jc w:val="center"/>
        <w:rPr>
          <w:rFonts w:ascii="Arial" w:hAnsi="Arial" w:cs="Arial"/>
          <w:sz w:val="40"/>
          <w:szCs w:val="40"/>
        </w:rPr>
      </w:pPr>
      <w:r w:rsidRPr="005B19AB">
        <w:rPr>
          <w:rFonts w:ascii="Arial" w:hAnsi="Arial" w:cs="Arial"/>
          <w:sz w:val="40"/>
          <w:szCs w:val="40"/>
        </w:rPr>
        <w:t>INSTITUTO POLITÉCNICO DE LISBOA</w:t>
      </w:r>
    </w:p>
    <w:p w:rsidR="00CD7432" w:rsidRDefault="00CD7432" w:rsidP="00CD7432">
      <w:pPr>
        <w:jc w:val="center"/>
        <w:rPr>
          <w:rFonts w:ascii="Arial" w:hAnsi="Arial" w:cs="Arial"/>
          <w:sz w:val="40"/>
          <w:szCs w:val="40"/>
        </w:rPr>
      </w:pPr>
      <w:r w:rsidRPr="005B19AB">
        <w:rPr>
          <w:rFonts w:ascii="Arial" w:hAnsi="Arial" w:cs="Arial"/>
          <w:sz w:val="40"/>
          <w:szCs w:val="40"/>
        </w:rPr>
        <w:t>INSTITUTO SUPERIOR DE CONTABILIDADE E ADMINISTRAÇÃO DE LISBOA</w:t>
      </w:r>
    </w:p>
    <w:p w:rsidR="005B19AB" w:rsidRDefault="005B19AB" w:rsidP="005B19AB">
      <w:pPr>
        <w:jc w:val="center"/>
        <w:rPr>
          <w:rFonts w:ascii="Arial" w:hAnsi="Arial" w:cs="Arial"/>
          <w:sz w:val="40"/>
          <w:szCs w:val="40"/>
        </w:rPr>
      </w:pPr>
    </w:p>
    <w:p w:rsidR="0054106D" w:rsidRDefault="0054106D" w:rsidP="005B19AB">
      <w:pPr>
        <w:jc w:val="center"/>
        <w:rPr>
          <w:rFonts w:ascii="Arial" w:hAnsi="Arial" w:cs="Arial"/>
          <w:sz w:val="40"/>
          <w:szCs w:val="40"/>
        </w:rPr>
      </w:pPr>
      <w:r>
        <w:rPr>
          <w:rFonts w:ascii="Arial" w:hAnsi="Arial" w:cs="Arial"/>
          <w:noProof/>
          <w:sz w:val="40"/>
          <w:szCs w:val="40"/>
        </w:rPr>
        <w:drawing>
          <wp:inline distT="0" distB="0" distL="0" distR="0" wp14:anchorId="250FDC99">
            <wp:extent cx="1572895" cy="1420495"/>
            <wp:effectExtent l="0" t="0" r="8255" b="825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72895" cy="1420495"/>
                    </a:xfrm>
                    <a:prstGeom prst="rect">
                      <a:avLst/>
                    </a:prstGeom>
                    <a:noFill/>
                  </pic:spPr>
                </pic:pic>
              </a:graphicData>
            </a:graphic>
          </wp:inline>
        </w:drawing>
      </w:r>
    </w:p>
    <w:p w:rsidR="005B19AB" w:rsidRDefault="005B19AB" w:rsidP="005B19AB">
      <w:pPr>
        <w:jc w:val="center"/>
        <w:rPr>
          <w:rFonts w:ascii="Arial" w:hAnsi="Arial" w:cs="Arial"/>
          <w:sz w:val="40"/>
          <w:szCs w:val="40"/>
        </w:rPr>
      </w:pPr>
    </w:p>
    <w:p w:rsidR="0054106D" w:rsidRDefault="0054106D" w:rsidP="005B19AB">
      <w:pPr>
        <w:jc w:val="center"/>
        <w:rPr>
          <w:rFonts w:ascii="Arial" w:hAnsi="Arial" w:cs="Arial"/>
          <w:sz w:val="40"/>
          <w:szCs w:val="40"/>
        </w:rPr>
      </w:pPr>
    </w:p>
    <w:p w:rsidR="005B19AB" w:rsidRDefault="00F647B4" w:rsidP="005B19AB">
      <w:pPr>
        <w:jc w:val="center"/>
        <w:rPr>
          <w:rFonts w:ascii="Arial" w:hAnsi="Arial" w:cs="Arial"/>
          <w:sz w:val="32"/>
          <w:szCs w:val="32"/>
        </w:rPr>
      </w:pPr>
      <w:r>
        <w:rPr>
          <w:rFonts w:ascii="Arial" w:hAnsi="Arial" w:cs="Arial"/>
          <w:sz w:val="40"/>
          <w:szCs w:val="40"/>
        </w:rPr>
        <w:t>As Garantias no Processo de Execução Fiscal</w:t>
      </w:r>
    </w:p>
    <w:p w:rsidR="005B19AB" w:rsidRDefault="005B19AB" w:rsidP="005B19AB">
      <w:pPr>
        <w:jc w:val="center"/>
        <w:rPr>
          <w:rFonts w:ascii="Arial" w:hAnsi="Arial" w:cs="Arial"/>
          <w:sz w:val="32"/>
          <w:szCs w:val="32"/>
        </w:rPr>
      </w:pPr>
    </w:p>
    <w:p w:rsidR="005B19AB" w:rsidRDefault="005B19AB" w:rsidP="005B19AB">
      <w:pPr>
        <w:jc w:val="center"/>
        <w:rPr>
          <w:rFonts w:ascii="Arial" w:hAnsi="Arial" w:cs="Arial"/>
          <w:sz w:val="32"/>
          <w:szCs w:val="32"/>
        </w:rPr>
      </w:pPr>
    </w:p>
    <w:p w:rsidR="005B19AB" w:rsidRDefault="005B19AB" w:rsidP="00A76B38">
      <w:pPr>
        <w:rPr>
          <w:rFonts w:ascii="Arial" w:hAnsi="Arial" w:cs="Arial"/>
          <w:sz w:val="32"/>
          <w:szCs w:val="32"/>
        </w:rPr>
      </w:pPr>
    </w:p>
    <w:p w:rsidR="005B19AB" w:rsidRDefault="005B19AB" w:rsidP="005B19AB">
      <w:pPr>
        <w:jc w:val="center"/>
        <w:rPr>
          <w:rFonts w:ascii="Arial" w:hAnsi="Arial" w:cs="Arial"/>
          <w:sz w:val="32"/>
          <w:szCs w:val="32"/>
        </w:rPr>
      </w:pPr>
      <w:r>
        <w:rPr>
          <w:rFonts w:ascii="Arial" w:hAnsi="Arial" w:cs="Arial"/>
          <w:sz w:val="32"/>
          <w:szCs w:val="32"/>
        </w:rPr>
        <w:t xml:space="preserve">João </w:t>
      </w:r>
      <w:r w:rsidR="00CD7432">
        <w:rPr>
          <w:rFonts w:ascii="Arial" w:hAnsi="Arial" w:cs="Arial"/>
          <w:sz w:val="32"/>
          <w:szCs w:val="32"/>
        </w:rPr>
        <w:t xml:space="preserve">Luís Marques de </w:t>
      </w:r>
      <w:r>
        <w:rPr>
          <w:rFonts w:ascii="Arial" w:hAnsi="Arial" w:cs="Arial"/>
          <w:sz w:val="32"/>
          <w:szCs w:val="32"/>
        </w:rPr>
        <w:t>Morais</w:t>
      </w:r>
    </w:p>
    <w:p w:rsidR="005B19AB" w:rsidRDefault="005B19AB" w:rsidP="005B19AB">
      <w:pPr>
        <w:jc w:val="center"/>
        <w:rPr>
          <w:rFonts w:ascii="Arial" w:hAnsi="Arial" w:cs="Arial"/>
          <w:sz w:val="32"/>
          <w:szCs w:val="32"/>
        </w:rPr>
      </w:pPr>
    </w:p>
    <w:p w:rsidR="005B19AB" w:rsidRDefault="005B19AB" w:rsidP="005B19AB">
      <w:pPr>
        <w:jc w:val="center"/>
        <w:rPr>
          <w:rFonts w:ascii="Arial" w:hAnsi="Arial" w:cs="Arial"/>
          <w:sz w:val="32"/>
          <w:szCs w:val="32"/>
        </w:rPr>
      </w:pPr>
    </w:p>
    <w:p w:rsidR="005B19AB" w:rsidRDefault="005B19AB" w:rsidP="005B19AB">
      <w:pPr>
        <w:jc w:val="center"/>
        <w:rPr>
          <w:rFonts w:ascii="Arial" w:hAnsi="Arial" w:cs="Arial"/>
          <w:sz w:val="32"/>
          <w:szCs w:val="32"/>
        </w:rPr>
      </w:pPr>
    </w:p>
    <w:p w:rsidR="005B19AB" w:rsidRDefault="005B19AB" w:rsidP="005B19AB">
      <w:pPr>
        <w:jc w:val="center"/>
        <w:rPr>
          <w:rFonts w:ascii="Arial" w:hAnsi="Arial" w:cs="Arial"/>
          <w:sz w:val="32"/>
          <w:szCs w:val="32"/>
        </w:rPr>
      </w:pPr>
      <w:r>
        <w:rPr>
          <w:rFonts w:ascii="Arial" w:hAnsi="Arial" w:cs="Arial"/>
          <w:sz w:val="32"/>
          <w:szCs w:val="32"/>
        </w:rPr>
        <w:t xml:space="preserve">Lisboa, </w:t>
      </w:r>
      <w:r w:rsidR="00CD7432">
        <w:rPr>
          <w:rFonts w:ascii="Arial" w:hAnsi="Arial" w:cs="Arial"/>
          <w:sz w:val="32"/>
          <w:szCs w:val="32"/>
        </w:rPr>
        <w:t>Novem</w:t>
      </w:r>
      <w:r w:rsidR="00F647B4">
        <w:rPr>
          <w:rFonts w:ascii="Arial" w:hAnsi="Arial" w:cs="Arial"/>
          <w:sz w:val="32"/>
          <w:szCs w:val="32"/>
        </w:rPr>
        <w:t>bro de 2017</w:t>
      </w: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Pr="00B6501B" w:rsidRDefault="00B6501B" w:rsidP="00B6501B">
      <w:pPr>
        <w:jc w:val="center"/>
        <w:rPr>
          <w:rFonts w:ascii="Arial" w:hAnsi="Arial" w:cs="Arial"/>
          <w:sz w:val="40"/>
          <w:szCs w:val="40"/>
        </w:rPr>
      </w:pPr>
      <w:r w:rsidRPr="00B6501B">
        <w:rPr>
          <w:rFonts w:ascii="Arial" w:hAnsi="Arial" w:cs="Arial"/>
          <w:sz w:val="40"/>
          <w:szCs w:val="40"/>
        </w:rPr>
        <w:lastRenderedPageBreak/>
        <w:t>INSTITUTO POLITÉCNICO DE LISBOA</w:t>
      </w:r>
    </w:p>
    <w:p w:rsidR="00B6501B" w:rsidRPr="00B6501B" w:rsidRDefault="00B6501B" w:rsidP="00B6501B">
      <w:pPr>
        <w:jc w:val="center"/>
        <w:rPr>
          <w:rFonts w:ascii="Arial" w:hAnsi="Arial" w:cs="Arial"/>
          <w:sz w:val="40"/>
          <w:szCs w:val="40"/>
        </w:rPr>
      </w:pPr>
      <w:r w:rsidRPr="00B6501B">
        <w:rPr>
          <w:rFonts w:ascii="Arial" w:hAnsi="Arial" w:cs="Arial"/>
          <w:sz w:val="40"/>
          <w:szCs w:val="40"/>
        </w:rPr>
        <w:t>INSTITUTO SUPERIOR DE CONTABILIDADE E ADMINISTRAÇÃO DE LISBOA</w:t>
      </w:r>
    </w:p>
    <w:p w:rsidR="00B6501B" w:rsidRPr="00B6501B" w:rsidRDefault="00B6501B" w:rsidP="00B6501B">
      <w:pPr>
        <w:jc w:val="center"/>
        <w:rPr>
          <w:rFonts w:ascii="Arial" w:hAnsi="Arial" w:cs="Arial"/>
          <w:sz w:val="40"/>
          <w:szCs w:val="40"/>
        </w:rPr>
      </w:pPr>
    </w:p>
    <w:p w:rsidR="00B6501B" w:rsidRPr="00B6501B" w:rsidRDefault="00B6501B" w:rsidP="00B6501B">
      <w:pPr>
        <w:jc w:val="center"/>
        <w:rPr>
          <w:rFonts w:ascii="Arial" w:hAnsi="Arial" w:cs="Arial"/>
          <w:sz w:val="40"/>
          <w:szCs w:val="40"/>
        </w:rPr>
      </w:pPr>
    </w:p>
    <w:p w:rsidR="00B6501B" w:rsidRPr="00B6501B" w:rsidRDefault="00B6501B" w:rsidP="00B6501B">
      <w:pPr>
        <w:jc w:val="center"/>
        <w:rPr>
          <w:rFonts w:ascii="Arial" w:hAnsi="Arial" w:cs="Arial"/>
          <w:sz w:val="40"/>
          <w:szCs w:val="40"/>
        </w:rPr>
      </w:pPr>
    </w:p>
    <w:p w:rsidR="00B6501B" w:rsidRPr="00B6501B" w:rsidRDefault="00B6501B" w:rsidP="00B6501B">
      <w:pPr>
        <w:jc w:val="center"/>
        <w:rPr>
          <w:rFonts w:ascii="Arial" w:hAnsi="Arial" w:cs="Arial"/>
          <w:sz w:val="40"/>
          <w:szCs w:val="40"/>
        </w:rPr>
      </w:pPr>
    </w:p>
    <w:p w:rsidR="00B6501B" w:rsidRPr="00B6501B" w:rsidRDefault="00B6501B" w:rsidP="00B6501B">
      <w:pPr>
        <w:jc w:val="center"/>
        <w:rPr>
          <w:rFonts w:ascii="Arial" w:hAnsi="Arial" w:cs="Arial"/>
          <w:sz w:val="40"/>
          <w:szCs w:val="40"/>
        </w:rPr>
      </w:pPr>
    </w:p>
    <w:p w:rsidR="00B6501B" w:rsidRPr="00B6501B" w:rsidRDefault="00B6501B" w:rsidP="00B6501B">
      <w:pPr>
        <w:jc w:val="center"/>
        <w:rPr>
          <w:rFonts w:ascii="Arial" w:hAnsi="Arial" w:cs="Arial"/>
          <w:sz w:val="32"/>
          <w:szCs w:val="32"/>
        </w:rPr>
      </w:pPr>
      <w:r w:rsidRPr="00B6501B">
        <w:rPr>
          <w:rFonts w:ascii="Arial" w:hAnsi="Arial" w:cs="Arial"/>
          <w:sz w:val="40"/>
          <w:szCs w:val="40"/>
        </w:rPr>
        <w:t>As Garantias no Processo de Execução Fiscal</w:t>
      </w:r>
    </w:p>
    <w:p w:rsidR="00B6501B" w:rsidRPr="00B6501B" w:rsidRDefault="00B6501B" w:rsidP="00B6501B">
      <w:pPr>
        <w:jc w:val="center"/>
        <w:rPr>
          <w:rFonts w:ascii="Arial" w:hAnsi="Arial" w:cs="Arial"/>
          <w:sz w:val="32"/>
          <w:szCs w:val="32"/>
        </w:rPr>
      </w:pPr>
    </w:p>
    <w:p w:rsidR="00B6501B" w:rsidRPr="00B6501B" w:rsidRDefault="00B6501B" w:rsidP="00B6501B">
      <w:pPr>
        <w:jc w:val="center"/>
        <w:rPr>
          <w:rFonts w:ascii="Arial" w:hAnsi="Arial" w:cs="Arial"/>
          <w:sz w:val="32"/>
          <w:szCs w:val="32"/>
        </w:rPr>
      </w:pPr>
    </w:p>
    <w:p w:rsidR="00B6501B" w:rsidRPr="00B6501B" w:rsidRDefault="00B6501B" w:rsidP="00B6501B">
      <w:pPr>
        <w:rPr>
          <w:rFonts w:ascii="Arial" w:hAnsi="Arial" w:cs="Arial"/>
          <w:sz w:val="32"/>
          <w:szCs w:val="32"/>
        </w:rPr>
      </w:pPr>
    </w:p>
    <w:p w:rsidR="00B6501B" w:rsidRPr="00B6501B" w:rsidRDefault="00B6501B" w:rsidP="00B6501B">
      <w:pPr>
        <w:jc w:val="center"/>
        <w:rPr>
          <w:rFonts w:ascii="Arial" w:hAnsi="Arial" w:cs="Arial"/>
          <w:sz w:val="32"/>
          <w:szCs w:val="32"/>
        </w:rPr>
      </w:pPr>
      <w:r w:rsidRPr="00B6501B">
        <w:rPr>
          <w:rFonts w:ascii="Arial" w:hAnsi="Arial" w:cs="Arial"/>
          <w:sz w:val="32"/>
          <w:szCs w:val="32"/>
        </w:rPr>
        <w:t>João Luís Marques de Morais</w:t>
      </w:r>
    </w:p>
    <w:p w:rsidR="00B6501B" w:rsidRPr="00B6501B" w:rsidRDefault="00B6501B" w:rsidP="00B6501B">
      <w:pPr>
        <w:jc w:val="center"/>
        <w:rPr>
          <w:rFonts w:ascii="Arial" w:hAnsi="Arial" w:cs="Arial"/>
          <w:sz w:val="32"/>
          <w:szCs w:val="32"/>
        </w:rPr>
      </w:pPr>
    </w:p>
    <w:p w:rsidR="00B6501B" w:rsidRPr="00B6501B" w:rsidRDefault="00B6501B" w:rsidP="00B6501B">
      <w:pPr>
        <w:jc w:val="center"/>
        <w:rPr>
          <w:rFonts w:ascii="Arial" w:hAnsi="Arial" w:cs="Arial"/>
          <w:sz w:val="32"/>
          <w:szCs w:val="32"/>
        </w:rPr>
      </w:pPr>
    </w:p>
    <w:p w:rsidR="00B6501B" w:rsidRPr="00B6501B" w:rsidRDefault="00B6501B" w:rsidP="00B6501B">
      <w:pPr>
        <w:jc w:val="center"/>
        <w:rPr>
          <w:rFonts w:ascii="Arial" w:hAnsi="Arial" w:cs="Arial"/>
          <w:sz w:val="32"/>
          <w:szCs w:val="32"/>
        </w:rPr>
      </w:pPr>
    </w:p>
    <w:p w:rsidR="00B6501B" w:rsidRPr="00B6501B" w:rsidRDefault="00B6501B" w:rsidP="00B6501B">
      <w:pPr>
        <w:jc w:val="center"/>
        <w:rPr>
          <w:rFonts w:ascii="Arial" w:hAnsi="Arial" w:cs="Arial"/>
          <w:sz w:val="32"/>
          <w:szCs w:val="32"/>
        </w:rPr>
      </w:pPr>
      <w:r w:rsidRPr="00B6501B">
        <w:rPr>
          <w:rFonts w:ascii="Arial" w:hAnsi="Arial" w:cs="Arial"/>
          <w:sz w:val="32"/>
          <w:szCs w:val="32"/>
        </w:rPr>
        <w:t>Lisboa, Novembro de 2017</w:t>
      </w:r>
    </w:p>
    <w:p w:rsidR="00B6501B" w:rsidRPr="00B6501B" w:rsidRDefault="00B6501B" w:rsidP="00B6501B">
      <w:pPr>
        <w:jc w:val="both"/>
        <w:rPr>
          <w:rFonts w:ascii="Arial" w:hAnsi="Arial" w:cs="Arial"/>
        </w:rPr>
      </w:pPr>
      <w:r w:rsidRPr="00B6501B">
        <w:rPr>
          <w:rFonts w:ascii="Arial" w:hAnsi="Arial" w:cs="Arial"/>
        </w:rPr>
        <w:t xml:space="preserve">Dissertação submetida ao Instituto Superior de Contabilidade e Administração de Lisboa para cumprimento dos requisitos necessários à obtenção do grau de Mestre em Fiscalidade, realizada sob a orientação científica, </w:t>
      </w:r>
      <w:r w:rsidR="00E5289B">
        <w:rPr>
          <w:rFonts w:ascii="Arial" w:hAnsi="Arial" w:cs="Arial"/>
        </w:rPr>
        <w:t>Professor Especialista</w:t>
      </w:r>
      <w:r w:rsidRPr="00B6501B">
        <w:rPr>
          <w:rFonts w:ascii="Arial" w:hAnsi="Arial" w:cs="Arial"/>
        </w:rPr>
        <w:t xml:space="preserve"> Jesuíno Alcântara Martins, Especialista</w:t>
      </w:r>
      <w:r w:rsidR="00E5289B">
        <w:rPr>
          <w:rFonts w:ascii="Arial" w:hAnsi="Arial" w:cs="Arial"/>
        </w:rPr>
        <w:t>, Direito – Direito Fiscal</w:t>
      </w:r>
      <w:r w:rsidRPr="00B6501B">
        <w:rPr>
          <w:rFonts w:ascii="Arial" w:hAnsi="Arial" w:cs="Arial"/>
        </w:rPr>
        <w:t>.</w:t>
      </w: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5B19AB">
      <w:pPr>
        <w:jc w:val="center"/>
        <w:rPr>
          <w:rFonts w:ascii="Arial" w:hAnsi="Arial" w:cs="Arial"/>
          <w:sz w:val="32"/>
          <w:szCs w:val="32"/>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Default="00B6501B" w:rsidP="00B6501B">
      <w:pPr>
        <w:jc w:val="right"/>
        <w:rPr>
          <w:rFonts w:ascii="Arial" w:hAnsi="Arial" w:cs="Arial"/>
        </w:rPr>
      </w:pPr>
    </w:p>
    <w:p w:rsidR="00B6501B" w:rsidRPr="00B6501B" w:rsidRDefault="00B6501B" w:rsidP="00B6501B">
      <w:pPr>
        <w:jc w:val="right"/>
        <w:rPr>
          <w:rFonts w:ascii="Arial" w:hAnsi="Arial" w:cs="Arial"/>
        </w:rPr>
      </w:pPr>
      <w:r w:rsidRPr="00B6501B">
        <w:rPr>
          <w:rFonts w:ascii="Arial" w:hAnsi="Arial" w:cs="Arial"/>
        </w:rPr>
        <w:t xml:space="preserve">Ao Lourenço e à Daniela </w:t>
      </w:r>
    </w:p>
    <w:p w:rsidR="00B6501B" w:rsidRPr="00B6501B" w:rsidRDefault="00B6501B" w:rsidP="00B6501B">
      <w:pPr>
        <w:jc w:val="right"/>
        <w:rPr>
          <w:rFonts w:ascii="Arial" w:hAnsi="Arial" w:cs="Arial"/>
        </w:rPr>
      </w:pPr>
      <w:r w:rsidRPr="00B6501B">
        <w:rPr>
          <w:rFonts w:ascii="Arial" w:hAnsi="Arial" w:cs="Arial"/>
        </w:rPr>
        <w:t xml:space="preserve">pelas viagens forçadas  </w:t>
      </w:r>
    </w:p>
    <w:p w:rsidR="00B6501B" w:rsidRPr="00B6501B" w:rsidRDefault="00B6501B" w:rsidP="00B6501B">
      <w:pPr>
        <w:jc w:val="right"/>
        <w:rPr>
          <w:rFonts w:ascii="Arial" w:hAnsi="Arial" w:cs="Arial"/>
        </w:rPr>
      </w:pPr>
      <w:r w:rsidRPr="00B6501B">
        <w:rPr>
          <w:rFonts w:ascii="Arial" w:hAnsi="Arial" w:cs="Arial"/>
        </w:rPr>
        <w:t>e pelo incentivo.</w:t>
      </w:r>
    </w:p>
    <w:p w:rsidR="00B6501B" w:rsidRDefault="00B6501B" w:rsidP="005B19AB">
      <w:pPr>
        <w:jc w:val="center"/>
        <w:rPr>
          <w:rFonts w:ascii="Arial" w:hAnsi="Arial" w:cs="Arial"/>
          <w:sz w:val="32"/>
          <w:szCs w:val="32"/>
        </w:rPr>
      </w:pPr>
    </w:p>
    <w:p w:rsidR="000E44B1" w:rsidRDefault="000E44B1" w:rsidP="00037EE4">
      <w:pPr>
        <w:spacing w:before="120" w:after="120" w:line="360" w:lineRule="auto"/>
        <w:jc w:val="center"/>
        <w:rPr>
          <w:rFonts w:ascii="Arial" w:eastAsia="Calibri" w:hAnsi="Arial" w:cs="Arial"/>
          <w:b/>
          <w:sz w:val="28"/>
          <w:szCs w:val="28"/>
        </w:rPr>
      </w:pPr>
    </w:p>
    <w:p w:rsidR="00037EE4" w:rsidRPr="00037EE4" w:rsidRDefault="00037EE4" w:rsidP="00037EE4">
      <w:pPr>
        <w:spacing w:before="120" w:after="120" w:line="360" w:lineRule="auto"/>
        <w:jc w:val="center"/>
        <w:rPr>
          <w:rFonts w:ascii="Arial" w:eastAsia="Calibri" w:hAnsi="Arial" w:cs="Arial"/>
          <w:b/>
          <w:sz w:val="28"/>
          <w:szCs w:val="28"/>
        </w:rPr>
      </w:pPr>
      <w:r w:rsidRPr="00037EE4">
        <w:rPr>
          <w:rFonts w:ascii="Arial" w:eastAsia="Calibri" w:hAnsi="Arial" w:cs="Arial"/>
          <w:b/>
          <w:sz w:val="28"/>
          <w:szCs w:val="28"/>
        </w:rPr>
        <w:lastRenderedPageBreak/>
        <w:t>Agradecimentos</w:t>
      </w:r>
    </w:p>
    <w:p w:rsidR="00037EE4" w:rsidRPr="00037EE4" w:rsidRDefault="00037EE4" w:rsidP="00037EE4">
      <w:pPr>
        <w:spacing w:before="120" w:after="120" w:line="360" w:lineRule="auto"/>
        <w:jc w:val="center"/>
        <w:rPr>
          <w:rFonts w:ascii="Arial" w:eastAsia="Calibri" w:hAnsi="Arial" w:cs="Arial"/>
          <w:b/>
          <w:sz w:val="28"/>
          <w:szCs w:val="28"/>
        </w:rPr>
      </w:pPr>
    </w:p>
    <w:p w:rsidR="00037EE4" w:rsidRPr="00037EE4" w:rsidRDefault="00037EE4" w:rsidP="00037EE4">
      <w:pPr>
        <w:spacing w:before="120" w:after="120" w:line="360" w:lineRule="auto"/>
        <w:jc w:val="center"/>
        <w:rPr>
          <w:rFonts w:ascii="Arial" w:eastAsia="Calibri" w:hAnsi="Arial" w:cs="Arial"/>
          <w:b/>
          <w:sz w:val="28"/>
          <w:szCs w:val="28"/>
        </w:rPr>
      </w:pPr>
    </w:p>
    <w:p w:rsidR="00037EE4" w:rsidRPr="00037EE4" w:rsidRDefault="00037EE4" w:rsidP="00037EE4">
      <w:pPr>
        <w:spacing w:before="120" w:after="120" w:line="360" w:lineRule="auto"/>
        <w:jc w:val="both"/>
        <w:rPr>
          <w:rFonts w:ascii="Arial" w:eastAsia="Calibri" w:hAnsi="Arial" w:cs="Arial"/>
        </w:rPr>
      </w:pPr>
      <w:r w:rsidRPr="00037EE4">
        <w:rPr>
          <w:rFonts w:ascii="Arial" w:eastAsia="Calibri" w:hAnsi="Arial" w:cs="Arial"/>
        </w:rPr>
        <w:t>Ao meu Professor e Orientador Jesuíno Alcântara Martins, pelo empenho e dedicação;</w:t>
      </w:r>
    </w:p>
    <w:p w:rsidR="00037EE4" w:rsidRPr="00037EE4" w:rsidRDefault="00037EE4" w:rsidP="00037EE4">
      <w:pPr>
        <w:spacing w:before="120" w:after="120" w:line="360" w:lineRule="auto"/>
        <w:jc w:val="both"/>
        <w:rPr>
          <w:rFonts w:ascii="Arial" w:eastAsia="Calibri" w:hAnsi="Arial" w:cs="Arial"/>
        </w:rPr>
      </w:pPr>
      <w:r w:rsidRPr="00037EE4">
        <w:rPr>
          <w:rFonts w:ascii="Arial" w:eastAsia="Calibri" w:hAnsi="Arial" w:cs="Arial"/>
        </w:rPr>
        <w:t xml:space="preserve">Aos meus pais; </w:t>
      </w:r>
    </w:p>
    <w:p w:rsidR="00037EE4" w:rsidRPr="00037EE4" w:rsidRDefault="00037EE4" w:rsidP="00037EE4">
      <w:pPr>
        <w:spacing w:before="120" w:after="120" w:line="360" w:lineRule="auto"/>
        <w:jc w:val="both"/>
        <w:rPr>
          <w:rFonts w:ascii="Arial" w:eastAsia="Calibri" w:hAnsi="Arial" w:cs="Arial"/>
        </w:rPr>
      </w:pPr>
      <w:r w:rsidRPr="00037EE4">
        <w:rPr>
          <w:rFonts w:ascii="Arial" w:eastAsia="Calibri" w:hAnsi="Arial" w:cs="Arial"/>
        </w:rPr>
        <w:t>À Daniela pelo incentivo e por ter tomado conta do Lourenço;</w:t>
      </w:r>
    </w:p>
    <w:p w:rsidR="00037EE4" w:rsidRPr="00037EE4" w:rsidRDefault="00037EE4" w:rsidP="00037EE4">
      <w:pPr>
        <w:spacing w:before="120" w:after="120" w:line="360" w:lineRule="auto"/>
        <w:jc w:val="both"/>
        <w:rPr>
          <w:rFonts w:ascii="Arial" w:eastAsia="Calibri" w:hAnsi="Arial" w:cs="Arial"/>
        </w:rPr>
      </w:pPr>
      <w:r w:rsidRPr="00037EE4">
        <w:rPr>
          <w:rFonts w:ascii="Arial" w:eastAsia="Calibri" w:hAnsi="Arial" w:cs="Arial"/>
        </w:rPr>
        <w:t xml:space="preserve">Ao Carlos Jesus; </w:t>
      </w:r>
    </w:p>
    <w:p w:rsidR="00037EE4" w:rsidRDefault="00037EE4" w:rsidP="00037EE4">
      <w:pPr>
        <w:spacing w:before="120" w:after="120" w:line="360" w:lineRule="auto"/>
        <w:jc w:val="both"/>
        <w:rPr>
          <w:rFonts w:ascii="Arial" w:eastAsia="Calibri" w:hAnsi="Arial" w:cs="Arial"/>
        </w:rPr>
      </w:pPr>
      <w:r w:rsidRPr="00037EE4">
        <w:rPr>
          <w:rFonts w:ascii="Arial" w:eastAsia="Calibri" w:hAnsi="Arial" w:cs="Arial"/>
        </w:rPr>
        <w:t xml:space="preserve">À Célia Azevedo, pelo material; à Sónia Cupido, ao Renato Torcato e ao Carlos Nunes pelo apoio. </w:t>
      </w:r>
    </w:p>
    <w:p w:rsidR="000E44B1" w:rsidRDefault="000E44B1" w:rsidP="00037EE4">
      <w:pPr>
        <w:spacing w:before="120" w:after="120" w:line="360" w:lineRule="auto"/>
        <w:jc w:val="both"/>
        <w:rPr>
          <w:rFonts w:ascii="Arial" w:eastAsia="Calibri" w:hAnsi="Arial" w:cs="Arial"/>
        </w:rPr>
      </w:pPr>
      <w:r>
        <w:rPr>
          <w:rFonts w:ascii="Arial" w:eastAsia="Calibri" w:hAnsi="Arial" w:cs="Arial"/>
        </w:rPr>
        <w:t>Ao corpo docente do mestrado em Fiscalidade do ISCAL.</w:t>
      </w: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2242E" w:rsidRDefault="0082242E" w:rsidP="00037EE4">
      <w:pPr>
        <w:spacing w:before="120" w:after="120" w:line="360" w:lineRule="auto"/>
        <w:jc w:val="both"/>
        <w:rPr>
          <w:rFonts w:ascii="Arial" w:eastAsia="Calibri" w:hAnsi="Arial" w:cs="Arial"/>
        </w:rPr>
      </w:pPr>
    </w:p>
    <w:p w:rsidR="008F0F9B" w:rsidRPr="008F0F9B" w:rsidRDefault="008F0F9B" w:rsidP="008F0F9B">
      <w:pPr>
        <w:spacing w:after="200" w:line="276" w:lineRule="auto"/>
        <w:jc w:val="center"/>
        <w:rPr>
          <w:rFonts w:ascii="Arial" w:eastAsia="Calibri" w:hAnsi="Arial" w:cs="Arial"/>
          <w:b/>
          <w:sz w:val="28"/>
          <w:szCs w:val="28"/>
        </w:rPr>
      </w:pPr>
      <w:r w:rsidRPr="008F0F9B">
        <w:rPr>
          <w:rFonts w:ascii="Arial" w:eastAsia="Calibri" w:hAnsi="Arial" w:cs="Arial"/>
          <w:b/>
          <w:sz w:val="28"/>
          <w:szCs w:val="28"/>
        </w:rPr>
        <w:t>Resumo</w:t>
      </w:r>
    </w:p>
    <w:p w:rsidR="008F0F9B" w:rsidRDefault="008F0F9B" w:rsidP="008F0F9B">
      <w:pPr>
        <w:spacing w:after="200" w:line="276" w:lineRule="auto"/>
        <w:jc w:val="both"/>
        <w:rPr>
          <w:rFonts w:ascii="Arial" w:eastAsia="Calibri" w:hAnsi="Arial" w:cs="Arial"/>
        </w:rPr>
      </w:pPr>
    </w:p>
    <w:p w:rsidR="008F0F9B" w:rsidRPr="008F0F9B" w:rsidRDefault="008F0F9B" w:rsidP="008F0F9B">
      <w:pPr>
        <w:spacing w:after="200" w:line="276" w:lineRule="auto"/>
        <w:jc w:val="both"/>
        <w:rPr>
          <w:rFonts w:ascii="Arial" w:eastAsia="Calibri" w:hAnsi="Arial" w:cs="Arial"/>
        </w:rPr>
      </w:pPr>
      <w:r w:rsidRPr="008F0F9B">
        <w:rPr>
          <w:rFonts w:ascii="Arial" w:eastAsia="Calibri" w:hAnsi="Arial" w:cs="Arial"/>
        </w:rPr>
        <w:t>A prestação de garantias em processo de execução fiscal, é um campo vasto e juridicamente denso, pelo que neste trabalho pretende-se abordar o tema da</w:t>
      </w:r>
      <w:r w:rsidR="000E44B1">
        <w:rPr>
          <w:rFonts w:ascii="Arial" w:eastAsia="Calibri" w:hAnsi="Arial" w:cs="Arial"/>
        </w:rPr>
        <w:t xml:space="preserve"> </w:t>
      </w:r>
      <w:r w:rsidRPr="008F0F9B">
        <w:rPr>
          <w:rFonts w:ascii="Arial" w:eastAsia="Calibri" w:hAnsi="Arial" w:cs="Arial"/>
        </w:rPr>
        <w:t>prestaç</w:t>
      </w:r>
      <w:r w:rsidR="000E44B1">
        <w:rPr>
          <w:rFonts w:ascii="Arial" w:eastAsia="Calibri" w:hAnsi="Arial" w:cs="Arial"/>
        </w:rPr>
        <w:t>ão</w:t>
      </w:r>
      <w:r w:rsidRPr="008F0F9B">
        <w:rPr>
          <w:rFonts w:ascii="Arial" w:eastAsia="Calibri" w:hAnsi="Arial" w:cs="Arial"/>
        </w:rPr>
        <w:t xml:space="preserve"> de garantias em processo de execução fiscal</w:t>
      </w:r>
      <w:r w:rsidR="00FE101E">
        <w:rPr>
          <w:rFonts w:ascii="Arial" w:eastAsia="Calibri" w:hAnsi="Arial" w:cs="Arial"/>
        </w:rPr>
        <w:t>,</w:t>
      </w:r>
      <w:r w:rsidRPr="008F0F9B">
        <w:rPr>
          <w:rFonts w:ascii="Arial" w:eastAsia="Calibri" w:hAnsi="Arial" w:cs="Arial"/>
        </w:rPr>
        <w:t xml:space="preserve"> na vertente da garantia idónea oferecida pelos executados.</w:t>
      </w:r>
    </w:p>
    <w:p w:rsidR="008F0F9B" w:rsidRPr="008F0F9B" w:rsidRDefault="008F0F9B" w:rsidP="008F0F9B">
      <w:pPr>
        <w:spacing w:after="200" w:line="276" w:lineRule="auto"/>
        <w:jc w:val="both"/>
        <w:rPr>
          <w:rFonts w:ascii="Arial" w:eastAsia="Calibri" w:hAnsi="Arial" w:cs="Arial"/>
        </w:rPr>
      </w:pPr>
      <w:r w:rsidRPr="008F0F9B">
        <w:rPr>
          <w:rFonts w:ascii="Arial" w:eastAsia="Calibri" w:hAnsi="Arial" w:cs="Arial"/>
        </w:rPr>
        <w:t xml:space="preserve">Pretende-se assim estudar a forma como o contribuinte perante uma adversidade tem de suspender a cobrança da liquidação, quer para efeitos de discussão do seu mérito e da legalidade, quer para efeitos de autorizar o seu pagamento através de um regime prestacional.     </w:t>
      </w:r>
    </w:p>
    <w:p w:rsidR="008F0F9B" w:rsidRPr="008F0F9B" w:rsidRDefault="008F0F9B" w:rsidP="008F0F9B">
      <w:pPr>
        <w:spacing w:after="200" w:line="276" w:lineRule="auto"/>
        <w:jc w:val="both"/>
        <w:rPr>
          <w:rFonts w:ascii="Arial" w:eastAsia="Calibri" w:hAnsi="Arial" w:cs="Arial"/>
        </w:rPr>
      </w:pPr>
      <w:r w:rsidRPr="008F0F9B">
        <w:rPr>
          <w:rFonts w:ascii="Arial" w:eastAsia="Calibri" w:hAnsi="Arial" w:cs="Arial"/>
        </w:rPr>
        <w:t>Estud</w:t>
      </w:r>
      <w:r w:rsidR="00FE101E">
        <w:rPr>
          <w:rFonts w:ascii="Arial" w:eastAsia="Calibri" w:hAnsi="Arial" w:cs="Arial"/>
        </w:rPr>
        <w:t>a</w:t>
      </w:r>
      <w:r w:rsidRPr="008F0F9B">
        <w:rPr>
          <w:rFonts w:ascii="Arial" w:eastAsia="Calibri" w:hAnsi="Arial" w:cs="Arial"/>
        </w:rPr>
        <w:t xml:space="preserve">mos novos caminhos para que </w:t>
      </w:r>
      <w:r w:rsidR="00FE101E">
        <w:rPr>
          <w:rFonts w:ascii="Arial" w:eastAsia="Calibri" w:hAnsi="Arial" w:cs="Arial"/>
        </w:rPr>
        <w:t xml:space="preserve">o </w:t>
      </w:r>
      <w:r w:rsidRPr="008F0F9B">
        <w:rPr>
          <w:rFonts w:ascii="Arial" w:eastAsia="Calibri" w:hAnsi="Arial" w:cs="Arial"/>
        </w:rPr>
        <w:t>credor tributário e administrados saibam em cada momento</w:t>
      </w:r>
      <w:r w:rsidR="00FE101E">
        <w:rPr>
          <w:rFonts w:ascii="Arial" w:eastAsia="Calibri" w:hAnsi="Arial" w:cs="Arial"/>
        </w:rPr>
        <w:t>,</w:t>
      </w:r>
      <w:r w:rsidRPr="008F0F9B">
        <w:rPr>
          <w:rFonts w:ascii="Arial" w:eastAsia="Calibri" w:hAnsi="Arial" w:cs="Arial"/>
        </w:rPr>
        <w:t xml:space="preserve"> e em diversas situações concretas</w:t>
      </w:r>
      <w:r w:rsidR="00FE101E">
        <w:rPr>
          <w:rFonts w:ascii="Arial" w:eastAsia="Calibri" w:hAnsi="Arial" w:cs="Arial"/>
        </w:rPr>
        <w:t>,</w:t>
      </w:r>
      <w:r w:rsidRPr="008F0F9B">
        <w:rPr>
          <w:rFonts w:ascii="Arial" w:eastAsia="Calibri" w:hAnsi="Arial" w:cs="Arial"/>
        </w:rPr>
        <w:t xml:space="preserve"> como deverão agir.   </w:t>
      </w:r>
    </w:p>
    <w:p w:rsidR="008F0F9B" w:rsidRPr="008F0F9B" w:rsidRDefault="008F0F9B" w:rsidP="008F0F9B">
      <w:pPr>
        <w:spacing w:after="200" w:line="276" w:lineRule="auto"/>
        <w:jc w:val="both"/>
        <w:rPr>
          <w:rFonts w:ascii="Arial" w:eastAsia="Calibri" w:hAnsi="Arial" w:cs="Arial"/>
        </w:rPr>
      </w:pPr>
      <w:r w:rsidRPr="008F0F9B">
        <w:rPr>
          <w:rFonts w:ascii="Arial" w:eastAsia="Calibri" w:hAnsi="Arial" w:cs="Arial"/>
        </w:rPr>
        <w:t xml:space="preserve">O objetivo da abordagem deste tema é o de explorar e escalpelizar todas as hipóteses </w:t>
      </w:r>
      <w:r w:rsidR="00FE101E">
        <w:rPr>
          <w:rFonts w:ascii="Arial" w:eastAsia="Calibri" w:hAnsi="Arial" w:cs="Arial"/>
        </w:rPr>
        <w:t xml:space="preserve">de apresentação </w:t>
      </w:r>
      <w:r w:rsidRPr="008F0F9B">
        <w:rPr>
          <w:rFonts w:ascii="Arial" w:eastAsia="Calibri" w:hAnsi="Arial" w:cs="Arial"/>
        </w:rPr>
        <w:t>de garantias idóneas pelos executados no âmbito da execução fiscal, bem como estas podem ser avaliadas pela Administração Fiscal, como é calculado o seu valor em todas as suas vertentes e como pode ser pedida a dispensa ou isenção de garantia. Cuidamos ainda dos aspetos relativos ao reforço da garantia.</w:t>
      </w:r>
    </w:p>
    <w:p w:rsidR="008F0F9B" w:rsidRPr="008F0F9B" w:rsidRDefault="008F0F9B" w:rsidP="008F0F9B">
      <w:pPr>
        <w:spacing w:after="200" w:line="276" w:lineRule="auto"/>
        <w:jc w:val="both"/>
        <w:rPr>
          <w:rFonts w:ascii="Arial" w:eastAsia="Calibri" w:hAnsi="Arial" w:cs="Arial"/>
        </w:rPr>
      </w:pPr>
      <w:bookmarkStart w:id="0" w:name="_Hlk499735717"/>
      <w:r w:rsidRPr="008F0F9B">
        <w:rPr>
          <w:rFonts w:ascii="Arial" w:eastAsia="Calibri" w:hAnsi="Arial" w:cs="Arial"/>
        </w:rPr>
        <w:t>Propusemo-nos</w:t>
      </w:r>
      <w:r w:rsidR="00FE101E">
        <w:rPr>
          <w:rFonts w:ascii="Arial" w:eastAsia="Calibri" w:hAnsi="Arial" w:cs="Arial"/>
        </w:rPr>
        <w:t>,</w:t>
      </w:r>
      <w:r w:rsidRPr="008F0F9B">
        <w:rPr>
          <w:rFonts w:ascii="Arial" w:eastAsia="Calibri" w:hAnsi="Arial" w:cs="Arial"/>
        </w:rPr>
        <w:t xml:space="preserve"> </w:t>
      </w:r>
      <w:r w:rsidR="00FE101E">
        <w:rPr>
          <w:rFonts w:ascii="Arial" w:eastAsia="Calibri" w:hAnsi="Arial" w:cs="Arial"/>
        </w:rPr>
        <w:t>outrossim</w:t>
      </w:r>
      <w:r w:rsidRPr="008F0F9B">
        <w:rPr>
          <w:rFonts w:ascii="Arial" w:eastAsia="Calibri" w:hAnsi="Arial" w:cs="Arial"/>
        </w:rPr>
        <w:t xml:space="preserve"> fazer um breve estudo comparativo com outros ordenamentos jurídicos, designadamente </w:t>
      </w:r>
      <w:r w:rsidR="00FE101E">
        <w:rPr>
          <w:rFonts w:ascii="Arial" w:eastAsia="Calibri" w:hAnsi="Arial" w:cs="Arial"/>
        </w:rPr>
        <w:t>de alguns</w:t>
      </w:r>
      <w:r w:rsidRPr="008F0F9B">
        <w:rPr>
          <w:rFonts w:ascii="Arial" w:eastAsia="Calibri" w:hAnsi="Arial" w:cs="Arial"/>
        </w:rPr>
        <w:t xml:space="preserve"> países integrantes do CIAT.</w:t>
      </w:r>
    </w:p>
    <w:bookmarkEnd w:id="0"/>
    <w:p w:rsidR="008F0F9B" w:rsidRPr="008F0F9B" w:rsidRDefault="008F0F9B" w:rsidP="008F0F9B">
      <w:pPr>
        <w:spacing w:after="200" w:line="276" w:lineRule="auto"/>
        <w:jc w:val="both"/>
        <w:rPr>
          <w:rFonts w:ascii="Arial" w:eastAsia="Calibri" w:hAnsi="Arial" w:cs="Arial"/>
        </w:rPr>
      </w:pPr>
      <w:r w:rsidRPr="008F0F9B">
        <w:rPr>
          <w:rFonts w:ascii="Arial" w:eastAsia="Calibri" w:hAnsi="Arial" w:cs="Arial"/>
        </w:rPr>
        <w:t xml:space="preserve">Consideramos este tema de grande atualidade e que </w:t>
      </w:r>
      <w:r w:rsidR="00957871">
        <w:rPr>
          <w:rFonts w:ascii="Arial" w:eastAsia="Calibri" w:hAnsi="Arial" w:cs="Arial"/>
        </w:rPr>
        <w:t>nesta</w:t>
      </w:r>
      <w:r w:rsidRPr="008F0F9B">
        <w:rPr>
          <w:rFonts w:ascii="Arial" w:eastAsia="Calibri" w:hAnsi="Arial" w:cs="Arial"/>
        </w:rPr>
        <w:t xml:space="preserve"> p</w:t>
      </w:r>
      <w:r w:rsidR="00401E5A">
        <w:rPr>
          <w:rFonts w:ascii="Arial" w:eastAsia="Calibri" w:hAnsi="Arial" w:cs="Arial"/>
        </w:rPr>
        <w:t>er</w:t>
      </w:r>
      <w:r w:rsidRPr="008F0F9B">
        <w:rPr>
          <w:rFonts w:ascii="Arial" w:eastAsia="Calibri" w:hAnsi="Arial" w:cs="Arial"/>
        </w:rPr>
        <w:t>spetiva tem sido pouco trabalhado do ponto de vista académico, razão pela qual nos propusemos encetar esta investigação com vista à identificação dos aspetos mais relevantes conexos com esta temática</w:t>
      </w:r>
      <w:r w:rsidR="00957871">
        <w:rPr>
          <w:rFonts w:ascii="Arial" w:eastAsia="Calibri" w:hAnsi="Arial" w:cs="Arial"/>
        </w:rPr>
        <w:t>.</w:t>
      </w:r>
      <w:r w:rsidRPr="008F0F9B">
        <w:rPr>
          <w:rFonts w:ascii="Arial" w:eastAsia="Calibri" w:hAnsi="Arial" w:cs="Arial"/>
        </w:rPr>
        <w:t xml:space="preserve"> </w:t>
      </w:r>
      <w:r w:rsidR="00957871">
        <w:rPr>
          <w:rFonts w:ascii="Arial" w:eastAsia="Calibri" w:hAnsi="Arial" w:cs="Arial"/>
        </w:rPr>
        <w:t>S</w:t>
      </w:r>
      <w:r w:rsidRPr="008F0F9B">
        <w:rPr>
          <w:rFonts w:ascii="Arial" w:eastAsia="Calibri" w:hAnsi="Arial" w:cs="Arial"/>
        </w:rPr>
        <w:t>em prejuízo das conclusões que enunciamos</w:t>
      </w:r>
      <w:r w:rsidR="00957871">
        <w:rPr>
          <w:rFonts w:ascii="Arial" w:eastAsia="Calibri" w:hAnsi="Arial" w:cs="Arial"/>
        </w:rPr>
        <w:t>,</w:t>
      </w:r>
      <w:r w:rsidRPr="008F0F9B">
        <w:rPr>
          <w:rFonts w:ascii="Arial" w:eastAsia="Calibri" w:hAnsi="Arial" w:cs="Arial"/>
        </w:rPr>
        <w:t xml:space="preserve"> </w:t>
      </w:r>
      <w:r w:rsidR="00957871">
        <w:rPr>
          <w:rFonts w:ascii="Arial" w:eastAsia="Calibri" w:hAnsi="Arial" w:cs="Arial"/>
        </w:rPr>
        <w:t>é</w:t>
      </w:r>
      <w:r w:rsidRPr="008F0F9B">
        <w:rPr>
          <w:rFonts w:ascii="Arial" w:eastAsia="Calibri" w:hAnsi="Arial" w:cs="Arial"/>
        </w:rPr>
        <w:t xml:space="preserve"> nosso propósito deixar um contributo relevante para outros trabalhos de investigação</w:t>
      </w:r>
      <w:r w:rsidR="00957871">
        <w:rPr>
          <w:rFonts w:ascii="Arial" w:eastAsia="Calibri" w:hAnsi="Arial" w:cs="Arial"/>
        </w:rPr>
        <w:t>,</w:t>
      </w:r>
      <w:r w:rsidRPr="008F0F9B">
        <w:rPr>
          <w:rFonts w:ascii="Arial" w:eastAsia="Calibri" w:hAnsi="Arial" w:cs="Arial"/>
        </w:rPr>
        <w:t xml:space="preserve"> </w:t>
      </w:r>
      <w:r w:rsidR="00957871">
        <w:rPr>
          <w:rFonts w:ascii="Arial" w:eastAsia="Calibri" w:hAnsi="Arial" w:cs="Arial"/>
        </w:rPr>
        <w:t xml:space="preserve">que </w:t>
      </w:r>
      <w:r w:rsidRPr="008F0F9B">
        <w:rPr>
          <w:rFonts w:ascii="Arial" w:eastAsia="Calibri" w:hAnsi="Arial" w:cs="Arial"/>
        </w:rPr>
        <w:t>no âmbito deste tema</w:t>
      </w:r>
      <w:r w:rsidR="00957871">
        <w:rPr>
          <w:rFonts w:ascii="Arial" w:eastAsia="Calibri" w:hAnsi="Arial" w:cs="Arial"/>
        </w:rPr>
        <w:t>,</w:t>
      </w:r>
      <w:r w:rsidRPr="008F0F9B">
        <w:rPr>
          <w:rFonts w:ascii="Arial" w:eastAsia="Calibri" w:hAnsi="Arial" w:cs="Arial"/>
        </w:rPr>
        <w:t xml:space="preserve"> </w:t>
      </w:r>
      <w:r w:rsidR="00957871">
        <w:rPr>
          <w:rFonts w:ascii="Arial" w:eastAsia="Calibri" w:hAnsi="Arial" w:cs="Arial"/>
        </w:rPr>
        <w:t>possam ser desenvolvidos</w:t>
      </w:r>
      <w:r w:rsidRPr="008F0F9B">
        <w:rPr>
          <w:rFonts w:ascii="Arial" w:eastAsia="Calibri" w:hAnsi="Arial" w:cs="Arial"/>
        </w:rPr>
        <w:t>.</w:t>
      </w: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F0F9B" w:rsidRPr="008F0F9B" w:rsidRDefault="008F0F9B" w:rsidP="008F0F9B">
      <w:pPr>
        <w:spacing w:after="200" w:line="276" w:lineRule="auto"/>
        <w:jc w:val="center"/>
        <w:rPr>
          <w:rFonts w:ascii="Arial" w:eastAsia="Calibri" w:hAnsi="Arial" w:cs="Arial"/>
          <w:b/>
          <w:sz w:val="28"/>
          <w:szCs w:val="28"/>
          <w:lang w:val="en-US"/>
        </w:rPr>
      </w:pPr>
      <w:r w:rsidRPr="008F0F9B">
        <w:rPr>
          <w:rFonts w:ascii="Arial" w:eastAsia="Calibri" w:hAnsi="Arial" w:cs="Arial"/>
          <w:b/>
          <w:sz w:val="28"/>
          <w:szCs w:val="28"/>
          <w:lang w:val="en-US"/>
        </w:rPr>
        <w:t>Abstract</w:t>
      </w:r>
    </w:p>
    <w:p w:rsidR="008F0F9B" w:rsidRPr="008F0F9B" w:rsidRDefault="008F0F9B" w:rsidP="008F0F9B">
      <w:pPr>
        <w:spacing w:after="200" w:line="276" w:lineRule="auto"/>
        <w:jc w:val="both"/>
        <w:rPr>
          <w:rFonts w:ascii="Arial" w:eastAsia="Calibri" w:hAnsi="Arial" w:cs="Arial"/>
          <w:lang w:val="en-US"/>
        </w:rPr>
      </w:pPr>
    </w:p>
    <w:p w:rsidR="008F0F9B" w:rsidRPr="008F0F9B" w:rsidRDefault="008F0F9B" w:rsidP="008F0F9B">
      <w:pPr>
        <w:spacing w:after="200" w:line="276" w:lineRule="auto"/>
        <w:jc w:val="both"/>
        <w:rPr>
          <w:rFonts w:ascii="Arial" w:eastAsia="Calibri" w:hAnsi="Arial" w:cs="Arial"/>
          <w:lang w:val="en-US"/>
        </w:rPr>
      </w:pPr>
      <w:r w:rsidRPr="008F0F9B">
        <w:rPr>
          <w:rFonts w:ascii="Arial" w:eastAsia="Calibri" w:hAnsi="Arial" w:cs="Arial"/>
          <w:lang w:val="en-US"/>
        </w:rPr>
        <w:t xml:space="preserve">The subject of guarantees in a tax execution process is a vast and legally dense field, so this paper intends to address this subject in what concerns the </w:t>
      </w:r>
      <w:bookmarkStart w:id="1" w:name="_Hlk499735629"/>
      <w:r w:rsidR="00414C7C">
        <w:rPr>
          <w:rFonts w:ascii="Arial" w:eastAsia="Calibri" w:hAnsi="Arial" w:cs="Arial"/>
          <w:lang w:val="en-US"/>
        </w:rPr>
        <w:t>suitable</w:t>
      </w:r>
      <w:r w:rsidRPr="008F0F9B">
        <w:rPr>
          <w:rFonts w:ascii="Arial" w:eastAsia="Calibri" w:hAnsi="Arial" w:cs="Arial"/>
          <w:lang w:val="en-US"/>
        </w:rPr>
        <w:t xml:space="preserve"> </w:t>
      </w:r>
      <w:bookmarkEnd w:id="1"/>
      <w:r w:rsidRPr="008F0F9B">
        <w:rPr>
          <w:rFonts w:ascii="Arial" w:eastAsia="Calibri" w:hAnsi="Arial" w:cs="Arial"/>
          <w:lang w:val="en-US"/>
        </w:rPr>
        <w:t>guarantees presented by taxpayers.</w:t>
      </w:r>
    </w:p>
    <w:p w:rsidR="008F0F9B" w:rsidRPr="008F0F9B" w:rsidRDefault="008F0F9B" w:rsidP="008F0F9B">
      <w:pPr>
        <w:spacing w:after="200" w:line="360" w:lineRule="auto"/>
        <w:jc w:val="both"/>
        <w:rPr>
          <w:rFonts w:ascii="Arial" w:eastAsia="Calibri" w:hAnsi="Arial" w:cs="Arial"/>
          <w:lang w:val="en-US"/>
        </w:rPr>
      </w:pPr>
      <w:r w:rsidRPr="008F0F9B">
        <w:rPr>
          <w:rFonts w:ascii="Arial" w:eastAsia="Calibri" w:hAnsi="Arial" w:cs="Arial"/>
          <w:lang w:val="en-US"/>
        </w:rPr>
        <w:t xml:space="preserve">The intention is to study how the taxpayer, in the face of adversity, </w:t>
      </w:r>
      <w:proofErr w:type="gramStart"/>
      <w:r w:rsidRPr="008F0F9B">
        <w:rPr>
          <w:rFonts w:ascii="Arial" w:eastAsia="Calibri" w:hAnsi="Arial" w:cs="Arial"/>
          <w:lang w:val="en-US"/>
        </w:rPr>
        <w:t>has to</w:t>
      </w:r>
      <w:proofErr w:type="gramEnd"/>
      <w:r w:rsidRPr="008F0F9B">
        <w:rPr>
          <w:rFonts w:ascii="Arial" w:eastAsia="Calibri" w:hAnsi="Arial" w:cs="Arial"/>
          <w:lang w:val="en-US"/>
        </w:rPr>
        <w:t xml:space="preserve"> suspend the collection of settlement, either for the purpose of discussing its merits and legality, or for the purpose of deferring its payment through an instalment scheme.</w:t>
      </w:r>
    </w:p>
    <w:p w:rsidR="008F0F9B" w:rsidRPr="008F0F9B" w:rsidRDefault="008F0F9B" w:rsidP="008F0F9B">
      <w:pPr>
        <w:spacing w:after="200" w:line="360" w:lineRule="auto"/>
        <w:jc w:val="both"/>
        <w:rPr>
          <w:rFonts w:ascii="Arial" w:eastAsia="Calibri" w:hAnsi="Arial" w:cs="Arial"/>
          <w:lang w:val="en-US"/>
        </w:rPr>
      </w:pPr>
      <w:r w:rsidRPr="008F0F9B">
        <w:rPr>
          <w:rFonts w:ascii="Arial" w:eastAsia="Calibri" w:hAnsi="Arial" w:cs="Arial"/>
          <w:lang w:val="en-US"/>
        </w:rPr>
        <w:t>We point out new ways for administrators and administered to know in each moment, and for concrete situations, how they should act.</w:t>
      </w:r>
    </w:p>
    <w:p w:rsidR="008F0F9B" w:rsidRPr="008F0F9B" w:rsidRDefault="008F0F9B" w:rsidP="008F0F9B">
      <w:pPr>
        <w:spacing w:after="200" w:line="360" w:lineRule="auto"/>
        <w:jc w:val="both"/>
        <w:rPr>
          <w:rFonts w:ascii="Arial" w:eastAsia="Calibri" w:hAnsi="Arial" w:cs="Arial"/>
          <w:lang w:val="en-US"/>
        </w:rPr>
      </w:pPr>
      <w:r w:rsidRPr="008F0F9B">
        <w:rPr>
          <w:rFonts w:ascii="Arial" w:eastAsia="Calibri" w:hAnsi="Arial" w:cs="Arial"/>
          <w:lang w:val="en-US"/>
        </w:rPr>
        <w:t xml:space="preserve">The objective of the approach to this topic is to explore all possibilities of </w:t>
      </w:r>
      <w:r w:rsidR="00414C7C">
        <w:rPr>
          <w:rFonts w:ascii="Arial" w:eastAsia="Calibri" w:hAnsi="Arial" w:cs="Arial"/>
          <w:lang w:val="en-US"/>
        </w:rPr>
        <w:t>suitable</w:t>
      </w:r>
      <w:r w:rsidRPr="008F0F9B">
        <w:rPr>
          <w:rFonts w:ascii="Arial" w:eastAsia="Calibri" w:hAnsi="Arial" w:cs="Arial"/>
          <w:lang w:val="en-US"/>
        </w:rPr>
        <w:t xml:space="preserve"> guarantees to be presented in the scope of a tax execution process, how these are assessed by the Tax Administration, how their value is calculated in all aspects, and how a waiver of collateral can be requested and under what conditions it can be granted. </w:t>
      </w:r>
    </w:p>
    <w:p w:rsidR="008F0F9B" w:rsidRPr="008F0F9B" w:rsidRDefault="008F0F9B" w:rsidP="008F0F9B">
      <w:pPr>
        <w:spacing w:after="200" w:line="360" w:lineRule="auto"/>
        <w:jc w:val="both"/>
        <w:rPr>
          <w:rFonts w:ascii="Arial" w:eastAsia="Calibri" w:hAnsi="Arial" w:cs="Arial"/>
          <w:lang w:val="en-US"/>
        </w:rPr>
      </w:pPr>
      <w:r w:rsidRPr="008F0F9B">
        <w:rPr>
          <w:rFonts w:ascii="Arial" w:eastAsia="Calibri" w:hAnsi="Arial" w:cs="Arial"/>
          <w:lang w:val="en-US"/>
        </w:rPr>
        <w:t>We have also set out to do a brief comparative study with other legal systems, namely CIAT members countries.</w:t>
      </w:r>
    </w:p>
    <w:p w:rsidR="008F0F9B" w:rsidRPr="008F0F9B" w:rsidRDefault="008F0F9B" w:rsidP="008F0F9B">
      <w:pPr>
        <w:spacing w:after="200" w:line="360" w:lineRule="auto"/>
        <w:jc w:val="both"/>
        <w:rPr>
          <w:rFonts w:ascii="Arial" w:eastAsia="Calibri" w:hAnsi="Arial" w:cs="Arial"/>
          <w:lang w:val="en-US"/>
        </w:rPr>
      </w:pPr>
      <w:r w:rsidRPr="008F0F9B">
        <w:rPr>
          <w:rFonts w:ascii="Arial" w:eastAsia="Calibri" w:hAnsi="Arial" w:cs="Arial"/>
          <w:lang w:val="en-US"/>
        </w:rPr>
        <w:t xml:space="preserve">We consider this to be a highly up-to-date topic, also </w:t>
      </w:r>
      <w:proofErr w:type="gramStart"/>
      <w:r w:rsidRPr="008F0F9B">
        <w:rPr>
          <w:rFonts w:ascii="Arial" w:eastAsia="Calibri" w:hAnsi="Arial" w:cs="Arial"/>
          <w:lang w:val="en-US"/>
        </w:rPr>
        <w:t>taking into account</w:t>
      </w:r>
      <w:proofErr w:type="gramEnd"/>
      <w:r w:rsidRPr="008F0F9B">
        <w:rPr>
          <w:rFonts w:ascii="Arial" w:eastAsia="Calibri" w:hAnsi="Arial" w:cs="Arial"/>
          <w:lang w:val="en-US"/>
        </w:rPr>
        <w:t xml:space="preserve"> that it is little researched from the academic point of view, reason why we purpose to start this investigation with a view to an identification of relevant aspects related to this topic, regardless of the conclusions that we state. It is our purpose to contribute to other works in the future.</w:t>
      </w: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Default="0082242E" w:rsidP="00957871">
      <w:pPr>
        <w:spacing w:before="120" w:after="120" w:line="360" w:lineRule="auto"/>
        <w:rPr>
          <w:rFonts w:ascii="Arial" w:eastAsia="Calibri" w:hAnsi="Arial" w:cs="Arial"/>
        </w:rPr>
      </w:pPr>
    </w:p>
    <w:p w:rsidR="0082242E" w:rsidRPr="00D94889" w:rsidRDefault="00D94889" w:rsidP="0082242E">
      <w:pPr>
        <w:spacing w:before="120" w:after="120" w:line="360" w:lineRule="auto"/>
        <w:jc w:val="center"/>
        <w:rPr>
          <w:rFonts w:ascii="Arial" w:eastAsia="Calibri" w:hAnsi="Arial" w:cs="Arial"/>
          <w:b/>
        </w:rPr>
      </w:pPr>
      <w:r w:rsidRPr="00D94889">
        <w:rPr>
          <w:rFonts w:ascii="Arial" w:eastAsia="Calibri" w:hAnsi="Arial" w:cs="Arial"/>
          <w:b/>
        </w:rPr>
        <w:lastRenderedPageBreak/>
        <w:t>PALAVRAS CHAVE</w:t>
      </w:r>
    </w:p>
    <w:p w:rsidR="00D94889" w:rsidRDefault="00D94889" w:rsidP="0082242E">
      <w:pPr>
        <w:spacing w:before="120" w:after="120" w:line="360" w:lineRule="auto"/>
        <w:jc w:val="center"/>
        <w:rPr>
          <w:rFonts w:ascii="Arial" w:eastAsia="Calibri" w:hAnsi="Arial" w:cs="Arial"/>
        </w:rPr>
      </w:pPr>
    </w:p>
    <w:p w:rsidR="00D94889" w:rsidRDefault="00D94889" w:rsidP="00D94889">
      <w:pPr>
        <w:spacing w:before="120" w:after="120" w:line="360" w:lineRule="auto"/>
        <w:jc w:val="both"/>
        <w:rPr>
          <w:rFonts w:ascii="Arial" w:eastAsia="Calibri" w:hAnsi="Arial" w:cs="Arial"/>
        </w:rPr>
      </w:pPr>
      <w:r>
        <w:rPr>
          <w:rFonts w:ascii="Arial" w:eastAsia="Calibri" w:hAnsi="Arial" w:cs="Arial"/>
        </w:rPr>
        <w:t>Garantia Idónea</w:t>
      </w:r>
      <w:r>
        <w:rPr>
          <w:rFonts w:ascii="Arial" w:eastAsia="Calibri" w:hAnsi="Arial" w:cs="Arial"/>
        </w:rPr>
        <w:tab/>
        <w:t>Execução Fiscal</w:t>
      </w:r>
      <w:r>
        <w:rPr>
          <w:rFonts w:ascii="Arial" w:eastAsia="Calibri" w:hAnsi="Arial" w:cs="Arial"/>
        </w:rPr>
        <w:tab/>
        <w:t>Credor Tributário</w:t>
      </w:r>
      <w:r>
        <w:rPr>
          <w:rFonts w:ascii="Arial" w:eastAsia="Calibri" w:hAnsi="Arial" w:cs="Arial"/>
        </w:rPr>
        <w:tab/>
        <w:t xml:space="preserve">Executado </w:t>
      </w:r>
      <w:r>
        <w:rPr>
          <w:rFonts w:ascii="Arial" w:eastAsia="Calibri" w:hAnsi="Arial" w:cs="Arial"/>
        </w:rPr>
        <w:tab/>
        <w:t>Reforço da garantia</w:t>
      </w:r>
    </w:p>
    <w:p w:rsidR="00D94889" w:rsidRDefault="00D94889" w:rsidP="00D94889">
      <w:pPr>
        <w:spacing w:before="120" w:after="120" w:line="360" w:lineRule="auto"/>
        <w:jc w:val="both"/>
        <w:rPr>
          <w:rFonts w:ascii="Arial" w:eastAsia="Calibri" w:hAnsi="Arial" w:cs="Arial"/>
        </w:rPr>
      </w:pPr>
    </w:p>
    <w:p w:rsidR="00D94889" w:rsidRDefault="00D94889" w:rsidP="00D94889">
      <w:pPr>
        <w:spacing w:before="120" w:after="120" w:line="360" w:lineRule="auto"/>
        <w:jc w:val="both"/>
        <w:rPr>
          <w:rFonts w:ascii="Arial" w:eastAsia="Calibri" w:hAnsi="Arial" w:cs="Arial"/>
        </w:rPr>
      </w:pPr>
    </w:p>
    <w:p w:rsidR="00D94889" w:rsidRDefault="00D94889" w:rsidP="00D94889">
      <w:pPr>
        <w:spacing w:before="120" w:after="120" w:line="360" w:lineRule="auto"/>
        <w:jc w:val="both"/>
        <w:rPr>
          <w:rFonts w:ascii="Arial" w:eastAsia="Calibri" w:hAnsi="Arial" w:cs="Arial"/>
        </w:rPr>
      </w:pPr>
    </w:p>
    <w:p w:rsidR="00D94889" w:rsidRDefault="00D94889" w:rsidP="00D94889">
      <w:pPr>
        <w:spacing w:before="120" w:after="120" w:line="360" w:lineRule="auto"/>
        <w:jc w:val="center"/>
        <w:rPr>
          <w:rFonts w:ascii="Arial" w:eastAsia="Calibri" w:hAnsi="Arial" w:cs="Arial"/>
          <w:b/>
        </w:rPr>
      </w:pPr>
      <w:r w:rsidRPr="00D94889">
        <w:rPr>
          <w:rFonts w:ascii="Arial" w:eastAsia="Calibri" w:hAnsi="Arial" w:cs="Arial"/>
          <w:b/>
        </w:rPr>
        <w:t>Key Words</w:t>
      </w:r>
    </w:p>
    <w:p w:rsidR="00D94889" w:rsidRDefault="00D94889" w:rsidP="00D94889">
      <w:pPr>
        <w:spacing w:before="120" w:after="120" w:line="360" w:lineRule="auto"/>
        <w:jc w:val="center"/>
        <w:rPr>
          <w:rFonts w:ascii="Arial" w:eastAsia="Calibri" w:hAnsi="Arial" w:cs="Arial"/>
          <w:b/>
        </w:rPr>
      </w:pPr>
    </w:p>
    <w:p w:rsidR="00D94889" w:rsidRPr="00EC5DFD" w:rsidRDefault="00414C7C" w:rsidP="00D94889">
      <w:pPr>
        <w:spacing w:before="120" w:after="120" w:line="360" w:lineRule="auto"/>
        <w:jc w:val="both"/>
        <w:rPr>
          <w:rFonts w:ascii="Arial" w:eastAsia="Calibri" w:hAnsi="Arial" w:cs="Arial"/>
        </w:rPr>
      </w:pPr>
      <w:r>
        <w:rPr>
          <w:rFonts w:ascii="Arial" w:eastAsia="Calibri" w:hAnsi="Arial" w:cs="Arial"/>
        </w:rPr>
        <w:t>Suitable Guarantee</w:t>
      </w:r>
      <w:r>
        <w:rPr>
          <w:rFonts w:ascii="Arial" w:eastAsia="Calibri" w:hAnsi="Arial" w:cs="Arial"/>
        </w:rPr>
        <w:tab/>
        <w:t>Tax Execution</w:t>
      </w:r>
      <w:r>
        <w:rPr>
          <w:rFonts w:ascii="Arial" w:eastAsia="Calibri" w:hAnsi="Arial" w:cs="Arial"/>
        </w:rPr>
        <w:tab/>
      </w:r>
      <w:r>
        <w:rPr>
          <w:rFonts w:ascii="Arial" w:eastAsia="Calibri" w:hAnsi="Arial" w:cs="Arial"/>
        </w:rPr>
        <w:tab/>
        <w:t>Tax Creditor</w:t>
      </w:r>
      <w:r>
        <w:rPr>
          <w:rFonts w:ascii="Arial" w:eastAsia="Calibri" w:hAnsi="Arial" w:cs="Arial"/>
        </w:rPr>
        <w:tab/>
        <w:t>Executed</w:t>
      </w:r>
      <w:r>
        <w:rPr>
          <w:rFonts w:ascii="Arial" w:eastAsia="Calibri" w:hAnsi="Arial" w:cs="Arial"/>
        </w:rPr>
        <w:tab/>
      </w:r>
      <w:r w:rsidR="001E56E6" w:rsidRPr="001E56E6">
        <w:rPr>
          <w:rFonts w:ascii="Arial" w:eastAsia="Calibri" w:hAnsi="Arial" w:cs="Arial"/>
        </w:rPr>
        <w:t xml:space="preserve">Reinforcement of the </w:t>
      </w:r>
      <w:r w:rsidR="001E56E6">
        <w:rPr>
          <w:rFonts w:ascii="Arial" w:eastAsia="Calibri" w:hAnsi="Arial" w:cs="Arial"/>
        </w:rPr>
        <w:t>G</w:t>
      </w:r>
      <w:r w:rsidR="001E56E6" w:rsidRPr="001E56E6">
        <w:rPr>
          <w:rFonts w:ascii="Arial" w:eastAsia="Calibri" w:hAnsi="Arial" w:cs="Arial"/>
        </w:rPr>
        <w:t>uarantee</w:t>
      </w: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p w:rsidR="00D94889" w:rsidRDefault="00D94889" w:rsidP="0082242E">
      <w:pPr>
        <w:spacing w:before="120" w:after="120" w:line="360" w:lineRule="auto"/>
        <w:jc w:val="center"/>
        <w:rPr>
          <w:rFonts w:ascii="Arial" w:eastAsia="Calibri" w:hAnsi="Arial" w:cs="Arial"/>
        </w:rPr>
      </w:pPr>
    </w:p>
    <w:sdt>
      <w:sdtPr>
        <w:rPr>
          <w:rFonts w:asciiTheme="minorHAnsi" w:eastAsiaTheme="minorHAnsi" w:hAnsiTheme="minorHAnsi" w:cstheme="minorBidi"/>
          <w:color w:val="auto"/>
          <w:sz w:val="22"/>
          <w:szCs w:val="22"/>
          <w:lang w:val="pt-BR" w:eastAsia="en-US"/>
        </w:rPr>
        <w:id w:val="1285534354"/>
        <w:docPartObj>
          <w:docPartGallery w:val="Table of Contents"/>
          <w:docPartUnique/>
        </w:docPartObj>
      </w:sdtPr>
      <w:sdtEndPr>
        <w:rPr>
          <w:b/>
          <w:bCs/>
        </w:rPr>
      </w:sdtEndPr>
      <w:sdtContent>
        <w:p w:rsidR="00977223" w:rsidRPr="00957871" w:rsidRDefault="00957871">
          <w:pPr>
            <w:pStyle w:val="CabealhodoSumrio"/>
            <w:rPr>
              <w:color w:val="auto"/>
            </w:rPr>
          </w:pPr>
          <w:r w:rsidRPr="00957871">
            <w:rPr>
              <w:color w:val="auto"/>
              <w:lang w:val="pt-BR"/>
            </w:rPr>
            <w:t>Indíce</w:t>
          </w:r>
          <w:bookmarkStart w:id="2" w:name="_GoBack"/>
          <w:bookmarkEnd w:id="2"/>
        </w:p>
        <w:p w:rsidR="0002555B" w:rsidRDefault="00977223">
          <w:pPr>
            <w:pStyle w:val="Sumrio1"/>
            <w:tabs>
              <w:tab w:val="right" w:leader="dot" w:pos="8494"/>
            </w:tabs>
            <w:rPr>
              <w:rFonts w:eastAsiaTheme="minorEastAsia"/>
              <w:noProof/>
              <w:lang w:eastAsia="pt-PT"/>
            </w:rPr>
          </w:pPr>
          <w:r>
            <w:fldChar w:fldCharType="begin"/>
          </w:r>
          <w:r>
            <w:instrText xml:space="preserve"> TOC \o "1-3" \h \z \u </w:instrText>
          </w:r>
          <w:r>
            <w:fldChar w:fldCharType="separate"/>
          </w:r>
          <w:hyperlink w:anchor="_Toc500109605" w:history="1">
            <w:r w:rsidR="0002555B" w:rsidRPr="00F06D8A">
              <w:rPr>
                <w:rStyle w:val="Hyperlink"/>
                <w:rFonts w:eastAsia="Calibri"/>
                <w:noProof/>
              </w:rPr>
              <w:t>Capitulo 1</w:t>
            </w:r>
            <w:r w:rsidR="0002555B">
              <w:rPr>
                <w:noProof/>
                <w:webHidden/>
              </w:rPr>
              <w:tab/>
            </w:r>
            <w:r w:rsidR="0002555B">
              <w:rPr>
                <w:noProof/>
                <w:webHidden/>
              </w:rPr>
              <w:fldChar w:fldCharType="begin"/>
            </w:r>
            <w:r w:rsidR="0002555B">
              <w:rPr>
                <w:noProof/>
                <w:webHidden/>
              </w:rPr>
              <w:instrText xml:space="preserve"> PAGEREF _Toc500109605 \h </w:instrText>
            </w:r>
            <w:r w:rsidR="0002555B">
              <w:rPr>
                <w:noProof/>
                <w:webHidden/>
              </w:rPr>
            </w:r>
            <w:r w:rsidR="0002555B">
              <w:rPr>
                <w:noProof/>
                <w:webHidden/>
              </w:rPr>
              <w:fldChar w:fldCharType="separate"/>
            </w:r>
            <w:r w:rsidR="0002555B">
              <w:rPr>
                <w:noProof/>
                <w:webHidden/>
              </w:rPr>
              <w:t>1</w:t>
            </w:r>
            <w:r w:rsidR="0002555B">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06" w:history="1">
            <w:r w:rsidRPr="00F06D8A">
              <w:rPr>
                <w:rStyle w:val="Hyperlink"/>
                <w:rFonts w:eastAsia="Calibri"/>
                <w:noProof/>
              </w:rPr>
              <w:t>1.1 INTRODUÇÃO</w:t>
            </w:r>
            <w:r>
              <w:rPr>
                <w:noProof/>
                <w:webHidden/>
              </w:rPr>
              <w:tab/>
            </w:r>
            <w:r>
              <w:rPr>
                <w:noProof/>
                <w:webHidden/>
              </w:rPr>
              <w:fldChar w:fldCharType="begin"/>
            </w:r>
            <w:r>
              <w:rPr>
                <w:noProof/>
                <w:webHidden/>
              </w:rPr>
              <w:instrText xml:space="preserve"> PAGEREF _Toc500109606 \h </w:instrText>
            </w:r>
            <w:r>
              <w:rPr>
                <w:noProof/>
                <w:webHidden/>
              </w:rPr>
            </w:r>
            <w:r>
              <w:rPr>
                <w:noProof/>
                <w:webHidden/>
              </w:rPr>
              <w:fldChar w:fldCharType="separate"/>
            </w:r>
            <w:r>
              <w:rPr>
                <w:noProof/>
                <w:webHidden/>
              </w:rPr>
              <w:t>1</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07" w:history="1">
            <w:r w:rsidRPr="00F06D8A">
              <w:rPr>
                <w:rStyle w:val="Hyperlink"/>
                <w:rFonts w:eastAsia="Calibri"/>
                <w:noProof/>
              </w:rPr>
              <w:t>Capitulo 2</w:t>
            </w:r>
            <w:r>
              <w:rPr>
                <w:noProof/>
                <w:webHidden/>
              </w:rPr>
              <w:tab/>
            </w:r>
            <w:r>
              <w:rPr>
                <w:noProof/>
                <w:webHidden/>
              </w:rPr>
              <w:fldChar w:fldCharType="begin"/>
            </w:r>
            <w:r>
              <w:rPr>
                <w:noProof/>
                <w:webHidden/>
              </w:rPr>
              <w:instrText xml:space="preserve"> PAGEREF _Toc500109607 \h </w:instrText>
            </w:r>
            <w:r>
              <w:rPr>
                <w:noProof/>
                <w:webHidden/>
              </w:rPr>
            </w:r>
            <w:r>
              <w:rPr>
                <w:noProof/>
                <w:webHidden/>
              </w:rPr>
              <w:fldChar w:fldCharType="separate"/>
            </w:r>
            <w:r>
              <w:rPr>
                <w:noProof/>
                <w:webHidden/>
              </w:rPr>
              <w:t>3</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08" w:history="1">
            <w:r w:rsidRPr="00F06D8A">
              <w:rPr>
                <w:rStyle w:val="Hyperlink"/>
                <w:rFonts w:eastAsia="Calibri"/>
                <w:noProof/>
              </w:rPr>
              <w:t>2.1 Enquadramento histórico e jurídico</w:t>
            </w:r>
            <w:r>
              <w:rPr>
                <w:noProof/>
                <w:webHidden/>
              </w:rPr>
              <w:tab/>
            </w:r>
            <w:r>
              <w:rPr>
                <w:noProof/>
                <w:webHidden/>
              </w:rPr>
              <w:fldChar w:fldCharType="begin"/>
            </w:r>
            <w:r>
              <w:rPr>
                <w:noProof/>
                <w:webHidden/>
              </w:rPr>
              <w:instrText xml:space="preserve"> PAGEREF _Toc500109608 \h </w:instrText>
            </w:r>
            <w:r>
              <w:rPr>
                <w:noProof/>
                <w:webHidden/>
              </w:rPr>
            </w:r>
            <w:r>
              <w:rPr>
                <w:noProof/>
                <w:webHidden/>
              </w:rPr>
              <w:fldChar w:fldCharType="separate"/>
            </w:r>
            <w:r>
              <w:rPr>
                <w:noProof/>
                <w:webHidden/>
              </w:rPr>
              <w:t>3</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09" w:history="1">
            <w:r w:rsidRPr="00F06D8A">
              <w:rPr>
                <w:rStyle w:val="Hyperlink"/>
                <w:rFonts w:eastAsia="Calibri"/>
                <w:noProof/>
              </w:rPr>
              <w:t>2.1.1 Garantias dos créditos tributários</w:t>
            </w:r>
            <w:r>
              <w:rPr>
                <w:noProof/>
                <w:webHidden/>
              </w:rPr>
              <w:tab/>
            </w:r>
            <w:r>
              <w:rPr>
                <w:noProof/>
                <w:webHidden/>
              </w:rPr>
              <w:fldChar w:fldCharType="begin"/>
            </w:r>
            <w:r>
              <w:rPr>
                <w:noProof/>
                <w:webHidden/>
              </w:rPr>
              <w:instrText xml:space="preserve"> PAGEREF _Toc500109609 \h </w:instrText>
            </w:r>
            <w:r>
              <w:rPr>
                <w:noProof/>
                <w:webHidden/>
              </w:rPr>
            </w:r>
            <w:r>
              <w:rPr>
                <w:noProof/>
                <w:webHidden/>
              </w:rPr>
              <w:fldChar w:fldCharType="separate"/>
            </w:r>
            <w:r>
              <w:rPr>
                <w:noProof/>
                <w:webHidden/>
              </w:rPr>
              <w:t>3</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10" w:history="1">
            <w:r w:rsidRPr="00F06D8A">
              <w:rPr>
                <w:rStyle w:val="Hyperlink"/>
                <w:rFonts w:eastAsia="Calibri"/>
                <w:noProof/>
              </w:rPr>
              <w:t>2.1.2 Garantias em Processo de Execução Fiscal</w:t>
            </w:r>
            <w:r>
              <w:rPr>
                <w:noProof/>
                <w:webHidden/>
              </w:rPr>
              <w:tab/>
            </w:r>
            <w:r>
              <w:rPr>
                <w:noProof/>
                <w:webHidden/>
              </w:rPr>
              <w:fldChar w:fldCharType="begin"/>
            </w:r>
            <w:r>
              <w:rPr>
                <w:noProof/>
                <w:webHidden/>
              </w:rPr>
              <w:instrText xml:space="preserve"> PAGEREF _Toc500109610 \h </w:instrText>
            </w:r>
            <w:r>
              <w:rPr>
                <w:noProof/>
                <w:webHidden/>
              </w:rPr>
            </w:r>
            <w:r>
              <w:rPr>
                <w:noProof/>
                <w:webHidden/>
              </w:rPr>
              <w:fldChar w:fldCharType="separate"/>
            </w:r>
            <w:r>
              <w:rPr>
                <w:noProof/>
                <w:webHidden/>
              </w:rPr>
              <w:t>4</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11" w:history="1">
            <w:r w:rsidRPr="00F06D8A">
              <w:rPr>
                <w:rStyle w:val="Hyperlink"/>
                <w:rFonts w:eastAsia="Calibri"/>
                <w:noProof/>
              </w:rPr>
              <w:t>2.1.3 PERES e Outros Regimes Excecionais</w:t>
            </w:r>
            <w:r>
              <w:rPr>
                <w:noProof/>
                <w:webHidden/>
              </w:rPr>
              <w:tab/>
            </w:r>
            <w:r>
              <w:rPr>
                <w:noProof/>
                <w:webHidden/>
              </w:rPr>
              <w:fldChar w:fldCharType="begin"/>
            </w:r>
            <w:r>
              <w:rPr>
                <w:noProof/>
                <w:webHidden/>
              </w:rPr>
              <w:instrText xml:space="preserve"> PAGEREF _Toc500109611 \h </w:instrText>
            </w:r>
            <w:r>
              <w:rPr>
                <w:noProof/>
                <w:webHidden/>
              </w:rPr>
            </w:r>
            <w:r>
              <w:rPr>
                <w:noProof/>
                <w:webHidden/>
              </w:rPr>
              <w:fldChar w:fldCharType="separate"/>
            </w:r>
            <w:r>
              <w:rPr>
                <w:noProof/>
                <w:webHidden/>
              </w:rPr>
              <w:t>6</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12" w:history="1">
            <w:r w:rsidRPr="00F06D8A">
              <w:rPr>
                <w:rStyle w:val="Hyperlink"/>
                <w:rFonts w:eastAsia="Calibri"/>
                <w:noProof/>
              </w:rPr>
              <w:t>2.1.3.1 PERES</w:t>
            </w:r>
            <w:r>
              <w:rPr>
                <w:noProof/>
                <w:webHidden/>
              </w:rPr>
              <w:tab/>
            </w:r>
            <w:r>
              <w:rPr>
                <w:noProof/>
                <w:webHidden/>
              </w:rPr>
              <w:fldChar w:fldCharType="begin"/>
            </w:r>
            <w:r>
              <w:rPr>
                <w:noProof/>
                <w:webHidden/>
              </w:rPr>
              <w:instrText xml:space="preserve"> PAGEREF _Toc500109612 \h </w:instrText>
            </w:r>
            <w:r>
              <w:rPr>
                <w:noProof/>
                <w:webHidden/>
              </w:rPr>
            </w:r>
            <w:r>
              <w:rPr>
                <w:noProof/>
                <w:webHidden/>
              </w:rPr>
              <w:fldChar w:fldCharType="separate"/>
            </w:r>
            <w:r>
              <w:rPr>
                <w:noProof/>
                <w:webHidden/>
              </w:rPr>
              <w:t>6</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13" w:history="1">
            <w:r w:rsidRPr="00F06D8A">
              <w:rPr>
                <w:rStyle w:val="Hyperlink"/>
                <w:rFonts w:eastAsia="Calibri"/>
                <w:noProof/>
              </w:rPr>
              <w:t>2.1.3.2 O artigo 178º do Orçamento de Estado para 2016</w:t>
            </w:r>
            <w:r>
              <w:rPr>
                <w:noProof/>
                <w:webHidden/>
              </w:rPr>
              <w:tab/>
            </w:r>
            <w:r>
              <w:rPr>
                <w:noProof/>
                <w:webHidden/>
              </w:rPr>
              <w:fldChar w:fldCharType="begin"/>
            </w:r>
            <w:r>
              <w:rPr>
                <w:noProof/>
                <w:webHidden/>
              </w:rPr>
              <w:instrText xml:space="preserve"> PAGEREF _Toc500109613 \h </w:instrText>
            </w:r>
            <w:r>
              <w:rPr>
                <w:noProof/>
                <w:webHidden/>
              </w:rPr>
            </w:r>
            <w:r>
              <w:rPr>
                <w:noProof/>
                <w:webHidden/>
              </w:rPr>
              <w:fldChar w:fldCharType="separate"/>
            </w:r>
            <w:r>
              <w:rPr>
                <w:noProof/>
                <w:webHidden/>
              </w:rPr>
              <w:t>7</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14" w:history="1">
            <w:r w:rsidRPr="00F06D8A">
              <w:rPr>
                <w:rStyle w:val="Hyperlink"/>
                <w:rFonts w:eastAsia="Calibri"/>
                <w:noProof/>
              </w:rPr>
              <w:t>2.1.3.3 Dívidas de reduzido valor.</w:t>
            </w:r>
            <w:r>
              <w:rPr>
                <w:noProof/>
                <w:webHidden/>
              </w:rPr>
              <w:tab/>
            </w:r>
            <w:r>
              <w:rPr>
                <w:noProof/>
                <w:webHidden/>
              </w:rPr>
              <w:fldChar w:fldCharType="begin"/>
            </w:r>
            <w:r>
              <w:rPr>
                <w:noProof/>
                <w:webHidden/>
              </w:rPr>
              <w:instrText xml:space="preserve"> PAGEREF _Toc500109614 \h </w:instrText>
            </w:r>
            <w:r>
              <w:rPr>
                <w:noProof/>
                <w:webHidden/>
              </w:rPr>
            </w:r>
            <w:r>
              <w:rPr>
                <w:noProof/>
                <w:webHidden/>
              </w:rPr>
              <w:fldChar w:fldCharType="separate"/>
            </w:r>
            <w:r>
              <w:rPr>
                <w:noProof/>
                <w:webHidden/>
              </w:rPr>
              <w:t>8</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15" w:history="1">
            <w:r w:rsidRPr="00F06D8A">
              <w:rPr>
                <w:rStyle w:val="Hyperlink"/>
                <w:rFonts w:eastAsia="Calibri"/>
                <w:noProof/>
              </w:rPr>
              <w:t>Capitulo 3</w:t>
            </w:r>
            <w:r>
              <w:rPr>
                <w:noProof/>
                <w:webHidden/>
              </w:rPr>
              <w:tab/>
            </w:r>
            <w:r>
              <w:rPr>
                <w:noProof/>
                <w:webHidden/>
              </w:rPr>
              <w:fldChar w:fldCharType="begin"/>
            </w:r>
            <w:r>
              <w:rPr>
                <w:noProof/>
                <w:webHidden/>
              </w:rPr>
              <w:instrText xml:space="preserve"> PAGEREF _Toc500109615 \h </w:instrText>
            </w:r>
            <w:r>
              <w:rPr>
                <w:noProof/>
                <w:webHidden/>
              </w:rPr>
            </w:r>
            <w:r>
              <w:rPr>
                <w:noProof/>
                <w:webHidden/>
              </w:rPr>
              <w:fldChar w:fldCharType="separate"/>
            </w:r>
            <w:r>
              <w:rPr>
                <w:noProof/>
                <w:webHidden/>
              </w:rPr>
              <w:t>9</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16" w:history="1">
            <w:r w:rsidRPr="00F06D8A">
              <w:rPr>
                <w:rStyle w:val="Hyperlink"/>
                <w:rFonts w:eastAsia="Calibri"/>
                <w:noProof/>
              </w:rPr>
              <w:t>3.1 Garantias para apresentação de contencioso</w:t>
            </w:r>
            <w:r>
              <w:rPr>
                <w:noProof/>
                <w:webHidden/>
              </w:rPr>
              <w:tab/>
            </w:r>
            <w:r>
              <w:rPr>
                <w:noProof/>
                <w:webHidden/>
              </w:rPr>
              <w:fldChar w:fldCharType="begin"/>
            </w:r>
            <w:r>
              <w:rPr>
                <w:noProof/>
                <w:webHidden/>
              </w:rPr>
              <w:instrText xml:space="preserve"> PAGEREF _Toc500109616 \h </w:instrText>
            </w:r>
            <w:r>
              <w:rPr>
                <w:noProof/>
                <w:webHidden/>
              </w:rPr>
            </w:r>
            <w:r>
              <w:rPr>
                <w:noProof/>
                <w:webHidden/>
              </w:rPr>
              <w:fldChar w:fldCharType="separate"/>
            </w:r>
            <w:r>
              <w:rPr>
                <w:noProof/>
                <w:webHidden/>
              </w:rPr>
              <w:t>9</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17" w:history="1">
            <w:r w:rsidRPr="00F06D8A">
              <w:rPr>
                <w:rStyle w:val="Hyperlink"/>
                <w:rFonts w:eastAsia="Calibri"/>
                <w:noProof/>
              </w:rPr>
              <w:t>3.1.1 Contencioso e suas diversas formas</w:t>
            </w:r>
            <w:r>
              <w:rPr>
                <w:noProof/>
                <w:webHidden/>
              </w:rPr>
              <w:tab/>
            </w:r>
            <w:r>
              <w:rPr>
                <w:noProof/>
                <w:webHidden/>
              </w:rPr>
              <w:fldChar w:fldCharType="begin"/>
            </w:r>
            <w:r>
              <w:rPr>
                <w:noProof/>
                <w:webHidden/>
              </w:rPr>
              <w:instrText xml:space="preserve"> PAGEREF _Toc500109617 \h </w:instrText>
            </w:r>
            <w:r>
              <w:rPr>
                <w:noProof/>
                <w:webHidden/>
              </w:rPr>
            </w:r>
            <w:r>
              <w:rPr>
                <w:noProof/>
                <w:webHidden/>
              </w:rPr>
              <w:fldChar w:fldCharType="separate"/>
            </w:r>
            <w:r>
              <w:rPr>
                <w:noProof/>
                <w:webHidden/>
              </w:rPr>
              <w:t>9</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18" w:history="1">
            <w:r w:rsidRPr="00F06D8A">
              <w:rPr>
                <w:rStyle w:val="Hyperlink"/>
                <w:noProof/>
              </w:rPr>
              <w:t>3.1.1.1 O contencioso administrativo</w:t>
            </w:r>
            <w:r>
              <w:rPr>
                <w:noProof/>
                <w:webHidden/>
              </w:rPr>
              <w:tab/>
            </w:r>
            <w:r>
              <w:rPr>
                <w:noProof/>
                <w:webHidden/>
              </w:rPr>
              <w:fldChar w:fldCharType="begin"/>
            </w:r>
            <w:r>
              <w:rPr>
                <w:noProof/>
                <w:webHidden/>
              </w:rPr>
              <w:instrText xml:space="preserve"> PAGEREF _Toc500109618 \h </w:instrText>
            </w:r>
            <w:r>
              <w:rPr>
                <w:noProof/>
                <w:webHidden/>
              </w:rPr>
            </w:r>
            <w:r>
              <w:rPr>
                <w:noProof/>
                <w:webHidden/>
              </w:rPr>
              <w:fldChar w:fldCharType="separate"/>
            </w:r>
            <w:r>
              <w:rPr>
                <w:noProof/>
                <w:webHidden/>
              </w:rPr>
              <w:t>9</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19" w:history="1">
            <w:r w:rsidRPr="00F06D8A">
              <w:rPr>
                <w:rStyle w:val="Hyperlink"/>
                <w:noProof/>
              </w:rPr>
              <w:t>3.1.1.2 O contencioso judicial</w:t>
            </w:r>
            <w:r>
              <w:rPr>
                <w:noProof/>
                <w:webHidden/>
              </w:rPr>
              <w:tab/>
            </w:r>
            <w:r>
              <w:rPr>
                <w:noProof/>
                <w:webHidden/>
              </w:rPr>
              <w:fldChar w:fldCharType="begin"/>
            </w:r>
            <w:r>
              <w:rPr>
                <w:noProof/>
                <w:webHidden/>
              </w:rPr>
              <w:instrText xml:space="preserve"> PAGEREF _Toc500109619 \h </w:instrText>
            </w:r>
            <w:r>
              <w:rPr>
                <w:noProof/>
                <w:webHidden/>
              </w:rPr>
            </w:r>
            <w:r>
              <w:rPr>
                <w:noProof/>
                <w:webHidden/>
              </w:rPr>
              <w:fldChar w:fldCharType="separate"/>
            </w:r>
            <w:r>
              <w:rPr>
                <w:noProof/>
                <w:webHidden/>
              </w:rPr>
              <w:t>10</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20" w:history="1">
            <w:r w:rsidRPr="00F06D8A">
              <w:rPr>
                <w:rStyle w:val="Hyperlink"/>
                <w:rFonts w:eastAsia="Calibri" w:cs="Arial"/>
                <w:noProof/>
              </w:rPr>
              <w:t xml:space="preserve">3.2.1 </w:t>
            </w:r>
            <w:r w:rsidRPr="00F06D8A">
              <w:rPr>
                <w:rStyle w:val="Hyperlink"/>
                <w:noProof/>
              </w:rPr>
              <w:t>Garantias para a suspensão do processo de execução fiscal</w:t>
            </w:r>
            <w:r>
              <w:rPr>
                <w:noProof/>
                <w:webHidden/>
              </w:rPr>
              <w:tab/>
            </w:r>
            <w:r>
              <w:rPr>
                <w:noProof/>
                <w:webHidden/>
              </w:rPr>
              <w:fldChar w:fldCharType="begin"/>
            </w:r>
            <w:r>
              <w:rPr>
                <w:noProof/>
                <w:webHidden/>
              </w:rPr>
              <w:instrText xml:space="preserve"> PAGEREF _Toc500109620 \h </w:instrText>
            </w:r>
            <w:r>
              <w:rPr>
                <w:noProof/>
                <w:webHidden/>
              </w:rPr>
            </w:r>
            <w:r>
              <w:rPr>
                <w:noProof/>
                <w:webHidden/>
              </w:rPr>
              <w:fldChar w:fldCharType="separate"/>
            </w:r>
            <w:r>
              <w:rPr>
                <w:noProof/>
                <w:webHidden/>
              </w:rPr>
              <w:t>12</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21" w:history="1">
            <w:r w:rsidRPr="00F06D8A">
              <w:rPr>
                <w:rStyle w:val="Hyperlink"/>
                <w:rFonts w:eastAsia="Calibri" w:cs="Arial"/>
                <w:noProof/>
              </w:rPr>
              <w:t xml:space="preserve">3.2.1.1 </w:t>
            </w:r>
            <w:r w:rsidRPr="00F06D8A">
              <w:rPr>
                <w:rStyle w:val="Hyperlink"/>
                <w:noProof/>
              </w:rPr>
              <w:t>As garantias para suspensão da execução fiscal</w:t>
            </w:r>
            <w:r>
              <w:rPr>
                <w:noProof/>
                <w:webHidden/>
              </w:rPr>
              <w:tab/>
            </w:r>
            <w:r>
              <w:rPr>
                <w:noProof/>
                <w:webHidden/>
              </w:rPr>
              <w:fldChar w:fldCharType="begin"/>
            </w:r>
            <w:r>
              <w:rPr>
                <w:noProof/>
                <w:webHidden/>
              </w:rPr>
              <w:instrText xml:space="preserve"> PAGEREF _Toc500109621 \h </w:instrText>
            </w:r>
            <w:r>
              <w:rPr>
                <w:noProof/>
                <w:webHidden/>
              </w:rPr>
            </w:r>
            <w:r>
              <w:rPr>
                <w:noProof/>
                <w:webHidden/>
              </w:rPr>
              <w:fldChar w:fldCharType="separate"/>
            </w:r>
            <w:r>
              <w:rPr>
                <w:noProof/>
                <w:webHidden/>
              </w:rPr>
              <w:t>13</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22" w:history="1">
            <w:r w:rsidRPr="00F06D8A">
              <w:rPr>
                <w:rStyle w:val="Hyperlink"/>
                <w:rFonts w:eastAsia="Calibri" w:cs="Arial"/>
                <w:noProof/>
              </w:rPr>
              <w:t xml:space="preserve">3.1.2.2 </w:t>
            </w:r>
            <w:r w:rsidRPr="00F06D8A">
              <w:rPr>
                <w:rStyle w:val="Hyperlink"/>
                <w:noProof/>
              </w:rPr>
              <w:t>Constituição de hipoteca legal ou penhor</w:t>
            </w:r>
            <w:r>
              <w:rPr>
                <w:noProof/>
                <w:webHidden/>
              </w:rPr>
              <w:tab/>
            </w:r>
            <w:r>
              <w:rPr>
                <w:noProof/>
                <w:webHidden/>
              </w:rPr>
              <w:fldChar w:fldCharType="begin"/>
            </w:r>
            <w:r>
              <w:rPr>
                <w:noProof/>
                <w:webHidden/>
              </w:rPr>
              <w:instrText xml:space="preserve"> PAGEREF _Toc500109622 \h </w:instrText>
            </w:r>
            <w:r>
              <w:rPr>
                <w:noProof/>
                <w:webHidden/>
              </w:rPr>
            </w:r>
            <w:r>
              <w:rPr>
                <w:noProof/>
                <w:webHidden/>
              </w:rPr>
              <w:fldChar w:fldCharType="separate"/>
            </w:r>
            <w:r>
              <w:rPr>
                <w:noProof/>
                <w:webHidden/>
              </w:rPr>
              <w:t>16</w:t>
            </w:r>
            <w:r>
              <w:rPr>
                <w:noProof/>
                <w:webHidden/>
              </w:rPr>
              <w:fldChar w:fldCharType="end"/>
            </w:r>
          </w:hyperlink>
        </w:p>
        <w:p w:rsidR="0002555B" w:rsidRDefault="0002555B">
          <w:pPr>
            <w:pStyle w:val="Sumrio3"/>
            <w:tabs>
              <w:tab w:val="right" w:leader="dot" w:pos="8494"/>
            </w:tabs>
            <w:rPr>
              <w:rFonts w:eastAsiaTheme="minorEastAsia"/>
              <w:noProof/>
              <w:lang w:eastAsia="pt-PT"/>
            </w:rPr>
          </w:pPr>
          <w:hyperlink w:anchor="_Toc500109623" w:history="1">
            <w:r w:rsidRPr="00F06D8A">
              <w:rPr>
                <w:rStyle w:val="Hyperlink"/>
                <w:rFonts w:eastAsia="Calibri" w:cs="Arial"/>
                <w:noProof/>
              </w:rPr>
              <w:t xml:space="preserve">3.2.1.3 </w:t>
            </w:r>
            <w:r w:rsidRPr="00F06D8A">
              <w:rPr>
                <w:rStyle w:val="Hyperlink"/>
                <w:noProof/>
              </w:rPr>
              <w:t>A suspensão</w:t>
            </w:r>
            <w:r>
              <w:rPr>
                <w:noProof/>
                <w:webHidden/>
              </w:rPr>
              <w:tab/>
            </w:r>
            <w:r>
              <w:rPr>
                <w:noProof/>
                <w:webHidden/>
              </w:rPr>
              <w:fldChar w:fldCharType="begin"/>
            </w:r>
            <w:r>
              <w:rPr>
                <w:noProof/>
                <w:webHidden/>
              </w:rPr>
              <w:instrText xml:space="preserve"> PAGEREF _Toc500109623 \h </w:instrText>
            </w:r>
            <w:r>
              <w:rPr>
                <w:noProof/>
                <w:webHidden/>
              </w:rPr>
            </w:r>
            <w:r>
              <w:rPr>
                <w:noProof/>
                <w:webHidden/>
              </w:rPr>
              <w:fldChar w:fldCharType="separate"/>
            </w:r>
            <w:r>
              <w:rPr>
                <w:noProof/>
                <w:webHidden/>
              </w:rPr>
              <w:t>16</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24" w:history="1">
            <w:r w:rsidRPr="00F06D8A">
              <w:rPr>
                <w:rStyle w:val="Hyperlink"/>
                <w:rFonts w:eastAsia="Calibri"/>
                <w:noProof/>
              </w:rPr>
              <w:t>Capitulo 4</w:t>
            </w:r>
            <w:r>
              <w:rPr>
                <w:noProof/>
                <w:webHidden/>
              </w:rPr>
              <w:tab/>
            </w:r>
            <w:r>
              <w:rPr>
                <w:noProof/>
                <w:webHidden/>
              </w:rPr>
              <w:fldChar w:fldCharType="begin"/>
            </w:r>
            <w:r>
              <w:rPr>
                <w:noProof/>
                <w:webHidden/>
              </w:rPr>
              <w:instrText xml:space="preserve"> PAGEREF _Toc500109624 \h </w:instrText>
            </w:r>
            <w:r>
              <w:rPr>
                <w:noProof/>
                <w:webHidden/>
              </w:rPr>
            </w:r>
            <w:r>
              <w:rPr>
                <w:noProof/>
                <w:webHidden/>
              </w:rPr>
              <w:fldChar w:fldCharType="separate"/>
            </w:r>
            <w:r>
              <w:rPr>
                <w:noProof/>
                <w:webHidden/>
              </w:rPr>
              <w:t>18</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25" w:history="1">
            <w:r w:rsidRPr="00F06D8A">
              <w:rPr>
                <w:rStyle w:val="Hyperlink"/>
                <w:rFonts w:eastAsia="Calibri"/>
                <w:noProof/>
              </w:rPr>
              <w:t>4.1 Garantias para pagamentos em prestações</w:t>
            </w:r>
            <w:r>
              <w:rPr>
                <w:noProof/>
                <w:webHidden/>
              </w:rPr>
              <w:tab/>
            </w:r>
            <w:r>
              <w:rPr>
                <w:noProof/>
                <w:webHidden/>
              </w:rPr>
              <w:fldChar w:fldCharType="begin"/>
            </w:r>
            <w:r>
              <w:rPr>
                <w:noProof/>
                <w:webHidden/>
              </w:rPr>
              <w:instrText xml:space="preserve"> PAGEREF _Toc500109625 \h </w:instrText>
            </w:r>
            <w:r>
              <w:rPr>
                <w:noProof/>
                <w:webHidden/>
              </w:rPr>
            </w:r>
            <w:r>
              <w:rPr>
                <w:noProof/>
                <w:webHidden/>
              </w:rPr>
              <w:fldChar w:fldCharType="separate"/>
            </w:r>
            <w:r>
              <w:rPr>
                <w:noProof/>
                <w:webHidden/>
              </w:rPr>
              <w:t>18</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26" w:history="1">
            <w:r w:rsidRPr="00F06D8A">
              <w:rPr>
                <w:rStyle w:val="Hyperlink"/>
                <w:rFonts w:eastAsia="Calibri"/>
                <w:noProof/>
              </w:rPr>
              <w:t>4.1.1 Os diversos tipos de pagamentos em prestações</w:t>
            </w:r>
            <w:r>
              <w:rPr>
                <w:noProof/>
                <w:webHidden/>
              </w:rPr>
              <w:tab/>
            </w:r>
            <w:r>
              <w:rPr>
                <w:noProof/>
                <w:webHidden/>
              </w:rPr>
              <w:fldChar w:fldCharType="begin"/>
            </w:r>
            <w:r>
              <w:rPr>
                <w:noProof/>
                <w:webHidden/>
              </w:rPr>
              <w:instrText xml:space="preserve"> PAGEREF _Toc500109626 \h </w:instrText>
            </w:r>
            <w:r>
              <w:rPr>
                <w:noProof/>
                <w:webHidden/>
              </w:rPr>
            </w:r>
            <w:r>
              <w:rPr>
                <w:noProof/>
                <w:webHidden/>
              </w:rPr>
              <w:fldChar w:fldCharType="separate"/>
            </w:r>
            <w:r>
              <w:rPr>
                <w:noProof/>
                <w:webHidden/>
              </w:rPr>
              <w:t>18</w:t>
            </w:r>
            <w:r>
              <w:rPr>
                <w:noProof/>
                <w:webHidden/>
              </w:rPr>
              <w:fldChar w:fldCharType="end"/>
            </w:r>
          </w:hyperlink>
        </w:p>
        <w:p w:rsidR="0002555B" w:rsidRDefault="0002555B">
          <w:pPr>
            <w:pStyle w:val="Sumrio2"/>
            <w:tabs>
              <w:tab w:val="left" w:pos="1100"/>
              <w:tab w:val="right" w:leader="dot" w:pos="8494"/>
            </w:tabs>
            <w:rPr>
              <w:rFonts w:eastAsiaTheme="minorEastAsia"/>
              <w:noProof/>
              <w:lang w:eastAsia="pt-PT"/>
            </w:rPr>
          </w:pPr>
          <w:hyperlink w:anchor="_Toc500109627" w:history="1">
            <w:r w:rsidRPr="00F06D8A">
              <w:rPr>
                <w:rStyle w:val="Hyperlink"/>
                <w:rFonts w:eastAsia="Calibri" w:cs="Arial"/>
                <w:noProof/>
              </w:rPr>
              <w:t>4.1.2</w:t>
            </w:r>
            <w:r>
              <w:rPr>
                <w:rFonts w:eastAsiaTheme="minorEastAsia"/>
                <w:noProof/>
                <w:lang w:eastAsia="pt-PT"/>
              </w:rPr>
              <w:tab/>
            </w:r>
            <w:r w:rsidRPr="00F06D8A">
              <w:rPr>
                <w:rStyle w:val="Hyperlink"/>
                <w:noProof/>
              </w:rPr>
              <w:t>Regime geral dos pagamentos em prestações</w:t>
            </w:r>
            <w:r>
              <w:rPr>
                <w:noProof/>
                <w:webHidden/>
              </w:rPr>
              <w:tab/>
            </w:r>
            <w:r>
              <w:rPr>
                <w:noProof/>
                <w:webHidden/>
              </w:rPr>
              <w:fldChar w:fldCharType="begin"/>
            </w:r>
            <w:r>
              <w:rPr>
                <w:noProof/>
                <w:webHidden/>
              </w:rPr>
              <w:instrText xml:space="preserve"> PAGEREF _Toc500109627 \h </w:instrText>
            </w:r>
            <w:r>
              <w:rPr>
                <w:noProof/>
                <w:webHidden/>
              </w:rPr>
            </w:r>
            <w:r>
              <w:rPr>
                <w:noProof/>
                <w:webHidden/>
              </w:rPr>
              <w:fldChar w:fldCharType="separate"/>
            </w:r>
            <w:r>
              <w:rPr>
                <w:noProof/>
                <w:webHidden/>
              </w:rPr>
              <w:t>20</w:t>
            </w:r>
            <w:r>
              <w:rPr>
                <w:noProof/>
                <w:webHidden/>
              </w:rPr>
              <w:fldChar w:fldCharType="end"/>
            </w:r>
          </w:hyperlink>
        </w:p>
        <w:p w:rsidR="0002555B" w:rsidRDefault="0002555B">
          <w:pPr>
            <w:pStyle w:val="Sumrio2"/>
            <w:tabs>
              <w:tab w:val="left" w:pos="1100"/>
              <w:tab w:val="right" w:leader="dot" w:pos="8494"/>
            </w:tabs>
            <w:rPr>
              <w:rFonts w:eastAsiaTheme="minorEastAsia"/>
              <w:noProof/>
              <w:lang w:eastAsia="pt-PT"/>
            </w:rPr>
          </w:pPr>
          <w:hyperlink w:anchor="_Toc500109628" w:history="1">
            <w:r w:rsidRPr="00F06D8A">
              <w:rPr>
                <w:rStyle w:val="Hyperlink"/>
                <w:rFonts w:eastAsia="Calibri" w:cs="Arial"/>
                <w:noProof/>
              </w:rPr>
              <w:t>4.1.3</w:t>
            </w:r>
            <w:r>
              <w:rPr>
                <w:rFonts w:eastAsiaTheme="minorEastAsia"/>
                <w:noProof/>
                <w:lang w:eastAsia="pt-PT"/>
              </w:rPr>
              <w:tab/>
            </w:r>
            <w:r w:rsidRPr="00F06D8A">
              <w:rPr>
                <w:rStyle w:val="Hyperlink"/>
                <w:noProof/>
              </w:rPr>
              <w:t>Prestações com dispensa de garantia</w:t>
            </w:r>
            <w:r>
              <w:rPr>
                <w:noProof/>
                <w:webHidden/>
              </w:rPr>
              <w:tab/>
            </w:r>
            <w:r>
              <w:rPr>
                <w:noProof/>
                <w:webHidden/>
              </w:rPr>
              <w:fldChar w:fldCharType="begin"/>
            </w:r>
            <w:r>
              <w:rPr>
                <w:noProof/>
                <w:webHidden/>
              </w:rPr>
              <w:instrText xml:space="preserve"> PAGEREF _Toc500109628 \h </w:instrText>
            </w:r>
            <w:r>
              <w:rPr>
                <w:noProof/>
                <w:webHidden/>
              </w:rPr>
            </w:r>
            <w:r>
              <w:rPr>
                <w:noProof/>
                <w:webHidden/>
              </w:rPr>
              <w:fldChar w:fldCharType="separate"/>
            </w:r>
            <w:r>
              <w:rPr>
                <w:noProof/>
                <w:webHidden/>
              </w:rPr>
              <w:t>22</w:t>
            </w:r>
            <w:r>
              <w:rPr>
                <w:noProof/>
                <w:webHidden/>
              </w:rPr>
              <w:fldChar w:fldCharType="end"/>
            </w:r>
          </w:hyperlink>
        </w:p>
        <w:p w:rsidR="0002555B" w:rsidRDefault="0002555B">
          <w:pPr>
            <w:pStyle w:val="Sumrio2"/>
            <w:tabs>
              <w:tab w:val="left" w:pos="1100"/>
              <w:tab w:val="right" w:leader="dot" w:pos="8494"/>
            </w:tabs>
            <w:rPr>
              <w:rFonts w:eastAsiaTheme="minorEastAsia"/>
              <w:noProof/>
              <w:lang w:eastAsia="pt-PT"/>
            </w:rPr>
          </w:pPr>
          <w:hyperlink w:anchor="_Toc500109629" w:history="1">
            <w:r w:rsidRPr="00F06D8A">
              <w:rPr>
                <w:rStyle w:val="Hyperlink"/>
                <w:rFonts w:eastAsia="Calibri" w:cs="Arial"/>
                <w:noProof/>
              </w:rPr>
              <w:t>4.1.4</w:t>
            </w:r>
            <w:r>
              <w:rPr>
                <w:rFonts w:eastAsiaTheme="minorEastAsia"/>
                <w:noProof/>
                <w:lang w:eastAsia="pt-PT"/>
              </w:rPr>
              <w:tab/>
            </w:r>
            <w:r w:rsidRPr="00F06D8A">
              <w:rPr>
                <w:rStyle w:val="Hyperlink"/>
                <w:noProof/>
              </w:rPr>
              <w:t>Dívidas de importância reduzida</w:t>
            </w:r>
            <w:r>
              <w:rPr>
                <w:noProof/>
                <w:webHidden/>
              </w:rPr>
              <w:tab/>
            </w:r>
            <w:r>
              <w:rPr>
                <w:noProof/>
                <w:webHidden/>
              </w:rPr>
              <w:fldChar w:fldCharType="begin"/>
            </w:r>
            <w:r>
              <w:rPr>
                <w:noProof/>
                <w:webHidden/>
              </w:rPr>
              <w:instrText xml:space="preserve"> PAGEREF _Toc500109629 \h </w:instrText>
            </w:r>
            <w:r>
              <w:rPr>
                <w:noProof/>
                <w:webHidden/>
              </w:rPr>
            </w:r>
            <w:r>
              <w:rPr>
                <w:noProof/>
                <w:webHidden/>
              </w:rPr>
              <w:fldChar w:fldCharType="separate"/>
            </w:r>
            <w:r>
              <w:rPr>
                <w:noProof/>
                <w:webHidden/>
              </w:rPr>
              <w:t>22</w:t>
            </w:r>
            <w:r>
              <w:rPr>
                <w:noProof/>
                <w:webHidden/>
              </w:rPr>
              <w:fldChar w:fldCharType="end"/>
            </w:r>
          </w:hyperlink>
        </w:p>
        <w:p w:rsidR="0002555B" w:rsidRDefault="0002555B">
          <w:pPr>
            <w:pStyle w:val="Sumrio2"/>
            <w:tabs>
              <w:tab w:val="left" w:pos="1100"/>
              <w:tab w:val="right" w:leader="dot" w:pos="8494"/>
            </w:tabs>
            <w:rPr>
              <w:rFonts w:eastAsiaTheme="minorEastAsia"/>
              <w:noProof/>
              <w:lang w:eastAsia="pt-PT"/>
            </w:rPr>
          </w:pPr>
          <w:hyperlink w:anchor="_Toc500109630" w:history="1">
            <w:r w:rsidRPr="00F06D8A">
              <w:rPr>
                <w:rStyle w:val="Hyperlink"/>
                <w:rFonts w:eastAsia="Calibri" w:cs="Arial"/>
                <w:noProof/>
              </w:rPr>
              <w:t>4.1.5</w:t>
            </w:r>
            <w:r>
              <w:rPr>
                <w:rFonts w:eastAsiaTheme="minorEastAsia"/>
                <w:noProof/>
                <w:lang w:eastAsia="pt-PT"/>
              </w:rPr>
              <w:tab/>
            </w:r>
            <w:r w:rsidRPr="00F06D8A">
              <w:rPr>
                <w:rStyle w:val="Hyperlink"/>
                <w:noProof/>
              </w:rPr>
              <w:t>Os regimes especiais – períodos longos.</w:t>
            </w:r>
            <w:r>
              <w:rPr>
                <w:noProof/>
                <w:webHidden/>
              </w:rPr>
              <w:tab/>
            </w:r>
            <w:r>
              <w:rPr>
                <w:noProof/>
                <w:webHidden/>
              </w:rPr>
              <w:fldChar w:fldCharType="begin"/>
            </w:r>
            <w:r>
              <w:rPr>
                <w:noProof/>
                <w:webHidden/>
              </w:rPr>
              <w:instrText xml:space="preserve"> PAGEREF _Toc500109630 \h </w:instrText>
            </w:r>
            <w:r>
              <w:rPr>
                <w:noProof/>
                <w:webHidden/>
              </w:rPr>
            </w:r>
            <w:r>
              <w:rPr>
                <w:noProof/>
                <w:webHidden/>
              </w:rPr>
              <w:fldChar w:fldCharType="separate"/>
            </w:r>
            <w:r>
              <w:rPr>
                <w:noProof/>
                <w:webHidden/>
              </w:rPr>
              <w:t>24</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31" w:history="1">
            <w:r w:rsidRPr="00F06D8A">
              <w:rPr>
                <w:rStyle w:val="Hyperlink"/>
                <w:rFonts w:eastAsia="Calibri"/>
                <w:noProof/>
              </w:rPr>
              <w:t>Capitulo 5</w:t>
            </w:r>
            <w:r>
              <w:rPr>
                <w:noProof/>
                <w:webHidden/>
              </w:rPr>
              <w:tab/>
            </w:r>
            <w:r>
              <w:rPr>
                <w:noProof/>
                <w:webHidden/>
              </w:rPr>
              <w:fldChar w:fldCharType="begin"/>
            </w:r>
            <w:r>
              <w:rPr>
                <w:noProof/>
                <w:webHidden/>
              </w:rPr>
              <w:instrText xml:space="preserve"> PAGEREF _Toc500109631 \h </w:instrText>
            </w:r>
            <w:r>
              <w:rPr>
                <w:noProof/>
                <w:webHidden/>
              </w:rPr>
            </w:r>
            <w:r>
              <w:rPr>
                <w:noProof/>
                <w:webHidden/>
              </w:rPr>
              <w:fldChar w:fldCharType="separate"/>
            </w:r>
            <w:r>
              <w:rPr>
                <w:noProof/>
                <w:webHidden/>
              </w:rPr>
              <w:t>38</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32" w:history="1">
            <w:r w:rsidRPr="00F06D8A">
              <w:rPr>
                <w:rStyle w:val="Hyperlink"/>
                <w:rFonts w:eastAsia="Calibri"/>
                <w:noProof/>
              </w:rPr>
              <w:t>5.1 A dispensa de apresentação de garantia</w:t>
            </w:r>
            <w:r>
              <w:rPr>
                <w:noProof/>
                <w:webHidden/>
              </w:rPr>
              <w:tab/>
            </w:r>
            <w:r>
              <w:rPr>
                <w:noProof/>
                <w:webHidden/>
              </w:rPr>
              <w:fldChar w:fldCharType="begin"/>
            </w:r>
            <w:r>
              <w:rPr>
                <w:noProof/>
                <w:webHidden/>
              </w:rPr>
              <w:instrText xml:space="preserve"> PAGEREF _Toc500109632 \h </w:instrText>
            </w:r>
            <w:r>
              <w:rPr>
                <w:noProof/>
                <w:webHidden/>
              </w:rPr>
            </w:r>
            <w:r>
              <w:rPr>
                <w:noProof/>
                <w:webHidden/>
              </w:rPr>
              <w:fldChar w:fldCharType="separate"/>
            </w:r>
            <w:r>
              <w:rPr>
                <w:noProof/>
                <w:webHidden/>
              </w:rPr>
              <w:t>38</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33" w:history="1">
            <w:r w:rsidRPr="00F06D8A">
              <w:rPr>
                <w:rStyle w:val="Hyperlink"/>
                <w:rFonts w:eastAsia="Calibri"/>
                <w:noProof/>
              </w:rPr>
              <w:t>5.1.1 Prejuízo irreparável ou insuficiência de bens</w:t>
            </w:r>
            <w:r>
              <w:rPr>
                <w:noProof/>
                <w:webHidden/>
              </w:rPr>
              <w:tab/>
            </w:r>
            <w:r>
              <w:rPr>
                <w:noProof/>
                <w:webHidden/>
              </w:rPr>
              <w:fldChar w:fldCharType="begin"/>
            </w:r>
            <w:r>
              <w:rPr>
                <w:noProof/>
                <w:webHidden/>
              </w:rPr>
              <w:instrText xml:space="preserve"> PAGEREF _Toc500109633 \h </w:instrText>
            </w:r>
            <w:r>
              <w:rPr>
                <w:noProof/>
                <w:webHidden/>
              </w:rPr>
            </w:r>
            <w:r>
              <w:rPr>
                <w:noProof/>
                <w:webHidden/>
              </w:rPr>
              <w:fldChar w:fldCharType="separate"/>
            </w:r>
            <w:r>
              <w:rPr>
                <w:noProof/>
                <w:webHidden/>
              </w:rPr>
              <w:t>38</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34" w:history="1">
            <w:r w:rsidRPr="00F06D8A">
              <w:rPr>
                <w:rStyle w:val="Hyperlink"/>
                <w:rFonts w:eastAsia="Calibri"/>
                <w:noProof/>
              </w:rPr>
              <w:t>5.1.2 Atuação dolosa do executado</w:t>
            </w:r>
            <w:r>
              <w:rPr>
                <w:noProof/>
                <w:webHidden/>
              </w:rPr>
              <w:tab/>
            </w:r>
            <w:r>
              <w:rPr>
                <w:noProof/>
                <w:webHidden/>
              </w:rPr>
              <w:fldChar w:fldCharType="begin"/>
            </w:r>
            <w:r>
              <w:rPr>
                <w:noProof/>
                <w:webHidden/>
              </w:rPr>
              <w:instrText xml:space="preserve"> PAGEREF _Toc500109634 \h </w:instrText>
            </w:r>
            <w:r>
              <w:rPr>
                <w:noProof/>
                <w:webHidden/>
              </w:rPr>
            </w:r>
            <w:r>
              <w:rPr>
                <w:noProof/>
                <w:webHidden/>
              </w:rPr>
              <w:fldChar w:fldCharType="separate"/>
            </w:r>
            <w:r>
              <w:rPr>
                <w:noProof/>
                <w:webHidden/>
              </w:rPr>
              <w:t>41</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35" w:history="1">
            <w:r w:rsidRPr="00F06D8A">
              <w:rPr>
                <w:rStyle w:val="Hyperlink"/>
                <w:rFonts w:eastAsia="Calibri"/>
                <w:noProof/>
              </w:rPr>
              <w:t>5.1.3 Prazo para a decisão e despacho</w:t>
            </w:r>
            <w:r>
              <w:rPr>
                <w:noProof/>
                <w:webHidden/>
              </w:rPr>
              <w:tab/>
            </w:r>
            <w:r>
              <w:rPr>
                <w:noProof/>
                <w:webHidden/>
              </w:rPr>
              <w:fldChar w:fldCharType="begin"/>
            </w:r>
            <w:r>
              <w:rPr>
                <w:noProof/>
                <w:webHidden/>
              </w:rPr>
              <w:instrText xml:space="preserve"> PAGEREF _Toc500109635 \h </w:instrText>
            </w:r>
            <w:r>
              <w:rPr>
                <w:noProof/>
                <w:webHidden/>
              </w:rPr>
            </w:r>
            <w:r>
              <w:rPr>
                <w:noProof/>
                <w:webHidden/>
              </w:rPr>
              <w:fldChar w:fldCharType="separate"/>
            </w:r>
            <w:r>
              <w:rPr>
                <w:noProof/>
                <w:webHidden/>
              </w:rPr>
              <w:t>44</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36" w:history="1">
            <w:r w:rsidRPr="00F06D8A">
              <w:rPr>
                <w:rStyle w:val="Hyperlink"/>
                <w:rFonts w:eastAsia="Calibri"/>
                <w:noProof/>
              </w:rPr>
              <w:t>5.1.4 Dispensa parcial da garantia</w:t>
            </w:r>
            <w:r>
              <w:rPr>
                <w:noProof/>
                <w:webHidden/>
              </w:rPr>
              <w:tab/>
            </w:r>
            <w:r>
              <w:rPr>
                <w:noProof/>
                <w:webHidden/>
              </w:rPr>
              <w:fldChar w:fldCharType="begin"/>
            </w:r>
            <w:r>
              <w:rPr>
                <w:noProof/>
                <w:webHidden/>
              </w:rPr>
              <w:instrText xml:space="preserve"> PAGEREF _Toc500109636 \h </w:instrText>
            </w:r>
            <w:r>
              <w:rPr>
                <w:noProof/>
                <w:webHidden/>
              </w:rPr>
            </w:r>
            <w:r>
              <w:rPr>
                <w:noProof/>
                <w:webHidden/>
              </w:rPr>
              <w:fldChar w:fldCharType="separate"/>
            </w:r>
            <w:r>
              <w:rPr>
                <w:noProof/>
                <w:webHidden/>
              </w:rPr>
              <w:t>45</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37" w:history="1">
            <w:r w:rsidRPr="00F06D8A">
              <w:rPr>
                <w:rStyle w:val="Hyperlink"/>
                <w:rFonts w:eastAsia="Calibri"/>
                <w:noProof/>
              </w:rPr>
              <w:t>5.1.5 Caducidade da garantia</w:t>
            </w:r>
            <w:r>
              <w:rPr>
                <w:noProof/>
                <w:webHidden/>
              </w:rPr>
              <w:tab/>
            </w:r>
            <w:r>
              <w:rPr>
                <w:noProof/>
                <w:webHidden/>
              </w:rPr>
              <w:fldChar w:fldCharType="begin"/>
            </w:r>
            <w:r>
              <w:rPr>
                <w:noProof/>
                <w:webHidden/>
              </w:rPr>
              <w:instrText xml:space="preserve"> PAGEREF _Toc500109637 \h </w:instrText>
            </w:r>
            <w:r>
              <w:rPr>
                <w:noProof/>
                <w:webHidden/>
              </w:rPr>
            </w:r>
            <w:r>
              <w:rPr>
                <w:noProof/>
                <w:webHidden/>
              </w:rPr>
              <w:fldChar w:fldCharType="separate"/>
            </w:r>
            <w:r>
              <w:rPr>
                <w:noProof/>
                <w:webHidden/>
              </w:rPr>
              <w:t>46</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38" w:history="1">
            <w:r w:rsidRPr="00F06D8A">
              <w:rPr>
                <w:rStyle w:val="Hyperlink"/>
                <w:rFonts w:eastAsia="Calibri"/>
                <w:noProof/>
              </w:rPr>
              <w:t>Capitulo 6</w:t>
            </w:r>
            <w:r>
              <w:rPr>
                <w:noProof/>
                <w:webHidden/>
              </w:rPr>
              <w:tab/>
            </w:r>
            <w:r>
              <w:rPr>
                <w:noProof/>
                <w:webHidden/>
              </w:rPr>
              <w:fldChar w:fldCharType="begin"/>
            </w:r>
            <w:r>
              <w:rPr>
                <w:noProof/>
                <w:webHidden/>
              </w:rPr>
              <w:instrText xml:space="preserve"> PAGEREF _Toc500109638 \h </w:instrText>
            </w:r>
            <w:r>
              <w:rPr>
                <w:noProof/>
                <w:webHidden/>
              </w:rPr>
            </w:r>
            <w:r>
              <w:rPr>
                <w:noProof/>
                <w:webHidden/>
              </w:rPr>
              <w:fldChar w:fldCharType="separate"/>
            </w:r>
            <w:r>
              <w:rPr>
                <w:noProof/>
                <w:webHidden/>
              </w:rPr>
              <w:t>48</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39" w:history="1">
            <w:r w:rsidRPr="00F06D8A">
              <w:rPr>
                <w:rStyle w:val="Hyperlink"/>
                <w:rFonts w:eastAsia="Calibri"/>
                <w:noProof/>
              </w:rPr>
              <w:t>6.1 Estudo Comparativo</w:t>
            </w:r>
            <w:r>
              <w:rPr>
                <w:noProof/>
                <w:webHidden/>
              </w:rPr>
              <w:tab/>
            </w:r>
            <w:r>
              <w:rPr>
                <w:noProof/>
                <w:webHidden/>
              </w:rPr>
              <w:fldChar w:fldCharType="begin"/>
            </w:r>
            <w:r>
              <w:rPr>
                <w:noProof/>
                <w:webHidden/>
              </w:rPr>
              <w:instrText xml:space="preserve"> PAGEREF _Toc500109639 \h </w:instrText>
            </w:r>
            <w:r>
              <w:rPr>
                <w:noProof/>
                <w:webHidden/>
              </w:rPr>
            </w:r>
            <w:r>
              <w:rPr>
                <w:noProof/>
                <w:webHidden/>
              </w:rPr>
              <w:fldChar w:fldCharType="separate"/>
            </w:r>
            <w:r>
              <w:rPr>
                <w:noProof/>
                <w:webHidden/>
              </w:rPr>
              <w:t>48</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0" w:history="1">
            <w:r w:rsidRPr="00F06D8A">
              <w:rPr>
                <w:rStyle w:val="Hyperlink"/>
                <w:rFonts w:eastAsia="Calibri"/>
                <w:noProof/>
              </w:rPr>
              <w:t>6.1.1 O caso espanhol</w:t>
            </w:r>
            <w:r>
              <w:rPr>
                <w:noProof/>
                <w:webHidden/>
              </w:rPr>
              <w:tab/>
            </w:r>
            <w:r>
              <w:rPr>
                <w:noProof/>
                <w:webHidden/>
              </w:rPr>
              <w:fldChar w:fldCharType="begin"/>
            </w:r>
            <w:r>
              <w:rPr>
                <w:noProof/>
                <w:webHidden/>
              </w:rPr>
              <w:instrText xml:space="preserve"> PAGEREF _Toc500109640 \h </w:instrText>
            </w:r>
            <w:r>
              <w:rPr>
                <w:noProof/>
                <w:webHidden/>
              </w:rPr>
            </w:r>
            <w:r>
              <w:rPr>
                <w:noProof/>
                <w:webHidden/>
              </w:rPr>
              <w:fldChar w:fldCharType="separate"/>
            </w:r>
            <w:r>
              <w:rPr>
                <w:noProof/>
                <w:webHidden/>
              </w:rPr>
              <w:t>49</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1" w:history="1">
            <w:r w:rsidRPr="00F06D8A">
              <w:rPr>
                <w:rStyle w:val="Hyperlink"/>
                <w:rFonts w:eastAsia="Calibri"/>
                <w:noProof/>
              </w:rPr>
              <w:t>6.1.2 O Brasil, uma perspetiva diferente.</w:t>
            </w:r>
            <w:r>
              <w:rPr>
                <w:noProof/>
                <w:webHidden/>
              </w:rPr>
              <w:tab/>
            </w:r>
            <w:r>
              <w:rPr>
                <w:noProof/>
                <w:webHidden/>
              </w:rPr>
              <w:fldChar w:fldCharType="begin"/>
            </w:r>
            <w:r>
              <w:rPr>
                <w:noProof/>
                <w:webHidden/>
              </w:rPr>
              <w:instrText xml:space="preserve"> PAGEREF _Toc500109641 \h </w:instrText>
            </w:r>
            <w:r>
              <w:rPr>
                <w:noProof/>
                <w:webHidden/>
              </w:rPr>
            </w:r>
            <w:r>
              <w:rPr>
                <w:noProof/>
                <w:webHidden/>
              </w:rPr>
              <w:fldChar w:fldCharType="separate"/>
            </w:r>
            <w:r>
              <w:rPr>
                <w:noProof/>
                <w:webHidden/>
              </w:rPr>
              <w:t>52</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2" w:history="1">
            <w:r w:rsidRPr="00F06D8A">
              <w:rPr>
                <w:rStyle w:val="Hyperlink"/>
                <w:rFonts w:eastAsia="Calibri"/>
                <w:noProof/>
              </w:rPr>
              <w:t>6.1.3 Outras realidades de diferentes ordenamentos jurídicos. Os pagamentos em prestações on-line nos EUA.</w:t>
            </w:r>
            <w:r>
              <w:rPr>
                <w:noProof/>
                <w:webHidden/>
              </w:rPr>
              <w:tab/>
            </w:r>
            <w:r>
              <w:rPr>
                <w:noProof/>
                <w:webHidden/>
              </w:rPr>
              <w:fldChar w:fldCharType="begin"/>
            </w:r>
            <w:r>
              <w:rPr>
                <w:noProof/>
                <w:webHidden/>
              </w:rPr>
              <w:instrText xml:space="preserve"> PAGEREF _Toc500109642 \h </w:instrText>
            </w:r>
            <w:r>
              <w:rPr>
                <w:noProof/>
                <w:webHidden/>
              </w:rPr>
            </w:r>
            <w:r>
              <w:rPr>
                <w:noProof/>
                <w:webHidden/>
              </w:rPr>
              <w:fldChar w:fldCharType="separate"/>
            </w:r>
            <w:r>
              <w:rPr>
                <w:noProof/>
                <w:webHidden/>
              </w:rPr>
              <w:t>57</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43" w:history="1">
            <w:r w:rsidRPr="00F06D8A">
              <w:rPr>
                <w:rStyle w:val="Hyperlink"/>
                <w:rFonts w:eastAsia="Calibri"/>
                <w:noProof/>
              </w:rPr>
              <w:t>Capitulo 7</w:t>
            </w:r>
            <w:r>
              <w:rPr>
                <w:noProof/>
                <w:webHidden/>
              </w:rPr>
              <w:tab/>
            </w:r>
            <w:r>
              <w:rPr>
                <w:noProof/>
                <w:webHidden/>
              </w:rPr>
              <w:fldChar w:fldCharType="begin"/>
            </w:r>
            <w:r>
              <w:rPr>
                <w:noProof/>
                <w:webHidden/>
              </w:rPr>
              <w:instrText xml:space="preserve"> PAGEREF _Toc500109643 \h </w:instrText>
            </w:r>
            <w:r>
              <w:rPr>
                <w:noProof/>
                <w:webHidden/>
              </w:rPr>
            </w:r>
            <w:r>
              <w:rPr>
                <w:noProof/>
                <w:webHidden/>
              </w:rPr>
              <w:fldChar w:fldCharType="separate"/>
            </w:r>
            <w:r>
              <w:rPr>
                <w:noProof/>
                <w:webHidden/>
              </w:rPr>
              <w:t>59</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44" w:history="1">
            <w:r w:rsidRPr="00F06D8A">
              <w:rPr>
                <w:rStyle w:val="Hyperlink"/>
                <w:rFonts w:eastAsia="Calibri"/>
                <w:noProof/>
              </w:rPr>
              <w:t>7.1 O reforço da garantia</w:t>
            </w:r>
            <w:r>
              <w:rPr>
                <w:noProof/>
                <w:webHidden/>
              </w:rPr>
              <w:tab/>
            </w:r>
            <w:r>
              <w:rPr>
                <w:noProof/>
                <w:webHidden/>
              </w:rPr>
              <w:fldChar w:fldCharType="begin"/>
            </w:r>
            <w:r>
              <w:rPr>
                <w:noProof/>
                <w:webHidden/>
              </w:rPr>
              <w:instrText xml:space="preserve"> PAGEREF _Toc500109644 \h </w:instrText>
            </w:r>
            <w:r>
              <w:rPr>
                <w:noProof/>
                <w:webHidden/>
              </w:rPr>
            </w:r>
            <w:r>
              <w:rPr>
                <w:noProof/>
                <w:webHidden/>
              </w:rPr>
              <w:fldChar w:fldCharType="separate"/>
            </w:r>
            <w:r>
              <w:rPr>
                <w:noProof/>
                <w:webHidden/>
              </w:rPr>
              <w:t>59</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5" w:history="1">
            <w:r w:rsidRPr="00F06D8A">
              <w:rPr>
                <w:rStyle w:val="Hyperlink"/>
                <w:rFonts w:eastAsia="Calibri"/>
                <w:noProof/>
              </w:rPr>
              <w:t>7.1.1 Enquadramento</w:t>
            </w:r>
            <w:r>
              <w:rPr>
                <w:noProof/>
                <w:webHidden/>
              </w:rPr>
              <w:tab/>
            </w:r>
            <w:r>
              <w:rPr>
                <w:noProof/>
                <w:webHidden/>
              </w:rPr>
              <w:fldChar w:fldCharType="begin"/>
            </w:r>
            <w:r>
              <w:rPr>
                <w:noProof/>
                <w:webHidden/>
              </w:rPr>
              <w:instrText xml:space="preserve"> PAGEREF _Toc500109645 \h </w:instrText>
            </w:r>
            <w:r>
              <w:rPr>
                <w:noProof/>
                <w:webHidden/>
              </w:rPr>
            </w:r>
            <w:r>
              <w:rPr>
                <w:noProof/>
                <w:webHidden/>
              </w:rPr>
              <w:fldChar w:fldCharType="separate"/>
            </w:r>
            <w:r>
              <w:rPr>
                <w:noProof/>
                <w:webHidden/>
              </w:rPr>
              <w:t>59</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6" w:history="1">
            <w:r w:rsidRPr="00F06D8A">
              <w:rPr>
                <w:rStyle w:val="Hyperlink"/>
                <w:rFonts w:eastAsia="Calibri"/>
                <w:noProof/>
              </w:rPr>
              <w:t>7.1.2 As instruções administrativas</w:t>
            </w:r>
            <w:r>
              <w:rPr>
                <w:noProof/>
                <w:webHidden/>
              </w:rPr>
              <w:tab/>
            </w:r>
            <w:r>
              <w:rPr>
                <w:noProof/>
                <w:webHidden/>
              </w:rPr>
              <w:fldChar w:fldCharType="begin"/>
            </w:r>
            <w:r>
              <w:rPr>
                <w:noProof/>
                <w:webHidden/>
              </w:rPr>
              <w:instrText xml:space="preserve"> PAGEREF _Toc500109646 \h </w:instrText>
            </w:r>
            <w:r>
              <w:rPr>
                <w:noProof/>
                <w:webHidden/>
              </w:rPr>
            </w:r>
            <w:r>
              <w:rPr>
                <w:noProof/>
                <w:webHidden/>
              </w:rPr>
              <w:fldChar w:fldCharType="separate"/>
            </w:r>
            <w:r>
              <w:rPr>
                <w:noProof/>
                <w:webHidden/>
              </w:rPr>
              <w:t>62</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7" w:history="1">
            <w:r w:rsidRPr="00F06D8A">
              <w:rPr>
                <w:rStyle w:val="Hyperlink"/>
                <w:rFonts w:eastAsia="Calibri"/>
                <w:noProof/>
              </w:rPr>
              <w:t>7.1.3 Jurisprudência</w:t>
            </w:r>
            <w:r>
              <w:rPr>
                <w:noProof/>
                <w:webHidden/>
              </w:rPr>
              <w:tab/>
            </w:r>
            <w:r>
              <w:rPr>
                <w:noProof/>
                <w:webHidden/>
              </w:rPr>
              <w:fldChar w:fldCharType="begin"/>
            </w:r>
            <w:r>
              <w:rPr>
                <w:noProof/>
                <w:webHidden/>
              </w:rPr>
              <w:instrText xml:space="preserve"> PAGEREF _Toc500109647 \h </w:instrText>
            </w:r>
            <w:r>
              <w:rPr>
                <w:noProof/>
                <w:webHidden/>
              </w:rPr>
            </w:r>
            <w:r>
              <w:rPr>
                <w:noProof/>
                <w:webHidden/>
              </w:rPr>
              <w:fldChar w:fldCharType="separate"/>
            </w:r>
            <w:r>
              <w:rPr>
                <w:noProof/>
                <w:webHidden/>
              </w:rPr>
              <w:t>67</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8" w:history="1">
            <w:r w:rsidRPr="00F06D8A">
              <w:rPr>
                <w:rStyle w:val="Hyperlink"/>
                <w:rFonts w:eastAsia="Calibri"/>
                <w:noProof/>
              </w:rPr>
              <w:t>7.1.4 Um caso real</w:t>
            </w:r>
            <w:r>
              <w:rPr>
                <w:noProof/>
                <w:webHidden/>
              </w:rPr>
              <w:tab/>
            </w:r>
            <w:r>
              <w:rPr>
                <w:noProof/>
                <w:webHidden/>
              </w:rPr>
              <w:fldChar w:fldCharType="begin"/>
            </w:r>
            <w:r>
              <w:rPr>
                <w:noProof/>
                <w:webHidden/>
              </w:rPr>
              <w:instrText xml:space="preserve"> PAGEREF _Toc500109648 \h </w:instrText>
            </w:r>
            <w:r>
              <w:rPr>
                <w:noProof/>
                <w:webHidden/>
              </w:rPr>
            </w:r>
            <w:r>
              <w:rPr>
                <w:noProof/>
                <w:webHidden/>
              </w:rPr>
              <w:fldChar w:fldCharType="separate"/>
            </w:r>
            <w:r>
              <w:rPr>
                <w:noProof/>
                <w:webHidden/>
              </w:rPr>
              <w:t>72</w:t>
            </w:r>
            <w:r>
              <w:rPr>
                <w:noProof/>
                <w:webHidden/>
              </w:rPr>
              <w:fldChar w:fldCharType="end"/>
            </w:r>
          </w:hyperlink>
        </w:p>
        <w:p w:rsidR="0002555B" w:rsidRDefault="0002555B">
          <w:pPr>
            <w:pStyle w:val="Sumrio2"/>
            <w:tabs>
              <w:tab w:val="right" w:leader="dot" w:pos="8494"/>
            </w:tabs>
            <w:rPr>
              <w:rFonts w:eastAsiaTheme="minorEastAsia"/>
              <w:noProof/>
              <w:lang w:eastAsia="pt-PT"/>
            </w:rPr>
          </w:pPr>
          <w:hyperlink w:anchor="_Toc500109649" w:history="1">
            <w:r w:rsidRPr="00F06D8A">
              <w:rPr>
                <w:rStyle w:val="Hyperlink"/>
                <w:rFonts w:eastAsia="Calibri"/>
                <w:noProof/>
              </w:rPr>
              <w:t>7.1.5 De uma crítica, a uma proposta</w:t>
            </w:r>
            <w:r>
              <w:rPr>
                <w:noProof/>
                <w:webHidden/>
              </w:rPr>
              <w:tab/>
            </w:r>
            <w:r>
              <w:rPr>
                <w:noProof/>
                <w:webHidden/>
              </w:rPr>
              <w:fldChar w:fldCharType="begin"/>
            </w:r>
            <w:r>
              <w:rPr>
                <w:noProof/>
                <w:webHidden/>
              </w:rPr>
              <w:instrText xml:space="preserve"> PAGEREF _Toc500109649 \h </w:instrText>
            </w:r>
            <w:r>
              <w:rPr>
                <w:noProof/>
                <w:webHidden/>
              </w:rPr>
            </w:r>
            <w:r>
              <w:rPr>
                <w:noProof/>
                <w:webHidden/>
              </w:rPr>
              <w:fldChar w:fldCharType="separate"/>
            </w:r>
            <w:r>
              <w:rPr>
                <w:noProof/>
                <w:webHidden/>
              </w:rPr>
              <w:t>81</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0" w:history="1">
            <w:r w:rsidRPr="00F06D8A">
              <w:rPr>
                <w:rStyle w:val="Hyperlink"/>
                <w:rFonts w:eastAsia="Calibri"/>
                <w:noProof/>
              </w:rPr>
              <w:t>Capitulo 8</w:t>
            </w:r>
            <w:r>
              <w:rPr>
                <w:noProof/>
                <w:webHidden/>
              </w:rPr>
              <w:tab/>
            </w:r>
            <w:r>
              <w:rPr>
                <w:noProof/>
                <w:webHidden/>
              </w:rPr>
              <w:fldChar w:fldCharType="begin"/>
            </w:r>
            <w:r>
              <w:rPr>
                <w:noProof/>
                <w:webHidden/>
              </w:rPr>
              <w:instrText xml:space="preserve"> PAGEREF _Toc500109650 \h </w:instrText>
            </w:r>
            <w:r>
              <w:rPr>
                <w:noProof/>
                <w:webHidden/>
              </w:rPr>
            </w:r>
            <w:r>
              <w:rPr>
                <w:noProof/>
                <w:webHidden/>
              </w:rPr>
              <w:fldChar w:fldCharType="separate"/>
            </w:r>
            <w:r>
              <w:rPr>
                <w:noProof/>
                <w:webHidden/>
              </w:rPr>
              <w:t>84</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1" w:history="1">
            <w:r w:rsidRPr="00F06D8A">
              <w:rPr>
                <w:rStyle w:val="Hyperlink"/>
                <w:rFonts w:eastAsia="Calibri"/>
                <w:noProof/>
              </w:rPr>
              <w:t>8.1 Conclusões</w:t>
            </w:r>
            <w:r>
              <w:rPr>
                <w:noProof/>
                <w:webHidden/>
              </w:rPr>
              <w:tab/>
            </w:r>
            <w:r>
              <w:rPr>
                <w:noProof/>
                <w:webHidden/>
              </w:rPr>
              <w:fldChar w:fldCharType="begin"/>
            </w:r>
            <w:r>
              <w:rPr>
                <w:noProof/>
                <w:webHidden/>
              </w:rPr>
              <w:instrText xml:space="preserve"> PAGEREF _Toc500109651 \h </w:instrText>
            </w:r>
            <w:r>
              <w:rPr>
                <w:noProof/>
                <w:webHidden/>
              </w:rPr>
            </w:r>
            <w:r>
              <w:rPr>
                <w:noProof/>
                <w:webHidden/>
              </w:rPr>
              <w:fldChar w:fldCharType="separate"/>
            </w:r>
            <w:r>
              <w:rPr>
                <w:noProof/>
                <w:webHidden/>
              </w:rPr>
              <w:t>84</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2" w:history="1">
            <w:r w:rsidRPr="00F06D8A">
              <w:rPr>
                <w:rStyle w:val="Hyperlink"/>
                <w:rFonts w:eastAsia="Calibri"/>
                <w:noProof/>
              </w:rPr>
              <w:t>Referências Bibliográficas</w:t>
            </w:r>
            <w:r>
              <w:rPr>
                <w:noProof/>
                <w:webHidden/>
              </w:rPr>
              <w:tab/>
            </w:r>
            <w:r>
              <w:rPr>
                <w:noProof/>
                <w:webHidden/>
              </w:rPr>
              <w:fldChar w:fldCharType="begin"/>
            </w:r>
            <w:r>
              <w:rPr>
                <w:noProof/>
                <w:webHidden/>
              </w:rPr>
              <w:instrText xml:space="preserve"> PAGEREF _Toc500109652 \h </w:instrText>
            </w:r>
            <w:r>
              <w:rPr>
                <w:noProof/>
                <w:webHidden/>
              </w:rPr>
            </w:r>
            <w:r>
              <w:rPr>
                <w:noProof/>
                <w:webHidden/>
              </w:rPr>
              <w:fldChar w:fldCharType="separate"/>
            </w:r>
            <w:r>
              <w:rPr>
                <w:noProof/>
                <w:webHidden/>
              </w:rPr>
              <w:t>86</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3" w:history="1">
            <w:r w:rsidRPr="00F06D8A">
              <w:rPr>
                <w:rStyle w:val="Hyperlink"/>
                <w:rFonts w:eastAsia="Calibri"/>
                <w:noProof/>
              </w:rPr>
              <w:t>ANEXO 1</w:t>
            </w:r>
            <w:r>
              <w:rPr>
                <w:noProof/>
                <w:webHidden/>
              </w:rPr>
              <w:tab/>
            </w:r>
            <w:r>
              <w:rPr>
                <w:noProof/>
                <w:webHidden/>
              </w:rPr>
              <w:fldChar w:fldCharType="begin"/>
            </w:r>
            <w:r>
              <w:rPr>
                <w:noProof/>
                <w:webHidden/>
              </w:rPr>
              <w:instrText xml:space="preserve"> PAGEREF _Toc500109653 \h </w:instrText>
            </w:r>
            <w:r>
              <w:rPr>
                <w:noProof/>
                <w:webHidden/>
              </w:rPr>
            </w:r>
            <w:r>
              <w:rPr>
                <w:noProof/>
                <w:webHidden/>
              </w:rPr>
              <w:fldChar w:fldCharType="separate"/>
            </w:r>
            <w:r>
              <w:rPr>
                <w:noProof/>
                <w:webHidden/>
              </w:rPr>
              <w:t>88</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4" w:history="1">
            <w:r w:rsidRPr="00F06D8A">
              <w:rPr>
                <w:rStyle w:val="Hyperlink"/>
                <w:rFonts w:eastAsia="Calibri"/>
                <w:noProof/>
              </w:rPr>
              <w:t>Anexo 2</w:t>
            </w:r>
            <w:r>
              <w:rPr>
                <w:noProof/>
                <w:webHidden/>
              </w:rPr>
              <w:tab/>
            </w:r>
            <w:r>
              <w:rPr>
                <w:noProof/>
                <w:webHidden/>
              </w:rPr>
              <w:fldChar w:fldCharType="begin"/>
            </w:r>
            <w:r>
              <w:rPr>
                <w:noProof/>
                <w:webHidden/>
              </w:rPr>
              <w:instrText xml:space="preserve"> PAGEREF _Toc500109654 \h </w:instrText>
            </w:r>
            <w:r>
              <w:rPr>
                <w:noProof/>
                <w:webHidden/>
              </w:rPr>
            </w:r>
            <w:r>
              <w:rPr>
                <w:noProof/>
                <w:webHidden/>
              </w:rPr>
              <w:fldChar w:fldCharType="separate"/>
            </w:r>
            <w:r>
              <w:rPr>
                <w:noProof/>
                <w:webHidden/>
              </w:rPr>
              <w:t>89</w:t>
            </w:r>
            <w:r>
              <w:rPr>
                <w:noProof/>
                <w:webHidden/>
              </w:rPr>
              <w:fldChar w:fldCharType="end"/>
            </w:r>
          </w:hyperlink>
        </w:p>
        <w:p w:rsidR="0002555B" w:rsidRDefault="0002555B">
          <w:pPr>
            <w:pStyle w:val="Sumrio1"/>
            <w:tabs>
              <w:tab w:val="right" w:leader="dot" w:pos="8494"/>
            </w:tabs>
            <w:rPr>
              <w:rFonts w:eastAsiaTheme="minorEastAsia"/>
              <w:noProof/>
              <w:lang w:eastAsia="pt-PT"/>
            </w:rPr>
          </w:pPr>
          <w:hyperlink w:anchor="_Toc500109655" w:history="1">
            <w:r w:rsidRPr="00F06D8A">
              <w:rPr>
                <w:rStyle w:val="Hyperlink"/>
                <w:rFonts w:eastAsia="Calibri"/>
                <w:noProof/>
              </w:rPr>
              <w:t>ANEXO 3</w:t>
            </w:r>
            <w:r>
              <w:rPr>
                <w:noProof/>
                <w:webHidden/>
              </w:rPr>
              <w:tab/>
            </w:r>
            <w:r>
              <w:rPr>
                <w:noProof/>
                <w:webHidden/>
              </w:rPr>
              <w:fldChar w:fldCharType="begin"/>
            </w:r>
            <w:r>
              <w:rPr>
                <w:noProof/>
                <w:webHidden/>
              </w:rPr>
              <w:instrText xml:space="preserve"> PAGEREF _Toc500109655 \h </w:instrText>
            </w:r>
            <w:r>
              <w:rPr>
                <w:noProof/>
                <w:webHidden/>
              </w:rPr>
            </w:r>
            <w:r>
              <w:rPr>
                <w:noProof/>
                <w:webHidden/>
              </w:rPr>
              <w:fldChar w:fldCharType="separate"/>
            </w:r>
            <w:r>
              <w:rPr>
                <w:noProof/>
                <w:webHidden/>
              </w:rPr>
              <w:t>97</w:t>
            </w:r>
            <w:r>
              <w:rPr>
                <w:noProof/>
                <w:webHidden/>
              </w:rPr>
              <w:fldChar w:fldCharType="end"/>
            </w:r>
          </w:hyperlink>
        </w:p>
        <w:p w:rsidR="00977223" w:rsidRDefault="00977223">
          <w:r>
            <w:rPr>
              <w:b/>
              <w:bCs/>
              <w:lang w:val="pt-BR"/>
            </w:rPr>
            <w:fldChar w:fldCharType="end"/>
          </w:r>
        </w:p>
      </w:sdtContent>
    </w:sdt>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5A0765" w:rsidRDefault="005A0765" w:rsidP="0082242E">
      <w:pPr>
        <w:spacing w:before="120" w:after="120" w:line="360" w:lineRule="auto"/>
        <w:jc w:val="center"/>
        <w:rPr>
          <w:rFonts w:ascii="Arial" w:eastAsia="Calibri" w:hAnsi="Arial" w:cs="Arial"/>
        </w:rPr>
      </w:pPr>
    </w:p>
    <w:p w:rsidR="005A0765" w:rsidRDefault="005A0765" w:rsidP="0082242E">
      <w:pPr>
        <w:spacing w:before="120" w:after="120" w:line="360" w:lineRule="auto"/>
        <w:jc w:val="center"/>
        <w:rPr>
          <w:rFonts w:ascii="Arial" w:eastAsia="Calibri" w:hAnsi="Arial" w:cs="Arial"/>
        </w:rPr>
      </w:pPr>
    </w:p>
    <w:p w:rsidR="005A0765" w:rsidRDefault="005A0765" w:rsidP="0082242E">
      <w:pPr>
        <w:spacing w:before="120" w:after="120" w:line="360" w:lineRule="auto"/>
        <w:jc w:val="center"/>
        <w:rPr>
          <w:rFonts w:ascii="Arial" w:eastAsia="Calibri" w:hAnsi="Arial" w:cs="Arial"/>
        </w:rPr>
      </w:pPr>
    </w:p>
    <w:p w:rsidR="005A0765" w:rsidRDefault="005A0765" w:rsidP="0082242E">
      <w:pPr>
        <w:spacing w:before="120" w:after="120" w:line="360" w:lineRule="auto"/>
        <w:jc w:val="center"/>
        <w:rPr>
          <w:rFonts w:ascii="Arial" w:eastAsia="Calibri" w:hAnsi="Arial" w:cs="Arial"/>
        </w:rPr>
      </w:pPr>
    </w:p>
    <w:p w:rsidR="0082242E" w:rsidRPr="0082242E" w:rsidRDefault="0082242E" w:rsidP="005E075A">
      <w:pPr>
        <w:pStyle w:val="Ttulo4"/>
        <w:rPr>
          <w:rFonts w:eastAsia="Calibri"/>
        </w:rPr>
      </w:pPr>
      <w:r w:rsidRPr="0082242E">
        <w:rPr>
          <w:rFonts w:eastAsia="Calibri"/>
        </w:rPr>
        <w:lastRenderedPageBreak/>
        <w:t>Abreviaturas e Siglas</w:t>
      </w:r>
    </w:p>
    <w:p w:rsidR="0082242E" w:rsidRPr="0082242E" w:rsidRDefault="0082242E" w:rsidP="0082242E">
      <w:pPr>
        <w:spacing w:before="120" w:after="120" w:line="360" w:lineRule="auto"/>
        <w:jc w:val="center"/>
        <w:rPr>
          <w:rFonts w:ascii="Arial" w:eastAsia="Calibri" w:hAnsi="Arial" w:cs="Arial"/>
          <w:b/>
          <w:sz w:val="28"/>
          <w:szCs w:val="28"/>
        </w:rPr>
      </w:pP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AT </w:t>
      </w:r>
      <w:r w:rsidR="005A0765">
        <w:rPr>
          <w:rFonts w:ascii="Arial" w:eastAsia="Calibri" w:hAnsi="Arial" w:cs="Arial"/>
        </w:rPr>
        <w:t>-</w:t>
      </w:r>
      <w:r w:rsidRPr="0082242E">
        <w:rPr>
          <w:rFonts w:ascii="Arial" w:eastAsia="Calibri" w:hAnsi="Arial" w:cs="Arial"/>
        </w:rPr>
        <w:t xml:space="preserve"> Autoridade Tributária e Aduaneira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CEE </w:t>
      </w:r>
      <w:r w:rsidR="005A0765">
        <w:rPr>
          <w:rFonts w:ascii="Arial" w:eastAsia="Calibri" w:hAnsi="Arial" w:cs="Arial"/>
        </w:rPr>
        <w:t>-</w:t>
      </w:r>
      <w:r w:rsidRPr="0082242E">
        <w:rPr>
          <w:rFonts w:ascii="Arial" w:eastAsia="Calibri" w:hAnsi="Arial" w:cs="Arial"/>
        </w:rPr>
        <w:t xml:space="preserve"> Comunidade Económica Europeia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DGAEIC - Direcção Geral das Alfandegas e dos Impostos Especiais Sobre o Consumo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CC </w:t>
      </w:r>
      <w:r w:rsidR="005A0765">
        <w:rPr>
          <w:rFonts w:ascii="Arial" w:eastAsia="Calibri" w:hAnsi="Arial" w:cs="Arial"/>
        </w:rPr>
        <w:t>-</w:t>
      </w:r>
      <w:r w:rsidRPr="0082242E">
        <w:rPr>
          <w:rFonts w:ascii="Arial" w:eastAsia="Calibri" w:hAnsi="Arial" w:cs="Arial"/>
        </w:rPr>
        <w:t xml:space="preserve"> Código Civil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CF </w:t>
      </w:r>
      <w:r w:rsidR="005A0765">
        <w:rPr>
          <w:rFonts w:ascii="Arial" w:eastAsia="Calibri" w:hAnsi="Arial" w:cs="Arial"/>
        </w:rPr>
        <w:t>-</w:t>
      </w:r>
      <w:r w:rsidRPr="0082242E">
        <w:rPr>
          <w:rFonts w:ascii="Arial" w:eastAsia="Calibri" w:hAnsi="Arial" w:cs="Arial"/>
        </w:rPr>
        <w:t xml:space="preserve"> Constituição Federal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CIAT </w:t>
      </w:r>
      <w:r w:rsidR="005A0765">
        <w:rPr>
          <w:rFonts w:ascii="Arial" w:eastAsia="Calibri" w:hAnsi="Arial" w:cs="Arial"/>
        </w:rPr>
        <w:t>-</w:t>
      </w:r>
      <w:r w:rsidRPr="0082242E">
        <w:rPr>
          <w:rFonts w:ascii="Arial" w:eastAsia="Calibri" w:hAnsi="Arial" w:cs="Arial"/>
        </w:rPr>
        <w:t xml:space="preserve"> Centro Inter-Americano de Administrações Tributárias</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CIRE - Código da Insolvência e da Recuperação de Empresas</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CPA </w:t>
      </w:r>
      <w:r w:rsidR="005A0765">
        <w:rPr>
          <w:rFonts w:ascii="Arial" w:eastAsia="Calibri" w:hAnsi="Arial" w:cs="Arial"/>
        </w:rPr>
        <w:t>-</w:t>
      </w:r>
      <w:r w:rsidRPr="0082242E">
        <w:rPr>
          <w:rFonts w:ascii="Arial" w:eastAsia="Calibri" w:hAnsi="Arial" w:cs="Arial"/>
        </w:rPr>
        <w:t xml:space="preserve"> Código do Procedimento Administrativo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CPC </w:t>
      </w:r>
      <w:r w:rsidR="005A0765">
        <w:rPr>
          <w:rFonts w:ascii="Arial" w:eastAsia="Calibri" w:hAnsi="Arial" w:cs="Arial"/>
        </w:rPr>
        <w:t>-</w:t>
      </w:r>
      <w:r w:rsidRPr="0082242E">
        <w:rPr>
          <w:rFonts w:ascii="Arial" w:eastAsia="Calibri" w:hAnsi="Arial" w:cs="Arial"/>
        </w:rPr>
        <w:t xml:space="preserve"> Código de Processo Civil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CPP </w:t>
      </w:r>
      <w:r w:rsidR="005A0765">
        <w:rPr>
          <w:rFonts w:ascii="Arial" w:eastAsia="Calibri" w:hAnsi="Arial" w:cs="Arial"/>
        </w:rPr>
        <w:t>-</w:t>
      </w:r>
      <w:r w:rsidRPr="0082242E">
        <w:rPr>
          <w:rFonts w:ascii="Arial" w:eastAsia="Calibri" w:hAnsi="Arial" w:cs="Arial"/>
        </w:rPr>
        <w:t xml:space="preserve"> Código de Processo Penal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CPPT </w:t>
      </w:r>
      <w:r w:rsidR="005A0765">
        <w:rPr>
          <w:rFonts w:ascii="Arial" w:eastAsia="Calibri" w:hAnsi="Arial" w:cs="Arial"/>
        </w:rPr>
        <w:t>-</w:t>
      </w:r>
      <w:r w:rsidRPr="0082242E">
        <w:rPr>
          <w:rFonts w:ascii="Arial" w:eastAsia="Calibri" w:hAnsi="Arial" w:cs="Arial"/>
        </w:rPr>
        <w:t xml:space="preserve"> Código de procedimento e de Processo Tributário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CRP </w:t>
      </w:r>
      <w:r w:rsidR="005A0765">
        <w:rPr>
          <w:rFonts w:ascii="Arial" w:eastAsia="Calibri" w:hAnsi="Arial" w:cs="Arial"/>
        </w:rPr>
        <w:t>-</w:t>
      </w:r>
      <w:r w:rsidRPr="0082242E">
        <w:rPr>
          <w:rFonts w:ascii="Arial" w:eastAsia="Calibri" w:hAnsi="Arial" w:cs="Arial"/>
        </w:rPr>
        <w:t xml:space="preserve"> Constituição da República Portuguesa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CTN - Código Tributário Nacional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DL </w:t>
      </w:r>
      <w:r w:rsidR="005A0765">
        <w:rPr>
          <w:rFonts w:ascii="Arial" w:eastAsia="Calibri" w:hAnsi="Arial" w:cs="Arial"/>
        </w:rPr>
        <w:t>-</w:t>
      </w:r>
      <w:r w:rsidRPr="0082242E">
        <w:rPr>
          <w:rFonts w:ascii="Arial" w:eastAsia="Calibri" w:hAnsi="Arial" w:cs="Arial"/>
        </w:rPr>
        <w:t xml:space="preserve"> Decreto Lei</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DSGCT - Direção de Serviços de Gestão dos Créditos Tributários</w:t>
      </w:r>
    </w:p>
    <w:p w:rsid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IAPMEI, I.P. - Agência para a Competitividade e Inovação, I.P.</w:t>
      </w:r>
    </w:p>
    <w:p w:rsidR="00FD46F7" w:rsidRDefault="00FD46F7" w:rsidP="0082242E">
      <w:pPr>
        <w:spacing w:before="120" w:after="120" w:line="360" w:lineRule="auto"/>
        <w:jc w:val="both"/>
        <w:rPr>
          <w:rFonts w:ascii="Arial" w:eastAsia="Calibri" w:hAnsi="Arial" w:cs="Arial"/>
        </w:rPr>
      </w:pPr>
      <w:r>
        <w:rPr>
          <w:rFonts w:ascii="Arial" w:eastAsia="Calibri" w:hAnsi="Arial" w:cs="Arial"/>
        </w:rPr>
        <w:t xml:space="preserve">IMI </w:t>
      </w:r>
      <w:r w:rsidR="005A0765">
        <w:rPr>
          <w:rFonts w:ascii="Arial" w:eastAsia="Calibri" w:hAnsi="Arial" w:cs="Arial"/>
        </w:rPr>
        <w:t>-</w:t>
      </w:r>
      <w:r>
        <w:rPr>
          <w:rFonts w:ascii="Arial" w:eastAsia="Calibri" w:hAnsi="Arial" w:cs="Arial"/>
        </w:rPr>
        <w:t xml:space="preserve"> Imposto Municipal sobre Imóveis</w:t>
      </w:r>
    </w:p>
    <w:p w:rsidR="00FD46F7" w:rsidRPr="0082242E" w:rsidRDefault="00FD46F7" w:rsidP="0082242E">
      <w:pPr>
        <w:spacing w:before="120" w:after="120" w:line="360" w:lineRule="auto"/>
        <w:jc w:val="both"/>
        <w:rPr>
          <w:rFonts w:ascii="Arial" w:eastAsia="Calibri" w:hAnsi="Arial" w:cs="Arial"/>
        </w:rPr>
      </w:pPr>
      <w:r>
        <w:rPr>
          <w:rFonts w:ascii="Arial" w:eastAsia="Calibri" w:hAnsi="Arial" w:cs="Arial"/>
        </w:rPr>
        <w:t xml:space="preserve">IRS </w:t>
      </w:r>
      <w:r w:rsidR="005A0765">
        <w:rPr>
          <w:rFonts w:ascii="Arial" w:eastAsia="Calibri" w:hAnsi="Arial" w:cs="Arial"/>
        </w:rPr>
        <w:t>-</w:t>
      </w:r>
      <w:r>
        <w:rPr>
          <w:rFonts w:ascii="Arial" w:eastAsia="Calibri" w:hAnsi="Arial" w:cs="Arial"/>
        </w:rPr>
        <w:t xml:space="preserve"> Imposto sobre Rendimentos das pessoas Singulares</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I.R.S. dos Estados Unidos da América do Norte </w:t>
      </w:r>
      <w:r w:rsidR="005A0765">
        <w:rPr>
          <w:rFonts w:ascii="Arial" w:eastAsia="Calibri" w:hAnsi="Arial" w:cs="Arial"/>
        </w:rPr>
        <w:t>-</w:t>
      </w:r>
      <w:r w:rsidRPr="0082242E">
        <w:rPr>
          <w:rFonts w:ascii="Arial" w:eastAsia="Calibri" w:hAnsi="Arial" w:cs="Arial"/>
        </w:rPr>
        <w:t xml:space="preserve"> Internal Revenue Service</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IVA - Imposto sobre o Valor Acrescentado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LC </w:t>
      </w:r>
      <w:r w:rsidR="005A0765">
        <w:rPr>
          <w:rFonts w:ascii="Arial" w:eastAsia="Calibri" w:hAnsi="Arial" w:cs="Arial"/>
        </w:rPr>
        <w:t>-</w:t>
      </w:r>
      <w:r w:rsidRPr="0082242E">
        <w:rPr>
          <w:rFonts w:ascii="Arial" w:eastAsia="Calibri" w:hAnsi="Arial" w:cs="Arial"/>
        </w:rPr>
        <w:t xml:space="preserve"> Lei Complementar</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LGT </w:t>
      </w:r>
      <w:r w:rsidR="005A0765">
        <w:rPr>
          <w:rFonts w:ascii="Arial" w:eastAsia="Calibri" w:hAnsi="Arial" w:cs="Arial"/>
        </w:rPr>
        <w:t>-</w:t>
      </w:r>
      <w:r w:rsidRPr="0082242E">
        <w:rPr>
          <w:rFonts w:ascii="Arial" w:eastAsia="Calibri" w:hAnsi="Arial" w:cs="Arial"/>
        </w:rPr>
        <w:t xml:space="preserve"> Lei Geral Tributária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LGT_E </w:t>
      </w:r>
      <w:r w:rsidR="005A0765">
        <w:rPr>
          <w:rFonts w:ascii="Arial" w:eastAsia="Calibri" w:hAnsi="Arial" w:cs="Arial"/>
        </w:rPr>
        <w:t>-</w:t>
      </w:r>
      <w:r w:rsidRPr="0082242E">
        <w:rPr>
          <w:rFonts w:ascii="Arial" w:eastAsia="Calibri" w:hAnsi="Arial" w:cs="Arial"/>
        </w:rPr>
        <w:t xml:space="preserve"> Lei Geral Tributária Espanhola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LOE </w:t>
      </w:r>
      <w:r w:rsidR="005A0765">
        <w:rPr>
          <w:rFonts w:ascii="Arial" w:eastAsia="Calibri" w:hAnsi="Arial" w:cs="Arial"/>
        </w:rPr>
        <w:t>-</w:t>
      </w:r>
      <w:r w:rsidRPr="0082242E">
        <w:rPr>
          <w:rFonts w:ascii="Arial" w:eastAsia="Calibri" w:hAnsi="Arial" w:cs="Arial"/>
        </w:rPr>
        <w:t xml:space="preserve"> Lei do Orçamento do Estado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OE </w:t>
      </w:r>
      <w:r w:rsidR="005A0765">
        <w:rPr>
          <w:rFonts w:ascii="Arial" w:eastAsia="Calibri" w:hAnsi="Arial" w:cs="Arial"/>
        </w:rPr>
        <w:t>-</w:t>
      </w:r>
      <w:r w:rsidRPr="0082242E">
        <w:rPr>
          <w:rFonts w:ascii="Arial" w:eastAsia="Calibri" w:hAnsi="Arial" w:cs="Arial"/>
        </w:rPr>
        <w:t xml:space="preserve"> Orçamento do Estado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PEF </w:t>
      </w:r>
      <w:r w:rsidR="005A0765">
        <w:rPr>
          <w:rFonts w:ascii="Arial" w:eastAsia="Calibri" w:hAnsi="Arial" w:cs="Arial"/>
        </w:rPr>
        <w:t>-</w:t>
      </w:r>
      <w:r w:rsidRPr="0082242E">
        <w:rPr>
          <w:rFonts w:ascii="Arial" w:eastAsia="Calibri" w:hAnsi="Arial" w:cs="Arial"/>
        </w:rPr>
        <w:t xml:space="preserve"> Processo de Execução Fiscal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lastRenderedPageBreak/>
        <w:t xml:space="preserve">PER </w:t>
      </w:r>
      <w:r w:rsidR="005A0765">
        <w:rPr>
          <w:rFonts w:ascii="Arial" w:eastAsia="Calibri" w:hAnsi="Arial" w:cs="Arial"/>
        </w:rPr>
        <w:t xml:space="preserve">- </w:t>
      </w:r>
      <w:r w:rsidRPr="0082242E">
        <w:rPr>
          <w:rFonts w:ascii="Arial" w:eastAsia="Calibri" w:hAnsi="Arial" w:cs="Arial"/>
        </w:rPr>
        <w:t>Processo Especial de Revitalização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PERES - Plano Especial de Redução do Endividamento ao Estado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SIREVE - Sistema de Recuperação de Empresas por Via Extrajudicial</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STA </w:t>
      </w:r>
      <w:r w:rsidR="005A0765">
        <w:rPr>
          <w:rFonts w:ascii="Arial" w:eastAsia="Calibri" w:hAnsi="Arial" w:cs="Arial"/>
        </w:rPr>
        <w:t>-</w:t>
      </w:r>
      <w:r w:rsidRPr="0082242E">
        <w:rPr>
          <w:rFonts w:ascii="Arial" w:eastAsia="Calibri" w:hAnsi="Arial" w:cs="Arial"/>
        </w:rPr>
        <w:t xml:space="preserve"> Supremo Tribunal Administrativo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STJ - Supremo Tribunal de Justiça</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TCA </w:t>
      </w:r>
      <w:r w:rsidR="005A0765">
        <w:rPr>
          <w:rFonts w:ascii="Arial" w:eastAsia="Calibri" w:hAnsi="Arial" w:cs="Arial"/>
        </w:rPr>
        <w:t>-</w:t>
      </w:r>
      <w:r w:rsidRPr="0082242E">
        <w:rPr>
          <w:rFonts w:ascii="Arial" w:eastAsia="Calibri" w:hAnsi="Arial" w:cs="Arial"/>
        </w:rPr>
        <w:t xml:space="preserve"> Tribunal Central Administrativo</w:t>
      </w:r>
    </w:p>
    <w:p w:rsidR="0082242E" w:rsidRPr="0082242E" w:rsidRDefault="0082242E" w:rsidP="0082242E">
      <w:pPr>
        <w:spacing w:before="120" w:after="120" w:line="360" w:lineRule="auto"/>
        <w:jc w:val="both"/>
        <w:rPr>
          <w:rFonts w:ascii="Arial" w:eastAsia="Calibri" w:hAnsi="Arial" w:cs="Arial"/>
        </w:rPr>
      </w:pPr>
      <w:r w:rsidRPr="0082242E">
        <w:rPr>
          <w:rFonts w:ascii="Arial" w:eastAsia="Calibri" w:hAnsi="Arial" w:cs="Arial"/>
        </w:rPr>
        <w:t xml:space="preserve">UC </w:t>
      </w:r>
      <w:r w:rsidR="005A0765">
        <w:rPr>
          <w:rFonts w:ascii="Arial" w:eastAsia="Calibri" w:hAnsi="Arial" w:cs="Arial"/>
        </w:rPr>
        <w:t>-</w:t>
      </w:r>
      <w:r w:rsidRPr="0082242E">
        <w:rPr>
          <w:rFonts w:ascii="Arial" w:eastAsia="Calibri" w:hAnsi="Arial" w:cs="Arial"/>
        </w:rPr>
        <w:t xml:space="preserve"> Unidade de Conta</w:t>
      </w: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82242E" w:rsidRDefault="0082242E" w:rsidP="0082242E">
      <w:pPr>
        <w:spacing w:before="120" w:after="120" w:line="360" w:lineRule="auto"/>
        <w:jc w:val="center"/>
        <w:rPr>
          <w:rFonts w:ascii="Arial" w:eastAsia="Calibri" w:hAnsi="Arial" w:cs="Arial"/>
        </w:rPr>
      </w:pPr>
    </w:p>
    <w:p w:rsidR="00BD76F2" w:rsidRDefault="00BD76F2" w:rsidP="0082242E">
      <w:pPr>
        <w:spacing w:before="120" w:after="120" w:line="360" w:lineRule="auto"/>
        <w:jc w:val="center"/>
        <w:rPr>
          <w:rFonts w:ascii="Arial" w:eastAsia="Calibri" w:hAnsi="Arial" w:cs="Arial"/>
        </w:rPr>
        <w:sectPr w:rsidR="00BD76F2">
          <w:footerReference w:type="default" r:id="rId9"/>
          <w:pgSz w:w="11906" w:h="16838"/>
          <w:pgMar w:top="1417" w:right="1701" w:bottom="1417" w:left="1701" w:header="708" w:footer="708" w:gutter="0"/>
          <w:cols w:space="708"/>
          <w:docGrid w:linePitch="360"/>
        </w:sectPr>
      </w:pPr>
    </w:p>
    <w:p w:rsidR="000C2B9C" w:rsidRPr="000C2B9C" w:rsidRDefault="000C2B9C" w:rsidP="005E075A">
      <w:pPr>
        <w:pStyle w:val="Ttulo1"/>
        <w:rPr>
          <w:rFonts w:eastAsia="Calibri"/>
        </w:rPr>
      </w:pPr>
      <w:bookmarkStart w:id="3" w:name="_Hlk483670698"/>
      <w:bookmarkStart w:id="4" w:name="_Toc500109605"/>
      <w:r w:rsidRPr="000C2B9C">
        <w:rPr>
          <w:rFonts w:eastAsia="Calibri"/>
        </w:rPr>
        <w:lastRenderedPageBreak/>
        <w:t>Capitulo 1</w:t>
      </w:r>
      <w:bookmarkEnd w:id="4"/>
    </w:p>
    <w:p w:rsidR="000C2B9C" w:rsidRPr="000C2B9C" w:rsidRDefault="003D6B5A" w:rsidP="005E075A">
      <w:pPr>
        <w:pStyle w:val="Ttulo1"/>
        <w:rPr>
          <w:rFonts w:eastAsia="Calibri"/>
        </w:rPr>
      </w:pPr>
      <w:bookmarkStart w:id="5" w:name="_Toc500109606"/>
      <w:r>
        <w:rPr>
          <w:rFonts w:eastAsia="Calibri"/>
        </w:rPr>
        <w:t xml:space="preserve">1.1 </w:t>
      </w:r>
      <w:r w:rsidR="000C2B9C" w:rsidRPr="000C2B9C">
        <w:rPr>
          <w:rFonts w:eastAsia="Calibri"/>
        </w:rPr>
        <w:t>INTRODUÇÃO</w:t>
      </w:r>
      <w:bookmarkEnd w:id="5"/>
    </w:p>
    <w:bookmarkEnd w:id="3"/>
    <w:p w:rsidR="000C2B9C" w:rsidRPr="000C2B9C" w:rsidRDefault="000C2B9C" w:rsidP="000C2B9C">
      <w:pPr>
        <w:spacing w:before="120" w:after="120" w:line="360" w:lineRule="auto"/>
        <w:jc w:val="center"/>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prestação de garantias em processo de execução fiscal, é um campo vasto e juridicamente denso, pelo que neste trabalho pretende-se abordar o tema das garantias em processo de execução fiscal na vertente da garantia oferecida pelos contribuintes, quer para apresentação de contencioso tributário quer para pedidos de pagamentos em prestações e ainda não menos importante a dispensa de garantia. Não é objeto deste estudo as garantias existentes à disposição dos administrados para contestação das liquidações ou decisões da administração tributária. Pretende-se assim estudar a forma como o contribuinte, perante uma adversidade, quer do ponto de vista jurídico, quer do ponto de vista económico/financeiro tem para suspender a cobrança da liquidação, quer para efeitos de discussão do seu mérito e legalidade, quer para efeitos de diferir o seu pagamento através de um regime prestacional.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Ao longo do capítulo 2 veremos, que tem havido várias alterações à lei, nomeadamente de uma tentativa de o legislador adaptar a lei à realidade sócio/económica, permitindo regular esta relação entre a administração e o administrado, isto é, entre a Autoridade Tributária e Aduaneira e os sujeitos passivos.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Existindo zonas "cinzentas" onde o que se pode oferecer para garantir os créditos tributários, bem como a avaliação que a Administração Fiscal pode fazer dos mesmos, a possibilidade de se poderem apontar novos caminhos para que administrador e administrados saibam, em cada momento e para situações concretas, como deverão atuar.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objetivo da abordagem a este tema é o de explorar todas as hipóteses de garantias a apresentar pelos executados no âmbito da execução fiscal, como estas são avaliadas pela Administração Fiscal, como é calculado o seu valor em todas as suas vertentes e como pode ser pedida e em que condições, a dispensa de apresentação de garantia pode ser concedida.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Existe alguma doutrina escrita sobre o tema de uma forma geral, não existindo porém no que diz respeito a questões concretas como a avaliação de ações em sociedades não cotadas em bolsa, no cálculo do reforço de garantia a prestar em diversos momentos do procedimento, bem como no que diz respeito à posição da Autoridade Tributária e Aduaneira (AT), em relação à dispensa de garantia.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Na certeza porém, de que entre a elaboração do projeto desta dissertação e até à finalização da mesma, várias alterações na legislação fiscal em geral sucederam e na questão das garantias em processo de execução fiscal em particular também, resolvemos iniciar a mesma por um enquadramento histórico de que nos parece que na presente data é de todo pertinente.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Inicialmente (aquando da elaboração do projeto desta dissertação) este enquadramento histórico, não tinha sido pensado, mas com algumas recentes leis e alterações à lei, como foi o caso do Plano Especial de Redução do Endividamento ao Estado (PERES)</w:t>
      </w:r>
      <w:r w:rsidRPr="000C2B9C">
        <w:rPr>
          <w:rFonts w:ascii="Arial" w:eastAsia="Calibri" w:hAnsi="Arial" w:cs="Arial"/>
          <w:vertAlign w:val="superscript"/>
        </w:rPr>
        <w:footnoteReference w:id="1"/>
      </w:r>
      <w:r w:rsidRPr="000C2B9C">
        <w:rPr>
          <w:rFonts w:ascii="Arial" w:eastAsia="Calibri" w:hAnsi="Arial" w:cs="Arial"/>
        </w:rPr>
        <w:t>, bem como a alteração ao número 4 do artigo 52º da Lei Geral Tributária (LGT), que veio inverter o ónus da prova, nas dispensas de garantia, achamos de significativa pertinência abordar o assunto de forma a poder dar conta a quem ler este texto do que está a acontecer no dominío da dispensa de prestação de garantia.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Devemos referir que no capítulo 6, quando nos propomos fazer um estudo comparativo com outros ordenamentos jurídicos, uma dificuldade com que nos deparámos foi com a linguagem e consequente tradução técnica que tivemos de fazer. Não obstante o rigor que colocámos na questão, alguma tradução poderá sofrer de uma tradução/interpretação menos conseguida, no entanto pensamos que todo o texto do capítulo é perfeitamente entendível e não suscitará dúvidas de interpretação.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estrutura deste trabalho, assenta em três pilares, primeiro o legado histórico e a integração jurídica subjacente ao tema. No segundo pilar temos as garantias existentes no processo de execução fiscal, bem como a sua dispensa. Finalmente como último pilar agrupamos o estudo comparativo que fizemos e a proposta elaborada sobre a questão que nos propomos discutir, no caso de a garantia apresentada se tornar insuficiente, a mesma deve ser reforçada em quanto?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Consideramos que este tema é extremamente atual, basta pensar que durante a elaboração deste trabalho, as leis sobre garantias em processos de execução fiscal, tiveram mais do que uma alteração. Assim ao lidarmos com estas matérias e propor a discussão das mesmas, foi uma tarefa árdua, pela constante mudança normativa e por força dessas alterações, nem sempre existem textos escritos e muito menos jurisprudência, mas consideramos que é um desafio muito aliciante.   </w:t>
      </w:r>
    </w:p>
    <w:p w:rsidR="000C2B9C" w:rsidRPr="000C2B9C" w:rsidRDefault="000C2B9C" w:rsidP="000C2B9C">
      <w:pPr>
        <w:spacing w:before="120" w:after="120" w:line="360" w:lineRule="auto"/>
        <w:jc w:val="both"/>
        <w:rPr>
          <w:rFonts w:ascii="Arial" w:eastAsia="Calibri" w:hAnsi="Arial" w:cs="Arial"/>
        </w:rPr>
      </w:pPr>
      <w:bookmarkStart w:id="6" w:name="_Hlk483671019"/>
      <w:r w:rsidRPr="000C2B9C">
        <w:rPr>
          <w:rFonts w:ascii="Arial" w:eastAsia="Calibri" w:hAnsi="Arial" w:cs="Arial"/>
        </w:rPr>
        <w:t xml:space="preserve">Para a elaboração do trabalho, recorremo-nos fundamentalmente da observação como técnica do método científico.   </w:t>
      </w:r>
    </w:p>
    <w:bookmarkEnd w:id="6"/>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5E075A">
      <w:pPr>
        <w:pStyle w:val="Ttulo1"/>
        <w:rPr>
          <w:rFonts w:eastAsia="Calibri"/>
        </w:rPr>
      </w:pPr>
      <w:bookmarkStart w:id="7" w:name="_Hlk489800990"/>
      <w:bookmarkStart w:id="8" w:name="_Toc500109607"/>
      <w:r w:rsidRPr="000C2B9C">
        <w:rPr>
          <w:rFonts w:eastAsia="Calibri"/>
        </w:rPr>
        <w:t>Capitulo 2</w:t>
      </w:r>
      <w:bookmarkEnd w:id="8"/>
    </w:p>
    <w:p w:rsidR="000C2B9C" w:rsidRPr="000C2B9C" w:rsidRDefault="00F51125" w:rsidP="005E075A">
      <w:pPr>
        <w:pStyle w:val="Ttulo1"/>
        <w:rPr>
          <w:rFonts w:eastAsia="Calibri"/>
        </w:rPr>
      </w:pPr>
      <w:bookmarkStart w:id="9" w:name="_Toc500109608"/>
      <w:r>
        <w:rPr>
          <w:rFonts w:eastAsia="Calibri"/>
        </w:rPr>
        <w:t xml:space="preserve">2.1 </w:t>
      </w:r>
      <w:r w:rsidR="000C2B9C" w:rsidRPr="000C2B9C">
        <w:rPr>
          <w:rFonts w:eastAsia="Calibri"/>
        </w:rPr>
        <w:t>Enquadramento histórico e jurídico</w:t>
      </w:r>
      <w:bookmarkEnd w:id="9"/>
    </w:p>
    <w:p w:rsidR="000C2B9C" w:rsidRPr="000C2B9C" w:rsidRDefault="000C2B9C" w:rsidP="000C2B9C">
      <w:pPr>
        <w:spacing w:before="120" w:after="120" w:line="360" w:lineRule="auto"/>
        <w:jc w:val="center"/>
        <w:rPr>
          <w:rFonts w:ascii="Arial" w:eastAsia="Calibri" w:hAnsi="Arial" w:cs="Arial"/>
          <w:b/>
          <w:sz w:val="28"/>
          <w:szCs w:val="28"/>
        </w:rPr>
      </w:pPr>
    </w:p>
    <w:p w:rsidR="000C2B9C" w:rsidRDefault="00F51125" w:rsidP="005E075A">
      <w:pPr>
        <w:pStyle w:val="Ttulo2"/>
        <w:rPr>
          <w:rFonts w:eastAsia="Calibri"/>
        </w:rPr>
      </w:pPr>
      <w:bookmarkStart w:id="10" w:name="_Hlk483753266"/>
      <w:bookmarkStart w:id="11" w:name="_Toc500109609"/>
      <w:r>
        <w:rPr>
          <w:rFonts w:eastAsia="Calibri"/>
        </w:rPr>
        <w:t xml:space="preserve">2.1.1 </w:t>
      </w:r>
      <w:r w:rsidR="000C2B9C" w:rsidRPr="000C2B9C">
        <w:rPr>
          <w:rFonts w:eastAsia="Calibri"/>
        </w:rPr>
        <w:t>Garantias dos créditos tributários</w:t>
      </w:r>
      <w:bookmarkEnd w:id="11"/>
    </w:p>
    <w:p w:rsidR="00D81F73" w:rsidRPr="000C2B9C" w:rsidRDefault="00D81F73" w:rsidP="00D81F73">
      <w:pPr>
        <w:spacing w:before="360" w:after="240" w:line="360" w:lineRule="auto"/>
        <w:ind w:left="360"/>
        <w:contextualSpacing/>
        <w:rPr>
          <w:rFonts w:ascii="Arial" w:eastAsia="Calibri" w:hAnsi="Arial" w:cs="Arial"/>
          <w:b/>
          <w:sz w:val="26"/>
          <w:szCs w:val="26"/>
        </w:rPr>
      </w:pPr>
    </w:p>
    <w:bookmarkEnd w:id="7"/>
    <w:bookmarkEnd w:id="10"/>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Os sistemas fiscais em geral são compostos pela totalidade dos impostos, contribuições e taxas e demais tributos.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Os princípios e dogmática do sistema fiscal português encontra-se consagrado no artigo 103º da Constituição da República Portuguesa.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rPr>
        <w:t xml:space="preserve">"1. </w:t>
      </w:r>
      <w:r w:rsidRPr="000C2B9C">
        <w:rPr>
          <w:rFonts w:ascii="Arial" w:eastAsia="Calibri" w:hAnsi="Arial" w:cs="Arial"/>
          <w:i/>
        </w:rPr>
        <w:t xml:space="preserve">O sistema fiscal visa a satisfação das necessidades financeiras do Estado e outras entidades públicas e uma repartição justa dos rendimentos e da riqueza.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Os impostos são criados por lei, que determina a incidência, a taxa, os benefícios fiscais e as garantias dos contribuintes."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O artigo 50º da Lei Geral tributária (LGT), consagra a garantia dos créditos tributários, dizendo o que constitui esse mesmo direito e que meios a Administração Tributária tem ao seu dispor para fazer valer esse direito. Note-se que existe uma hierarquia na garantia dos créditos tributários sendo a primeira a consagrada no número 1, ou seja o património do devedor.</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O património do devedor constitui a garantia geral dos créditos tributários.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Para garantia dos créditos tributários, a administração tributária dispõe ainda: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Dos privilégios creditórios previstos no Código Civil ou nas leis tributárias;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b) Do direito de constituição, nos termos da lei, de penhor ou hipoteca legal, quando essas garantias se revelem necessárias à cobrança efectiva da dívida ou quando o imposto incida sobre a propriedade dos bens;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 Do direito de retenção de quaisquer mercadorias sujeitas à acção fiscal de que o sujeito passivo seja proprietário, nos termos que a lei fixar.</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3 - A eficácia dos direitos referidos na alínea b) do número anterior depende do registo."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 surgimento do crédito de imposto a lei confere ao sujeito passivo</w:t>
      </w:r>
      <w:r w:rsidRPr="000C2B9C">
        <w:rPr>
          <w:rFonts w:ascii="Arial" w:eastAsia="Calibri" w:hAnsi="Arial" w:cs="Arial"/>
        </w:rPr>
        <w:t xml:space="preserve"> </w:t>
      </w:r>
      <w:r w:rsidRPr="000C2B9C">
        <w:rPr>
          <w:rFonts w:ascii="Arial" w:eastAsia="Calibri" w:hAnsi="Arial" w:cs="Arial"/>
          <w:i/>
        </w:rPr>
        <w:t>um prazo para cumprir a sua obrigação,</w:t>
      </w:r>
    </w:p>
    <w:p w:rsidR="000C2B9C" w:rsidRPr="000C2B9C" w:rsidRDefault="000C2B9C" w:rsidP="008E6648">
      <w:pPr>
        <w:spacing w:before="120" w:after="120" w:line="360" w:lineRule="auto"/>
        <w:ind w:left="567" w:right="567"/>
        <w:jc w:val="both"/>
        <w:rPr>
          <w:rFonts w:ascii="Arial" w:eastAsia="Calibri" w:hAnsi="Arial" w:cs="Arial"/>
          <w:i/>
        </w:rPr>
      </w:pPr>
      <w:bookmarkStart w:id="12" w:name="_Hlk495492222"/>
      <w:r w:rsidRPr="000C2B9C">
        <w:rPr>
          <w:rFonts w:ascii="Arial" w:eastAsia="Calibri" w:hAnsi="Arial" w:cs="Arial"/>
          <w:i/>
        </w:rPr>
        <w:lastRenderedPageBreak/>
        <w:t>«O crédito de imposto emerge da relação jurídica tributária. O sujeito passivo desta relação beneficia de um prazo de pagamento voluntário – aquele que está estabelecido nas leis tributárias ou que é fixado por decisão administrativa – para entregar a prestação tributária nos cofres do Estado.»</w:t>
      </w:r>
    </w:p>
    <w:bookmarkEnd w:id="12"/>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(Martins,J. A. (2007). As providências cautelares e as outra garantias dos créditos tributários. Lisboa: Edições Direcção Geral dos Impostos).</w:t>
      </w:r>
    </w:p>
    <w:p w:rsidR="000C2B9C" w:rsidRPr="000C2B9C" w:rsidRDefault="000C2B9C" w:rsidP="000C2B9C">
      <w:pPr>
        <w:spacing w:before="120" w:after="120" w:line="360" w:lineRule="auto"/>
        <w:jc w:val="both"/>
        <w:rPr>
          <w:rFonts w:ascii="Arial" w:eastAsia="Calibri" w:hAnsi="Arial" w:cs="Arial"/>
        </w:rPr>
      </w:pPr>
      <w:bookmarkStart w:id="13" w:name="_Hlk483753686"/>
      <w:r w:rsidRPr="000C2B9C">
        <w:rPr>
          <w:rFonts w:ascii="Arial" w:eastAsia="Calibri" w:hAnsi="Arial" w:cs="Arial"/>
        </w:rPr>
        <w:t>Ainda que não sejam objeto deste trabalho, importa referir que existem as chamadas providência cautelares que se destinam também a garantir os créditos tributários consagradas nas secções II (arrestos) e III (arrolamentos) do Capítulo 3 do CPPT (artigos 136º a 139º - arrestos) e (artigos 140º a 142º - arrolamentos).</w:t>
      </w:r>
    </w:p>
    <w:bookmarkEnd w:id="13"/>
    <w:p w:rsidR="000C2B9C" w:rsidRPr="000C2B9C" w:rsidRDefault="000C2B9C" w:rsidP="000C2B9C">
      <w:pPr>
        <w:spacing w:before="120" w:after="120" w:line="360" w:lineRule="auto"/>
        <w:jc w:val="both"/>
        <w:rPr>
          <w:rFonts w:ascii="Arial" w:eastAsia="Calibri" w:hAnsi="Arial" w:cs="Arial"/>
        </w:rPr>
      </w:pPr>
    </w:p>
    <w:p w:rsidR="000C2B9C" w:rsidRPr="000C2B9C" w:rsidRDefault="00F51125" w:rsidP="005E075A">
      <w:pPr>
        <w:pStyle w:val="Ttulo2"/>
        <w:rPr>
          <w:rFonts w:eastAsia="Calibri"/>
        </w:rPr>
      </w:pPr>
      <w:bookmarkStart w:id="14" w:name="_Toc500109610"/>
      <w:r>
        <w:rPr>
          <w:rFonts w:eastAsia="Calibri"/>
        </w:rPr>
        <w:t xml:space="preserve">2.1.2 </w:t>
      </w:r>
      <w:r w:rsidR="000C2B9C" w:rsidRPr="000C2B9C">
        <w:rPr>
          <w:rFonts w:eastAsia="Calibri"/>
        </w:rPr>
        <w:t>Garantias em Processo de Execução Fiscal</w:t>
      </w:r>
      <w:bookmarkEnd w:id="14"/>
    </w:p>
    <w:p w:rsidR="00D81F73"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Processo de Execução Fiscal tem natureza judicial conferida por lei, cabendo aos órgão da AT participar nos atos que não tenham natureza jurisdicional, não obstante a garantia dada aos administrados para recorrerem para os tribunais, conforme artigo 103 da LGT.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O processo de execução fiscal tem natureza judicial, sem prejuízo da participação dos órgãos da administração tributária nos actos que não tenham natureza jurisdicional.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É garantido aos interessados o direito de reclamação para o juiz da execução fiscal dos actos materialmente administrativos praticados por órgãos da administração tributária, nos termos do número anterior."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De certa forma o legislador permite aqui um sistema misto, ou seja, tendo o processo de execução fiscal uma natureza judicial por um lado, permite que certos atos sejam praticados por um órgão administrativo, como é a Autoridade Tributária – enquanto órgão de execução fiscal – mas sempre sobre o controlo de um juiz. Este controlo deve ser entendido como a possibilidade dos visados no processo de execução fiscal poderem recorrer judicialmente dos atos praticados no processo pelo órgão de execução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suspensão da execução fiscal pressupõe a apresentação de garantia por parte do executado, conforme preceituado no artigo 169º do Código de Procedimento e do Processo Tributário (CPPT). O tipo de garantias possíveis de apresentar estão plasmadas na lei através dos nº1 e 2 do artigo 199º do mesmo diploma: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"1 - Caso não se encontre já constituída garantia, com o pedido deverá o executado oferecer garantia idónea, a qual consistirá em garantia bancária, caução, seguro-caução ou qualquer meio susceptível de assegurar os créditos do exequente.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A garantia idónea referida no número anterior poderá consistir, ainda, a requerimento do executado e mediante concordância da administração tributária, em penhor ou hipoteca voluntária, aplicando-se o disposto no artigo 195.º, com as necessárias adaptações."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Refira-se que a garantia mais usual é a garantia bancária. Esta é preferida pela AT, uma vez que se converte em dinheiro – leia-se pagamento – com alguma facilidade. Por outro lado, para o executado tem a vantagem de garantir e suspender o processo e simultaneamente não efectuar o pagamento de imediato aguardando a decisão administrativa ou judicial ou o decurso do plano de pagamento em prestações.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entanto, as designadas garantias reais, referenciadas no nº</w:t>
      </w:r>
      <w:r w:rsidR="008801AE">
        <w:rPr>
          <w:rFonts w:ascii="Arial" w:eastAsia="Calibri" w:hAnsi="Arial" w:cs="Arial"/>
        </w:rPr>
        <w:t xml:space="preserve"> </w:t>
      </w:r>
      <w:r w:rsidRPr="000C2B9C">
        <w:rPr>
          <w:rFonts w:ascii="Arial" w:eastAsia="Calibri" w:hAnsi="Arial" w:cs="Arial"/>
        </w:rPr>
        <w:t>2 do artigo 199º do CPPT, são também utilizadas com frequência, principalmente, desde que a crise bancária e financeira se instalou a partir de 2007.</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Refira-se que com a crise de 2007 a recusa da banca em conceder crédito, onerou demasiado as garantias bancárias, dificultando o acesso das empresas e das famílias a este tipo de produto, obrigando assim aquelas a recorrerem a meios patrimoniais para garantirem e suspenderem processos de execução fiscal. Assim os penhores mercantis e as hipotecas voluntárias aumentaram.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apreciação das garantias no que diz respeito à avaliação e idoneidade, compete ao órgão de execução fiscal</w:t>
      </w:r>
      <w:r w:rsidRPr="000C2B9C">
        <w:rPr>
          <w:rFonts w:ascii="Arial" w:eastAsia="Calibri" w:hAnsi="Arial" w:cs="Arial"/>
          <w:vertAlign w:val="superscript"/>
        </w:rPr>
        <w:footnoteReference w:id="2"/>
      </w:r>
      <w:r w:rsidRPr="000C2B9C">
        <w:rPr>
          <w:rFonts w:ascii="Arial" w:eastAsia="Calibri" w:hAnsi="Arial" w:cs="Arial"/>
        </w:rPr>
        <w:t xml:space="preserve"> (Chefe de Finanças) até às 500 unidades de conta</w:t>
      </w:r>
      <w:r w:rsidRPr="000C2B9C">
        <w:rPr>
          <w:rFonts w:ascii="Arial" w:eastAsia="Calibri" w:hAnsi="Arial" w:cs="Arial"/>
          <w:vertAlign w:val="superscript"/>
        </w:rPr>
        <w:footnoteReference w:id="3"/>
      </w:r>
      <w:r w:rsidRPr="000C2B9C">
        <w:rPr>
          <w:rFonts w:ascii="Arial" w:eastAsia="Calibri" w:hAnsi="Arial" w:cs="Arial"/>
        </w:rPr>
        <w:t>, tendo como referência a quantia exequenda, para valor superior a lei determina que é o órgão periférico regional, ou seja o Diretor de Finanças da área da sede ou domicílio fiscal onde corre termos a execução fiscal.</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De salientar ainda que as formalidades para a dispensa de garantia estão plasmadas no artigo 170º do CPPT e a competência para a sua decisão segue a regra da apreciação de garantia como se referiu no parágrafo anterior.</w:t>
      </w:r>
    </w:p>
    <w:p w:rsidR="00D81F73" w:rsidRPr="000C2B9C"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F51125" w:rsidP="005E075A">
      <w:pPr>
        <w:pStyle w:val="Ttulo2"/>
        <w:rPr>
          <w:rFonts w:eastAsia="Calibri"/>
        </w:rPr>
      </w:pPr>
      <w:bookmarkStart w:id="15" w:name="_Toc500109611"/>
      <w:r>
        <w:rPr>
          <w:rFonts w:eastAsia="Calibri"/>
        </w:rPr>
        <w:lastRenderedPageBreak/>
        <w:t xml:space="preserve">2.1.3 </w:t>
      </w:r>
      <w:r w:rsidR="000C2B9C" w:rsidRPr="000C2B9C">
        <w:rPr>
          <w:rFonts w:eastAsia="Calibri"/>
        </w:rPr>
        <w:t>PERES e Outros Regimes Excecionais</w:t>
      </w:r>
      <w:bookmarkEnd w:id="15"/>
    </w:p>
    <w:p w:rsidR="000C2B9C" w:rsidRPr="000C2B9C" w:rsidRDefault="000C2B9C" w:rsidP="000C2B9C">
      <w:pPr>
        <w:spacing w:before="360" w:after="240" w:line="360" w:lineRule="auto"/>
        <w:jc w:val="both"/>
        <w:rPr>
          <w:rFonts w:ascii="Arial" w:eastAsia="Calibri" w:hAnsi="Arial" w:cs="Arial"/>
        </w:rPr>
      </w:pPr>
      <w:r w:rsidRPr="000C2B9C">
        <w:rPr>
          <w:rFonts w:ascii="Arial" w:eastAsia="Calibri" w:hAnsi="Arial" w:cs="Arial"/>
        </w:rPr>
        <w:t>Ao longo dos últimos anos os governos têm adotado medidas que visam, por um lado, o aumento de arrecadação da receita coerciva e por outro, trazer para o cumprimento fiscal contribuintes que não têm ou não querem ter apetência para o pagamento das suas dívidas fiscais. O Decreto-Lei nº 67 /2016, de 3 de Novembro, que aprovou o programa especial de redução do endividamento ao Estado (PERES), não é mais do que um perdão fiscal, à semelhança de outros que existiram no passado como o RERD em 2013 (Decreto-Lei nº 151-A/2013</w:t>
      </w:r>
      <w:r w:rsidRPr="00911A7A">
        <w:rPr>
          <w:rFonts w:ascii="Arial" w:eastAsia="Calibri" w:hAnsi="Arial" w:cs="Arial"/>
        </w:rPr>
        <w:t>), o Plano de 2002 de Manuela Ferreira Leite</w:t>
      </w:r>
      <w:r w:rsidR="00911A7A">
        <w:rPr>
          <w:rFonts w:ascii="Arial" w:eastAsia="Calibri" w:hAnsi="Arial" w:cs="Arial"/>
        </w:rPr>
        <w:t xml:space="preserve"> (DL nº 248-A/2002)</w:t>
      </w:r>
      <w:r w:rsidRPr="00911A7A">
        <w:rPr>
          <w:rFonts w:ascii="Arial" w:eastAsia="Calibri" w:hAnsi="Arial" w:cs="Arial"/>
        </w:rPr>
        <w:t xml:space="preserve">, </w:t>
      </w:r>
      <w:r w:rsidRPr="000C2B9C">
        <w:rPr>
          <w:rFonts w:ascii="Arial" w:eastAsia="Calibri" w:hAnsi="Arial" w:cs="Arial"/>
        </w:rPr>
        <w:t xml:space="preserve">o famoso plano Mateus de 1996 (DL </w:t>
      </w:r>
      <w:r w:rsidR="00911A7A">
        <w:rPr>
          <w:rFonts w:ascii="Arial" w:eastAsia="Calibri" w:hAnsi="Arial" w:cs="Arial"/>
        </w:rPr>
        <w:t xml:space="preserve">nº </w:t>
      </w:r>
      <w:r w:rsidRPr="000C2B9C">
        <w:rPr>
          <w:rFonts w:ascii="Arial" w:eastAsia="Calibri" w:hAnsi="Arial" w:cs="Arial"/>
        </w:rPr>
        <w:t>124/96 de 28 de Junho</w:t>
      </w:r>
      <w:r w:rsidRPr="00D81F73">
        <w:rPr>
          <w:rFonts w:ascii="Arial" w:eastAsia="Calibri" w:hAnsi="Arial" w:cs="Arial"/>
        </w:rPr>
        <w:t>) e o plano de Catroga em 1994</w:t>
      </w:r>
      <w:r w:rsidRPr="000C2B9C">
        <w:rPr>
          <w:rFonts w:ascii="Arial" w:eastAsia="Calibri" w:hAnsi="Arial" w:cs="Arial"/>
        </w:rPr>
        <w:t xml:space="preserve"> (DL </w:t>
      </w:r>
      <w:r w:rsidR="00911A7A">
        <w:rPr>
          <w:rFonts w:ascii="Arial" w:eastAsia="Calibri" w:hAnsi="Arial" w:cs="Arial"/>
        </w:rPr>
        <w:t xml:space="preserve">nº </w:t>
      </w:r>
      <w:r w:rsidRPr="000C2B9C">
        <w:rPr>
          <w:rFonts w:ascii="Arial" w:eastAsia="Calibri" w:hAnsi="Arial" w:cs="Arial"/>
        </w:rPr>
        <w:t>225/94 de 5 de Setembro). Para além destes planos especiais que sempre tiveram duplo sentido, ou seja, arrecadar receita que se encontrava em cobrança coerciva e simultaneamente permitir baixar défices com receitas extraordinárias e assim cumprir o pacto de estabilidade e crescimento da União Europeia (com as regras aplicadas à zona euro).</w:t>
      </w:r>
    </w:p>
    <w:p w:rsidR="000C2B9C" w:rsidRPr="000C2B9C" w:rsidRDefault="00F51125" w:rsidP="005E075A">
      <w:pPr>
        <w:pStyle w:val="Ttulo3"/>
        <w:rPr>
          <w:rFonts w:eastAsia="Calibri"/>
        </w:rPr>
      </w:pPr>
      <w:bookmarkStart w:id="16" w:name="_Hlk491015965"/>
      <w:bookmarkStart w:id="17" w:name="_Toc500109612"/>
      <w:r>
        <w:rPr>
          <w:rFonts w:eastAsia="Calibri"/>
        </w:rPr>
        <w:t xml:space="preserve">2.1.3.1 </w:t>
      </w:r>
      <w:r w:rsidR="000C2B9C" w:rsidRPr="000C2B9C">
        <w:rPr>
          <w:rFonts w:eastAsia="Calibri"/>
        </w:rPr>
        <w:t>PERES</w:t>
      </w:r>
      <w:bookmarkEnd w:id="17"/>
      <w:r w:rsidR="000C2B9C" w:rsidRPr="000C2B9C">
        <w:rPr>
          <w:rFonts w:eastAsia="Calibri"/>
        </w:rPr>
        <w:t xml:space="preserve"> </w:t>
      </w:r>
    </w:p>
    <w:bookmarkEnd w:id="16"/>
    <w:p w:rsidR="005E075A" w:rsidRDefault="005E075A"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D</w:t>
      </w:r>
      <w:r w:rsidR="002948E3">
        <w:rPr>
          <w:rFonts w:ascii="Arial" w:eastAsia="Calibri" w:hAnsi="Arial" w:cs="Arial"/>
        </w:rPr>
        <w:t>ecreto-</w:t>
      </w:r>
      <w:r w:rsidRPr="000C2B9C">
        <w:rPr>
          <w:rFonts w:ascii="Arial" w:eastAsia="Calibri" w:hAnsi="Arial" w:cs="Arial"/>
        </w:rPr>
        <w:t>L</w:t>
      </w:r>
      <w:r w:rsidR="002948E3">
        <w:rPr>
          <w:rFonts w:ascii="Arial" w:eastAsia="Calibri" w:hAnsi="Arial" w:cs="Arial"/>
        </w:rPr>
        <w:t>ei</w:t>
      </w:r>
      <w:r w:rsidRPr="000C2B9C">
        <w:rPr>
          <w:rFonts w:ascii="Arial" w:eastAsia="Calibri" w:hAnsi="Arial" w:cs="Arial"/>
        </w:rPr>
        <w:t xml:space="preserve"> </w:t>
      </w:r>
      <w:r w:rsidR="0038527C">
        <w:rPr>
          <w:rFonts w:ascii="Arial" w:eastAsia="Calibri" w:hAnsi="Arial" w:cs="Arial"/>
        </w:rPr>
        <w:t xml:space="preserve">nº </w:t>
      </w:r>
      <w:r w:rsidRPr="000C2B9C">
        <w:rPr>
          <w:rFonts w:ascii="Arial" w:eastAsia="Calibri" w:hAnsi="Arial" w:cs="Arial"/>
        </w:rPr>
        <w:t>67/2016, de 3 de Novembro, mais conhecido como PERES, visava segundo o governo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"Neste contexto, é criado um regime especial de redução do endividamento ao Estado que visa apoiar as famílias e criar condições para a viabilização económica das empresas que se encontrem em situação de incumprimento, prevenindo situações evitáveis de insolvência de empresas com a inerente perda de valor para a economia, designadamente com a destruição de postos de trabalho."</w:t>
      </w:r>
      <w:r w:rsidRPr="000C2B9C">
        <w:rPr>
          <w:rFonts w:ascii="Arial" w:eastAsia="Calibri" w:hAnsi="Arial" w:cs="Arial"/>
          <w:i/>
          <w:vertAlign w:val="superscript"/>
        </w:rPr>
        <w:footnoteReference w:id="4"/>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com estes argumentos de ajuda às famílias e às empresas simultaneamente, o Governo consegui</w:t>
      </w:r>
      <w:r w:rsidR="00943550">
        <w:rPr>
          <w:rFonts w:ascii="Arial" w:eastAsia="Calibri" w:hAnsi="Arial" w:cs="Arial"/>
        </w:rPr>
        <w:t>u</w:t>
      </w:r>
      <w:r w:rsidRPr="000C2B9C">
        <w:rPr>
          <w:rFonts w:ascii="Arial" w:eastAsia="Calibri" w:hAnsi="Arial" w:cs="Arial"/>
        </w:rPr>
        <w:t xml:space="preserve"> receitas extraordinárias para a redução do défice. Foram arrecadados mais de 500 milhões de euros de forma imediata esperando-se que um valor semelhante seja arrecadado nos próximos anos fruto </w:t>
      </w:r>
      <w:r w:rsidR="00943550">
        <w:rPr>
          <w:rFonts w:ascii="Arial" w:eastAsia="Calibri" w:hAnsi="Arial" w:cs="Arial"/>
        </w:rPr>
        <w:t xml:space="preserve">da cobrança através </w:t>
      </w:r>
      <w:r w:rsidRPr="000C2B9C">
        <w:rPr>
          <w:rFonts w:ascii="Arial" w:eastAsia="Calibri" w:hAnsi="Arial" w:cs="Arial"/>
        </w:rPr>
        <w:t>dos planos de pagamentos prestacionais.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Para o nosso trabalho em particular, importa ainda analisar o artigo 9º do DL</w:t>
      </w:r>
      <w:r w:rsidR="003C444B">
        <w:rPr>
          <w:rFonts w:ascii="Arial" w:eastAsia="Calibri" w:hAnsi="Arial" w:cs="Arial"/>
        </w:rPr>
        <w:t xml:space="preserve"> nº </w:t>
      </w:r>
      <w:r w:rsidRPr="000C2B9C">
        <w:rPr>
          <w:rFonts w:ascii="Arial" w:eastAsia="Calibri" w:hAnsi="Arial" w:cs="Arial"/>
        </w:rPr>
        <w:t>67/2016 e que se transcreve: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"Artigo 9.º Garantias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i/>
        </w:rPr>
        <w:lastRenderedPageBreak/>
        <w:t>1 - Os regimes previstos nos artigos 5.º e 8.º não dependem da prestação de quaisquer garantias adicionais.</w:t>
      </w:r>
      <w:r w:rsidRPr="000C2B9C">
        <w:rPr>
          <w:rFonts w:ascii="Arial" w:eastAsia="Calibri" w:hAnsi="Arial" w:cs="Arial"/>
          <w:i/>
          <w:vertAlign w:val="superscript"/>
        </w:rPr>
        <w:footnoteReference w:id="5"/>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i/>
        </w:rPr>
        <w:t>2 - As garantias constituídas à data da adesão ao presente regime mantêm-se até ao limite máximo da quantia exequenda, sendo reduzidas anualmente no dobro do montante efetivamente pago em prestações ao abrigo do presente regime, desde que não se verifique, consoante os casos, a existência de novas dívidas fiscais ou à segurança social em cobrança coerciva cuja execução não esteja legalmente suspensa ou cujos prazos de reclamação ou impugnação estejam a decorrer.</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diploma não previu </w:t>
      </w:r>
      <w:r w:rsidR="003F2FD4">
        <w:rPr>
          <w:rFonts w:ascii="Arial" w:eastAsia="Calibri" w:hAnsi="Arial" w:cs="Arial"/>
        </w:rPr>
        <w:t xml:space="preserve">a necessidade de prestar </w:t>
      </w:r>
      <w:r w:rsidRPr="000C2B9C">
        <w:rPr>
          <w:rFonts w:ascii="Arial" w:eastAsia="Calibri" w:hAnsi="Arial" w:cs="Arial"/>
        </w:rPr>
        <w:t>quaisquer garantias nos casos em que planos de pagamentos prestacionais tenham sido requeridos – e refira-se que estes podiam chegar a um máximo de 150 prestações – derrogando assim todas as normas da LGT e do CPPT, quanto à prestação de garantia. Não podemos deixar de criticar a vantagem comparativa que se dá aos incumpridores/devedores, face aqueles que pagaram os seus impostos na devida altura. Mais, ao regime francamente desigual em relação aos devedores que já se encontravam à data com pagamentos prestacionais, bem como aqueles que tendo os processo suspenso por apresentação de contencioso e garantia, decidiram efetuar o pagamento da sua dívida através de um regime prestacional</w:t>
      </w:r>
      <w:r w:rsidRPr="000C2B9C">
        <w:rPr>
          <w:rFonts w:ascii="Arial" w:eastAsia="Calibri" w:hAnsi="Arial" w:cs="Arial"/>
          <w:vertAlign w:val="superscript"/>
        </w:rPr>
        <w:footnoteReference w:id="6"/>
      </w:r>
      <w:r w:rsidRPr="000C2B9C">
        <w:rPr>
          <w:rFonts w:ascii="Arial" w:eastAsia="Calibri" w:hAnsi="Arial" w:cs="Arial"/>
        </w:rPr>
        <w:t xml:space="preserve"> e aqueles que agora aderiram a esses mesmos planos, tendo obrigatoriamente os primeiros que manter as garantias já prestadas e os segundos não precisarem de qualquer tipo de garantia. Ainda assim este tipo de atuação – oferecer beneficíos com perdão de juros e custas e redução de coimas - por parte dos governos é normal porque, diga-se em abono da verdade, só com um incentivo forte se consegue chegar a contribuintes que têm comportamentos pautados por uma ação pouco cumpridora das obrigações tributárias.</w:t>
      </w:r>
    </w:p>
    <w:p w:rsidR="00D81F73" w:rsidRPr="000C2B9C" w:rsidRDefault="00D81F73" w:rsidP="000C2B9C">
      <w:pPr>
        <w:spacing w:before="120" w:after="120" w:line="360" w:lineRule="auto"/>
        <w:jc w:val="both"/>
        <w:rPr>
          <w:rFonts w:ascii="Arial" w:eastAsia="Calibri" w:hAnsi="Arial" w:cs="Arial"/>
        </w:rPr>
      </w:pPr>
    </w:p>
    <w:p w:rsidR="000C2B9C" w:rsidRPr="000C2B9C" w:rsidRDefault="00F51125" w:rsidP="005E075A">
      <w:pPr>
        <w:pStyle w:val="Ttulo3"/>
        <w:rPr>
          <w:rFonts w:eastAsia="Calibri"/>
        </w:rPr>
      </w:pPr>
      <w:bookmarkStart w:id="18" w:name="_Hlk495528494"/>
      <w:bookmarkStart w:id="19" w:name="_Toc500109613"/>
      <w:r>
        <w:rPr>
          <w:rFonts w:eastAsia="Calibri"/>
        </w:rPr>
        <w:t xml:space="preserve">2.1.3.2 </w:t>
      </w:r>
      <w:r w:rsidR="000C2B9C" w:rsidRPr="000C2B9C">
        <w:rPr>
          <w:rFonts w:eastAsia="Calibri"/>
        </w:rPr>
        <w:t>O artigo 178º do Orçamento de Estado para 2016</w:t>
      </w:r>
      <w:bookmarkEnd w:id="18"/>
      <w:r w:rsidR="000C2B9C" w:rsidRPr="000C2B9C">
        <w:rPr>
          <w:rFonts w:eastAsia="Calibri"/>
          <w:vertAlign w:val="superscript"/>
        </w:rPr>
        <w:footnoteReference w:id="7"/>
      </w:r>
      <w:bookmarkEnd w:id="19"/>
    </w:p>
    <w:p w:rsidR="00D81F73"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Primeiro que tudo há que sublinhar que este regime é cronologicamente anterior ao PERES.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De referir que este regime também excecional estava balizado no tempo, entre a sua entrada em vigor em finais de Março</w:t>
      </w:r>
      <w:r w:rsidRPr="000C2B9C">
        <w:rPr>
          <w:rFonts w:ascii="Arial" w:eastAsia="Calibri" w:hAnsi="Arial" w:cs="Arial"/>
          <w:vertAlign w:val="superscript"/>
        </w:rPr>
        <w:footnoteReference w:id="8"/>
      </w:r>
      <w:r w:rsidRPr="000C2B9C">
        <w:rPr>
          <w:rFonts w:ascii="Arial" w:eastAsia="Calibri" w:hAnsi="Arial" w:cs="Arial"/>
        </w:rPr>
        <w:t xml:space="preserve"> de 2016 e até ao final do mesmo ano.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Este regime derrogou durante a vigência do OE/2016 as regras do artigo 196º do CPPT, quanto à prestação de garantias, permitindo que num período máximo de 12 meses pudessem ser pagos os processos de execução fiscal sem a necessidade de constituir qualquer garantia desde que cumpridos alguns requisitos como o pagamento atempado das prestações, não ceder, locar, alienar ou por qualquer modo onerar património, com exceção do normal funcionamento da atividade, bem como não constituir nova dívida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Durante o período de vigência desta norma a taxa de juro aplicada foi o dobro da taxa normal, ou seja 10.336%, correspondente a 5.168% x 2.</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Por último, há que salientar que este regime teve a importante virtude de ser célere, uma vez que não se arrastou no tempo porquanto só permitia a autorização do regime prestacional até 12 meses.</w:t>
      </w:r>
    </w:p>
    <w:p w:rsidR="000C2B9C" w:rsidRPr="000C2B9C" w:rsidRDefault="000C2B9C" w:rsidP="000C2B9C">
      <w:pPr>
        <w:spacing w:before="120" w:after="120" w:line="360" w:lineRule="auto"/>
        <w:jc w:val="both"/>
        <w:rPr>
          <w:rFonts w:ascii="Arial" w:eastAsia="Calibri" w:hAnsi="Arial" w:cs="Arial"/>
        </w:rPr>
      </w:pPr>
    </w:p>
    <w:p w:rsidR="000C2B9C" w:rsidRPr="000C2B9C" w:rsidRDefault="00F51125" w:rsidP="005E075A">
      <w:pPr>
        <w:pStyle w:val="Ttulo3"/>
        <w:rPr>
          <w:rFonts w:eastAsia="Calibri"/>
        </w:rPr>
      </w:pPr>
      <w:bookmarkStart w:id="20" w:name="_Toc500109614"/>
      <w:r>
        <w:rPr>
          <w:rFonts w:eastAsia="Calibri"/>
        </w:rPr>
        <w:t>2</w:t>
      </w:r>
      <w:r w:rsidR="00AA35F4">
        <w:rPr>
          <w:rFonts w:eastAsia="Calibri"/>
        </w:rPr>
        <w:t>.</w:t>
      </w:r>
      <w:r>
        <w:rPr>
          <w:rFonts w:eastAsia="Calibri"/>
        </w:rPr>
        <w:t xml:space="preserve">1.3.3 </w:t>
      </w:r>
      <w:r w:rsidR="000C2B9C" w:rsidRPr="000C2B9C">
        <w:rPr>
          <w:rFonts w:eastAsia="Calibri"/>
        </w:rPr>
        <w:t>Dívidas de reduzido valor.</w:t>
      </w:r>
      <w:bookmarkEnd w:id="20"/>
    </w:p>
    <w:p w:rsidR="00D81F73"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Importa referir a inovação que o orçamento de estado de 2015 trouxe ao aditar o número 5 do artigo 198º do CPPT e que veio permitir em processos de execução fiscal, cuja dívida seja de reduzido valor, o pagamento em prestações com dispensa de prestação de garantia.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"5 - É dispensada a prestação de garantia quando, à data do pedido, o devedor tenha dívidas fiscais, legalmente não suspensas, de valor inferior a (euro) 2500 para pessoas singulares, ou (euro) 5000 para pessoas coletivas. (Aditado pela Lei n.º 82-B/2014, de 31/12)"</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alterado no orçamento do estado para este ano de 2017, para o dobro do valor:</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"É dispensada a prestação de garantia quando, à data do pedido, o devedor tenha dívidas fiscais, legalmente não suspensas, de valor inferior a (euro) 5000 para pessoas singulares, ou (euro) 10 000 para pessoas coletivas. (Redação dada pela Lei n.º 42/2016, de 28 de dezembro)"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que esta norma tem de inovador é que por força do seu "automatismo" – ou seja não carece de qualquer requisito para além do seu valor – impede qualquer discricionariedade por parte da Administração Fiscal no que diz respeito à sua aplicação.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Por outro lado permite aos devedores com processos de reduzido valor solverem as suas dívidas com um menor esforço e sem terem o ónus da apresentação de uma </w:t>
      </w:r>
      <w:r w:rsidRPr="000C2B9C">
        <w:rPr>
          <w:rFonts w:ascii="Arial" w:eastAsia="Calibri" w:hAnsi="Arial" w:cs="Arial"/>
        </w:rPr>
        <w:lastRenderedPageBreak/>
        <w:t>garantia, que por vezes, se torna muito difícil de obter em famílias com poucos recursos e em empresas com difícil acesso ao crédito. Finalmente, há que sublinhar que esta norma também facilita em muito a atuação dos diversos órgãos de execução fiscal, uma vez que a flexibilidade emergente da norma, não é necess</w:t>
      </w:r>
      <w:r w:rsidR="007C0DDB">
        <w:rPr>
          <w:rFonts w:ascii="Arial" w:eastAsia="Calibri" w:hAnsi="Arial" w:cs="Arial"/>
        </w:rPr>
        <w:t>á</w:t>
      </w:r>
      <w:r w:rsidRPr="000C2B9C">
        <w:rPr>
          <w:rFonts w:ascii="Arial" w:eastAsia="Calibri" w:hAnsi="Arial" w:cs="Arial"/>
        </w:rPr>
        <w:t>ri</w:t>
      </w:r>
      <w:r w:rsidR="007C0DDB">
        <w:rPr>
          <w:rFonts w:ascii="Arial" w:eastAsia="Calibri" w:hAnsi="Arial" w:cs="Arial"/>
        </w:rPr>
        <w:t>o</w:t>
      </w:r>
      <w:r w:rsidRPr="000C2B9C">
        <w:rPr>
          <w:rFonts w:ascii="Arial" w:eastAsia="Calibri" w:hAnsi="Arial" w:cs="Arial"/>
        </w:rPr>
        <w:t xml:space="preserve"> proceder a qualquer análise prévia e</w:t>
      </w:r>
      <w:r w:rsidR="007C0DDB">
        <w:rPr>
          <w:rFonts w:ascii="Arial" w:eastAsia="Calibri" w:hAnsi="Arial" w:cs="Arial"/>
        </w:rPr>
        <w:t>,</w:t>
      </w:r>
      <w:r w:rsidRPr="000C2B9C">
        <w:rPr>
          <w:rFonts w:ascii="Arial" w:eastAsia="Calibri" w:hAnsi="Arial" w:cs="Arial"/>
        </w:rPr>
        <w:t xml:space="preserve"> consequentemente</w:t>
      </w:r>
      <w:r w:rsidR="007C0DDB">
        <w:rPr>
          <w:rFonts w:ascii="Arial" w:eastAsia="Calibri" w:hAnsi="Arial" w:cs="Arial"/>
        </w:rPr>
        <w:t>,</w:t>
      </w:r>
      <w:r w:rsidRPr="000C2B9C">
        <w:rPr>
          <w:rFonts w:ascii="Arial" w:eastAsia="Calibri" w:hAnsi="Arial" w:cs="Arial"/>
        </w:rPr>
        <w:t xml:space="preserve"> evita a </w:t>
      </w:r>
      <w:r w:rsidR="005F617D">
        <w:rPr>
          <w:rFonts w:ascii="Arial" w:eastAsia="Calibri" w:hAnsi="Arial" w:cs="Arial"/>
        </w:rPr>
        <w:t>densific</w:t>
      </w:r>
      <w:r w:rsidRPr="000C2B9C">
        <w:rPr>
          <w:rFonts w:ascii="Arial" w:eastAsia="Calibri" w:hAnsi="Arial" w:cs="Arial"/>
        </w:rPr>
        <w:t>ação do trabalho inerente à cobrança coerciva de que são exemplo as penhoras.</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AA35F4">
      <w:pPr>
        <w:pStyle w:val="Ttulo1"/>
        <w:rPr>
          <w:rFonts w:eastAsia="Calibri"/>
        </w:rPr>
      </w:pPr>
      <w:bookmarkStart w:id="21" w:name="_Toc500109615"/>
      <w:r w:rsidRPr="000C2B9C">
        <w:rPr>
          <w:rFonts w:eastAsia="Calibri"/>
        </w:rPr>
        <w:t>Capitulo 3</w:t>
      </w:r>
      <w:bookmarkEnd w:id="21"/>
    </w:p>
    <w:p w:rsidR="000C2B9C" w:rsidRPr="000C2B9C" w:rsidRDefault="00AA35F4" w:rsidP="00AA35F4">
      <w:pPr>
        <w:pStyle w:val="Ttulo1"/>
        <w:rPr>
          <w:rFonts w:eastAsia="Calibri"/>
        </w:rPr>
      </w:pPr>
      <w:bookmarkStart w:id="22" w:name="_Toc500109616"/>
      <w:r>
        <w:rPr>
          <w:rFonts w:eastAsia="Calibri"/>
        </w:rPr>
        <w:t xml:space="preserve">3.1 </w:t>
      </w:r>
      <w:r w:rsidR="000C2B9C" w:rsidRPr="000C2B9C">
        <w:rPr>
          <w:rFonts w:eastAsia="Calibri"/>
        </w:rPr>
        <w:t>Garantias para apresentação de contencioso</w:t>
      </w:r>
      <w:bookmarkEnd w:id="22"/>
    </w:p>
    <w:p w:rsidR="000C2B9C" w:rsidRPr="000C2B9C" w:rsidRDefault="000C2B9C" w:rsidP="000C2B9C">
      <w:pPr>
        <w:spacing w:before="120" w:after="120" w:line="360" w:lineRule="auto"/>
        <w:jc w:val="center"/>
        <w:rPr>
          <w:rFonts w:ascii="Arial" w:eastAsia="Calibri" w:hAnsi="Arial" w:cs="Arial"/>
          <w:b/>
          <w:sz w:val="28"/>
          <w:szCs w:val="28"/>
        </w:rPr>
      </w:pPr>
    </w:p>
    <w:p w:rsidR="000C2B9C" w:rsidRPr="005E075A" w:rsidRDefault="00AA35F4" w:rsidP="005E075A">
      <w:pPr>
        <w:pStyle w:val="Ttulo2"/>
        <w:rPr>
          <w:rFonts w:eastAsia="Calibri"/>
        </w:rPr>
      </w:pPr>
      <w:bookmarkStart w:id="23" w:name="_Hlk491015903"/>
      <w:bookmarkStart w:id="24" w:name="_Toc500109617"/>
      <w:r>
        <w:rPr>
          <w:rFonts w:eastAsia="Calibri"/>
        </w:rPr>
        <w:t xml:space="preserve">3.1.1 </w:t>
      </w:r>
      <w:r w:rsidR="000C2B9C" w:rsidRPr="005E075A">
        <w:rPr>
          <w:rFonts w:eastAsia="Calibri"/>
        </w:rPr>
        <w:t>Contencioso e suas diversas formas</w:t>
      </w:r>
      <w:bookmarkEnd w:id="24"/>
    </w:p>
    <w:bookmarkEnd w:id="23"/>
    <w:p w:rsidR="00D81F73" w:rsidRDefault="00D81F73" w:rsidP="00D81F73">
      <w:pPr>
        <w:spacing w:before="120" w:after="120" w:line="360" w:lineRule="auto"/>
        <w:jc w:val="both"/>
        <w:rPr>
          <w:rFonts w:ascii="Arial" w:eastAsia="Calibri" w:hAnsi="Arial" w:cs="Arial"/>
        </w:rPr>
      </w:pPr>
    </w:p>
    <w:p w:rsidR="000C2B9C" w:rsidRDefault="007C0DDB" w:rsidP="00D81F73">
      <w:pPr>
        <w:spacing w:before="120" w:after="120" w:line="360" w:lineRule="auto"/>
        <w:jc w:val="both"/>
        <w:rPr>
          <w:rFonts w:ascii="Arial" w:eastAsia="Calibri" w:hAnsi="Arial" w:cs="Arial"/>
        </w:rPr>
      </w:pPr>
      <w:r>
        <w:rPr>
          <w:rFonts w:ascii="Arial" w:eastAsia="Calibri" w:hAnsi="Arial" w:cs="Arial"/>
        </w:rPr>
        <w:t xml:space="preserve">A tutela plena eficaz e efetiva, traduzida no </w:t>
      </w:r>
      <w:r w:rsidR="000C2B9C" w:rsidRPr="000C2B9C">
        <w:rPr>
          <w:rFonts w:ascii="Arial" w:eastAsia="Calibri" w:hAnsi="Arial" w:cs="Arial"/>
        </w:rPr>
        <w:t xml:space="preserve">acesso à Justiça Tributária </w:t>
      </w:r>
      <w:r>
        <w:rPr>
          <w:rFonts w:ascii="Arial" w:eastAsia="Calibri" w:hAnsi="Arial" w:cs="Arial"/>
        </w:rPr>
        <w:t xml:space="preserve">está consagrada no </w:t>
      </w:r>
      <w:r w:rsidR="000C2B9C" w:rsidRPr="000C2B9C">
        <w:rPr>
          <w:rFonts w:ascii="Arial" w:eastAsia="Calibri" w:hAnsi="Arial" w:cs="Arial"/>
        </w:rPr>
        <w:t>artigo 95º da LGT, que prevê o direito de impugnação ou recurso. Com esta norma pretende o legislador abrir todas as possibilidades dos administrados impugnarem</w:t>
      </w:r>
      <w:r>
        <w:rPr>
          <w:rFonts w:ascii="Arial" w:eastAsia="Calibri" w:hAnsi="Arial" w:cs="Arial"/>
        </w:rPr>
        <w:t xml:space="preserve"> quer</w:t>
      </w:r>
      <w:r w:rsidR="000C2B9C" w:rsidRPr="000C2B9C">
        <w:rPr>
          <w:rFonts w:ascii="Arial" w:eastAsia="Calibri" w:hAnsi="Arial" w:cs="Arial"/>
        </w:rPr>
        <w:t xml:space="preserve"> judicialmente, quer administrativamente, os atos que sejam considerados contrários ao</w:t>
      </w:r>
      <w:r>
        <w:rPr>
          <w:rFonts w:ascii="Arial" w:eastAsia="Calibri" w:hAnsi="Arial" w:cs="Arial"/>
        </w:rPr>
        <w:t>s</w:t>
      </w:r>
      <w:r w:rsidR="000C2B9C" w:rsidRPr="000C2B9C">
        <w:rPr>
          <w:rFonts w:ascii="Arial" w:eastAsia="Calibri" w:hAnsi="Arial" w:cs="Arial"/>
        </w:rPr>
        <w:t xml:space="preserve"> direitos e interesses legalmente tutelados.</w:t>
      </w:r>
    </w:p>
    <w:p w:rsidR="00D81F73" w:rsidRPr="000C2B9C" w:rsidRDefault="00D81F73" w:rsidP="000C2B9C">
      <w:pPr>
        <w:spacing w:before="120" w:after="120" w:line="360" w:lineRule="auto"/>
        <w:jc w:val="both"/>
        <w:rPr>
          <w:rFonts w:ascii="Arial" w:eastAsia="Calibri" w:hAnsi="Arial" w:cs="Arial"/>
        </w:rPr>
      </w:pPr>
    </w:p>
    <w:p w:rsidR="00E451B2" w:rsidRDefault="00E451B2" w:rsidP="005E075A">
      <w:pPr>
        <w:pStyle w:val="Ttulo3"/>
        <w:rPr>
          <w:rFonts w:eastAsia="Calibri"/>
        </w:rPr>
      </w:pPr>
      <w:bookmarkStart w:id="25" w:name="_Hlk491201841"/>
    </w:p>
    <w:p w:rsidR="00E451B2" w:rsidRDefault="00E451B2" w:rsidP="005E075A">
      <w:pPr>
        <w:pStyle w:val="Ttulo3"/>
        <w:rPr>
          <w:rFonts w:eastAsia="Calibri"/>
        </w:rPr>
      </w:pPr>
    </w:p>
    <w:p w:rsidR="000C2B9C" w:rsidRPr="00E06B9F" w:rsidRDefault="00AA35F4" w:rsidP="00E06B9F">
      <w:pPr>
        <w:pStyle w:val="Ttulo3"/>
      </w:pPr>
      <w:bookmarkStart w:id="26" w:name="_Toc500109618"/>
      <w:r w:rsidRPr="00E06B9F">
        <w:t xml:space="preserve">3.1.1.1 </w:t>
      </w:r>
      <w:r w:rsidR="000C2B9C" w:rsidRPr="00E06B9F">
        <w:t>O contencioso administrativo</w:t>
      </w:r>
      <w:bookmarkEnd w:id="26"/>
    </w:p>
    <w:bookmarkEnd w:id="25"/>
    <w:p w:rsidR="00D81F73" w:rsidRDefault="00D81F73" w:rsidP="00D81F73">
      <w:pPr>
        <w:spacing w:after="0" w:line="360" w:lineRule="auto"/>
        <w:jc w:val="both"/>
        <w:rPr>
          <w:rFonts w:ascii="Arial" w:eastAsia="Calibri" w:hAnsi="Arial" w:cs="Arial"/>
        </w:rPr>
      </w:pPr>
    </w:p>
    <w:p w:rsidR="000C2B9C" w:rsidRPr="000C2B9C" w:rsidRDefault="000C2B9C" w:rsidP="00D81F73">
      <w:pPr>
        <w:spacing w:after="0" w:line="360" w:lineRule="auto"/>
        <w:jc w:val="both"/>
        <w:rPr>
          <w:rFonts w:ascii="Arial" w:eastAsia="Calibri" w:hAnsi="Arial" w:cs="Arial"/>
        </w:rPr>
      </w:pPr>
      <w:r w:rsidRPr="000C2B9C">
        <w:rPr>
          <w:rFonts w:ascii="Arial" w:eastAsia="Calibri" w:hAnsi="Arial" w:cs="Arial"/>
        </w:rPr>
        <w:t>O contencioso administrativo está estruturado em duas fases. A primeira fase conforme o preceituado no artigo 68º do CPPT, consiste na reclamação graciosa que tem por objetivo a anulação</w:t>
      </w:r>
      <w:r w:rsidR="0097124D">
        <w:rPr>
          <w:rFonts w:ascii="Arial" w:eastAsia="Calibri" w:hAnsi="Arial" w:cs="Arial"/>
        </w:rPr>
        <w:t>,</w:t>
      </w:r>
      <w:r w:rsidRPr="000C2B9C">
        <w:rPr>
          <w:rFonts w:ascii="Arial" w:eastAsia="Calibri" w:hAnsi="Arial" w:cs="Arial"/>
        </w:rPr>
        <w:t xml:space="preserve"> total ou parcial, dos atos tributários por iniciativa do contribuinte e</w:t>
      </w:r>
      <w:r w:rsidR="0097124D">
        <w:rPr>
          <w:rFonts w:ascii="Arial" w:eastAsia="Calibri" w:hAnsi="Arial" w:cs="Arial"/>
        </w:rPr>
        <w:t>,</w:t>
      </w:r>
      <w:r w:rsidRPr="000C2B9C">
        <w:rPr>
          <w:rFonts w:ascii="Arial" w:eastAsia="Calibri" w:hAnsi="Arial" w:cs="Arial"/>
        </w:rPr>
        <w:t xml:space="preserve"> com exceção do disposto no nº</w:t>
      </w:r>
      <w:r w:rsidR="0097124D">
        <w:rPr>
          <w:rFonts w:ascii="Arial" w:eastAsia="Calibri" w:hAnsi="Arial" w:cs="Arial"/>
        </w:rPr>
        <w:t xml:space="preserve"> </w:t>
      </w:r>
      <w:r w:rsidRPr="000C2B9C">
        <w:rPr>
          <w:rFonts w:ascii="Arial" w:eastAsia="Calibri" w:hAnsi="Arial" w:cs="Arial"/>
        </w:rPr>
        <w:t>2 do artigo 68º do CPPT, pode ser sempre deduzida desde que não tenha sido apresentada impugnação judicial com o mesmo fundamento. Este procedimento de reclamação graciosa caracteriza-se</w:t>
      </w:r>
      <w:r w:rsidR="0097124D">
        <w:rPr>
          <w:rFonts w:ascii="Arial" w:eastAsia="Calibri" w:hAnsi="Arial" w:cs="Arial"/>
        </w:rPr>
        <w:t>,</w:t>
      </w:r>
      <w:r w:rsidRPr="000C2B9C">
        <w:rPr>
          <w:rFonts w:ascii="Arial" w:eastAsia="Calibri" w:hAnsi="Arial" w:cs="Arial"/>
        </w:rPr>
        <w:t xml:space="preserve"> essencialmente, pela gratuidade</w:t>
      </w:r>
      <w:r w:rsidR="0097124D">
        <w:rPr>
          <w:rFonts w:ascii="Arial" w:eastAsia="Calibri" w:hAnsi="Arial" w:cs="Arial"/>
        </w:rPr>
        <w:t>,</w:t>
      </w:r>
      <w:r w:rsidRPr="000C2B9C">
        <w:rPr>
          <w:rFonts w:ascii="Arial" w:eastAsia="Calibri" w:hAnsi="Arial" w:cs="Arial"/>
        </w:rPr>
        <w:t xml:space="preserve"> pela simplicidade e dispensa de formalismos. Com este procedimento o contribuinte tem ao seu alcance uma forma de contestação sem custos associados ao </w:t>
      </w:r>
      <w:r w:rsidRPr="000C2B9C">
        <w:rPr>
          <w:rFonts w:ascii="Arial" w:eastAsia="Calibri" w:hAnsi="Arial" w:cs="Arial"/>
        </w:rPr>
        <w:lastRenderedPageBreak/>
        <w:t>procedimento</w:t>
      </w:r>
      <w:r w:rsidRPr="000C2B9C">
        <w:rPr>
          <w:rFonts w:ascii="Arial" w:eastAsia="Calibri" w:hAnsi="Arial" w:cs="Arial"/>
          <w:vertAlign w:val="superscript"/>
        </w:rPr>
        <w:footnoteReference w:id="9"/>
      </w:r>
      <w:r w:rsidRPr="000C2B9C">
        <w:rPr>
          <w:rFonts w:ascii="Arial" w:eastAsia="Calibri" w:hAnsi="Arial" w:cs="Arial"/>
        </w:rPr>
        <w:t>, sem necessidade de recorrer a advogados</w:t>
      </w:r>
      <w:r w:rsidRPr="000C2B9C">
        <w:rPr>
          <w:rFonts w:ascii="Arial" w:eastAsia="Calibri" w:hAnsi="Arial" w:cs="Arial"/>
          <w:vertAlign w:val="superscript"/>
        </w:rPr>
        <w:footnoteReference w:id="10"/>
      </w:r>
      <w:r w:rsidRPr="000C2B9C">
        <w:rPr>
          <w:rFonts w:ascii="Arial" w:eastAsia="Calibri" w:hAnsi="Arial" w:cs="Arial"/>
        </w:rPr>
        <w:t xml:space="preserve"> para a defesa dos seus legítimos interesses. Os fundamentos para deduzir a reclamação graciosa, estão elencados no artigo 99º do CPPT e são os mesmos da impugnação judicial, no entanto o prazo para a apresentação da reclamação graciosa é de 120 dias, e distint</w:t>
      </w:r>
      <w:r w:rsidR="00A16D12">
        <w:rPr>
          <w:rFonts w:ascii="Arial" w:eastAsia="Calibri" w:hAnsi="Arial" w:cs="Arial"/>
        </w:rPr>
        <w:t>o</w:t>
      </w:r>
      <w:r w:rsidRPr="000C2B9C">
        <w:rPr>
          <w:rFonts w:ascii="Arial" w:eastAsia="Calibri" w:hAnsi="Arial" w:cs="Arial"/>
        </w:rPr>
        <w:t xml:space="preserve"> da impugnação judicial sendo esta de 3 meses. Em ambos os casos a contagem dos prazos inicia-se a partir dos fatos previstos no n.º 1 do artigo 102º do CPPT. A competência para a instauração do processo de reclamação graciosa é do órgão periférico regional.</w:t>
      </w:r>
      <w:r w:rsidRPr="000C2B9C">
        <w:rPr>
          <w:rFonts w:ascii="Arial" w:eastAsia="Calibri" w:hAnsi="Arial" w:cs="Arial"/>
          <w:vertAlign w:val="superscript"/>
        </w:rPr>
        <w:footnoteReference w:id="11"/>
      </w:r>
      <w:r w:rsidRPr="000C2B9C">
        <w:rPr>
          <w:rFonts w:ascii="Arial" w:eastAsia="Calibri" w:hAnsi="Arial" w:cs="Arial"/>
        </w:rPr>
        <w:t xml:space="preserve"> Este procedimento deverá estar concluído no prazo de quatro meses, conforme preceituado no nº1 do artigo 57º da LGT.</w:t>
      </w:r>
    </w:p>
    <w:p w:rsidR="000C2B9C" w:rsidRPr="000C2B9C" w:rsidRDefault="000C2B9C" w:rsidP="000C2B9C">
      <w:pPr>
        <w:spacing w:before="360" w:after="240" w:line="360" w:lineRule="auto"/>
        <w:jc w:val="both"/>
        <w:rPr>
          <w:rFonts w:ascii="Arial" w:eastAsia="Calibri" w:hAnsi="Arial" w:cs="Arial"/>
        </w:rPr>
      </w:pPr>
      <w:r w:rsidRPr="000C2B9C">
        <w:rPr>
          <w:rFonts w:ascii="Arial" w:eastAsia="Calibri" w:hAnsi="Arial" w:cs="Arial"/>
        </w:rPr>
        <w:t>A segunda fase do contencioso administrativo é o recurso hierárquico e encontra-se prevista no</w:t>
      </w:r>
      <w:r w:rsidR="00917CB2">
        <w:rPr>
          <w:rFonts w:ascii="Arial" w:eastAsia="Calibri" w:hAnsi="Arial" w:cs="Arial"/>
        </w:rPr>
        <w:t>s</w:t>
      </w:r>
      <w:r w:rsidRPr="000C2B9C">
        <w:rPr>
          <w:rFonts w:ascii="Arial" w:eastAsia="Calibri" w:hAnsi="Arial" w:cs="Arial"/>
        </w:rPr>
        <w:t xml:space="preserve"> artigo</w:t>
      </w:r>
      <w:r w:rsidR="00917CB2">
        <w:rPr>
          <w:rFonts w:ascii="Arial" w:eastAsia="Calibri" w:hAnsi="Arial" w:cs="Arial"/>
        </w:rPr>
        <w:t>s</w:t>
      </w:r>
      <w:r w:rsidRPr="000C2B9C">
        <w:rPr>
          <w:rFonts w:ascii="Arial" w:eastAsia="Calibri" w:hAnsi="Arial" w:cs="Arial"/>
        </w:rPr>
        <w:t xml:space="preserve"> </w:t>
      </w:r>
      <w:r w:rsidR="00917CB2">
        <w:rPr>
          <w:rFonts w:ascii="Arial" w:eastAsia="Calibri" w:hAnsi="Arial" w:cs="Arial"/>
        </w:rPr>
        <w:t>66º e 6</w:t>
      </w:r>
      <w:r w:rsidRPr="000C2B9C">
        <w:rPr>
          <w:rFonts w:ascii="Arial" w:eastAsia="Calibri" w:hAnsi="Arial" w:cs="Arial"/>
        </w:rPr>
        <w:t>7º do CPPT. Este mecanismo não prejudica o princípio do duplo grau de decisão, conforme o nº</w:t>
      </w:r>
      <w:r w:rsidR="00A16D12">
        <w:rPr>
          <w:rFonts w:ascii="Arial" w:eastAsia="Calibri" w:hAnsi="Arial" w:cs="Arial"/>
        </w:rPr>
        <w:t xml:space="preserve"> </w:t>
      </w:r>
      <w:r w:rsidRPr="000C2B9C">
        <w:rPr>
          <w:rFonts w:ascii="Arial" w:eastAsia="Calibri" w:hAnsi="Arial" w:cs="Arial"/>
        </w:rPr>
        <w:t xml:space="preserve">1 do artigo </w:t>
      </w:r>
      <w:r w:rsidR="00A16D12">
        <w:rPr>
          <w:rFonts w:ascii="Arial" w:eastAsia="Calibri" w:hAnsi="Arial" w:cs="Arial"/>
        </w:rPr>
        <w:t>47</w:t>
      </w:r>
      <w:r w:rsidRPr="000C2B9C">
        <w:rPr>
          <w:rFonts w:ascii="Arial" w:eastAsia="Calibri" w:hAnsi="Arial" w:cs="Arial"/>
        </w:rPr>
        <w:t>º do CPPT e é facultativo</w:t>
      </w:r>
      <w:r w:rsidR="00917CB2">
        <w:rPr>
          <w:rFonts w:ascii="Arial" w:eastAsia="Calibri" w:hAnsi="Arial" w:cs="Arial"/>
        </w:rPr>
        <w:t>.</w:t>
      </w:r>
      <w:r w:rsidRPr="000C2B9C">
        <w:rPr>
          <w:rFonts w:ascii="Arial" w:eastAsia="Calibri" w:hAnsi="Arial" w:cs="Arial"/>
        </w:rPr>
        <w:t xml:space="preserve"> </w:t>
      </w:r>
      <w:r w:rsidR="00917CB2">
        <w:rPr>
          <w:rFonts w:ascii="Arial" w:eastAsia="Calibri" w:hAnsi="Arial" w:cs="Arial"/>
        </w:rPr>
        <w:t>A decisão do recurso hierárquico conforme preceituado no nº 2 do artigo 76º do CPPT, é passível de ação judicial, a qual consiste na impugnação judicial, sempre que a pretensão do contribuinte se traduza na apreciação da legalidade de um ato de liquidação.</w:t>
      </w:r>
    </w:p>
    <w:p w:rsidR="000C2B9C" w:rsidRPr="00E06B9F" w:rsidRDefault="00AA35F4" w:rsidP="00E06B9F">
      <w:pPr>
        <w:pStyle w:val="Ttulo3"/>
      </w:pPr>
      <w:bookmarkStart w:id="27" w:name="_Toc500109619"/>
      <w:r w:rsidRPr="00E06B9F">
        <w:t>3.1.1.2</w:t>
      </w:r>
      <w:r w:rsidR="000C2B9C" w:rsidRPr="00E06B9F">
        <w:t xml:space="preserve"> O contencioso judicial</w:t>
      </w:r>
      <w:bookmarkEnd w:id="27"/>
    </w:p>
    <w:p w:rsidR="00D81F73"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Nesta matéria debruçar-nos-emos sobre a impugnação judicial, o pedido de constituição de tribunal arbitral, a oposição à execução fiscal e a ação administrativa, uma vez que são estes os mecanismos que interessam para o presente estudo, </w:t>
      </w:r>
      <w:r w:rsidR="00DA0D22">
        <w:rPr>
          <w:rFonts w:ascii="Arial" w:eastAsia="Calibri" w:hAnsi="Arial" w:cs="Arial"/>
        </w:rPr>
        <w:t>todos</w:t>
      </w:r>
      <w:r w:rsidRPr="000C2B9C">
        <w:rPr>
          <w:rFonts w:ascii="Arial" w:eastAsia="Calibri" w:hAnsi="Arial" w:cs="Arial"/>
        </w:rPr>
        <w:t xml:space="preserve"> estão ligados à execução fiscal e em relação a todos é necessária a constituição de garantia ou a dispensa da mesma. Como veremos também são estes mecanismos que estão previstos para obter a suspensão da execução fiscal nos termos do nº1 do artigo 169º do CPPT (com as devidas adaptações que seguidamente serão elencadas).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impugnação judicial, prevista nos artigos 98º a 12</w:t>
      </w:r>
      <w:r w:rsidR="00DA0D22">
        <w:rPr>
          <w:rFonts w:ascii="Arial" w:eastAsia="Calibri" w:hAnsi="Arial" w:cs="Arial"/>
        </w:rPr>
        <w:t>6</w:t>
      </w:r>
      <w:r w:rsidRPr="000C2B9C">
        <w:rPr>
          <w:rFonts w:ascii="Arial" w:eastAsia="Calibri" w:hAnsi="Arial" w:cs="Arial"/>
        </w:rPr>
        <w:t>º do CPPT, como referimos anteriormente tem os mesmos fundamentos da reclamação graciosa, de uma forma mais precisa é a reclamação graciosa que tem os mesmos fundamentos da impugnação, uma vez que estes estão previstos no artigo</w:t>
      </w:r>
      <w:r w:rsidRPr="000C2B9C">
        <w:rPr>
          <w:rFonts w:ascii="Arial" w:eastAsia="Calibri" w:hAnsi="Arial" w:cs="Arial"/>
          <w:vertAlign w:val="superscript"/>
        </w:rPr>
        <w:footnoteReference w:id="12"/>
      </w:r>
      <w:r w:rsidRPr="000C2B9C">
        <w:rPr>
          <w:rFonts w:ascii="Arial" w:eastAsia="Calibri" w:hAnsi="Arial" w:cs="Arial"/>
        </w:rPr>
        <w:t xml:space="preserve"> que regula a impugnação judicial. O objetivo da impugnação é o mesmo da reclamação graciosa, ou seja, a anulação total ou parcial dos actos tributários por iniciativa do contribuinte. Para além deste procedimento ter caráter judicial ao contrário dos regimes administrativos </w:t>
      </w:r>
      <w:r w:rsidRPr="000C2B9C">
        <w:rPr>
          <w:rFonts w:ascii="Arial" w:eastAsia="Calibri" w:hAnsi="Arial" w:cs="Arial"/>
        </w:rPr>
        <w:lastRenderedPageBreak/>
        <w:t xml:space="preserve">anteriormente expostos e por isso </w:t>
      </w:r>
      <w:r w:rsidR="00030474">
        <w:rPr>
          <w:rFonts w:ascii="Arial" w:eastAsia="Calibri" w:hAnsi="Arial" w:cs="Arial"/>
        </w:rPr>
        <w:t>i</w:t>
      </w:r>
      <w:r w:rsidRPr="000C2B9C">
        <w:rPr>
          <w:rFonts w:ascii="Arial" w:eastAsia="Calibri" w:hAnsi="Arial" w:cs="Arial"/>
        </w:rPr>
        <w:t>mplica o pagamento de custas judiciais</w:t>
      </w:r>
      <w:r w:rsidRPr="000C2B9C">
        <w:rPr>
          <w:rFonts w:ascii="Arial" w:eastAsia="Calibri" w:hAnsi="Arial" w:cs="Arial"/>
          <w:vertAlign w:val="superscript"/>
        </w:rPr>
        <w:footnoteReference w:id="13"/>
      </w:r>
      <w:r w:rsidRPr="000C2B9C">
        <w:rPr>
          <w:rFonts w:ascii="Arial" w:eastAsia="Calibri" w:hAnsi="Arial" w:cs="Arial"/>
        </w:rPr>
        <w:t xml:space="preserve"> e obriga à constituição de mandatário, quando o valor da ação é superior aos 10.000€.</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que concerne à oposição judicial, prevista nos artigos 203º a 213º do CPPT, é um mecanismo que pela sua natureza, apenas e só, ocorre em processo de execução fiscal e tem como fundamentos os elencados no artigo 204º do CPPT, dos quais destacamos, por serem os mais comuns, a inexigibilidade da dívida, a ilegitimidade da pessoa citada e a prescrição da dívida.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Decreto-Lei nº 10/2011</w:t>
      </w:r>
      <w:r w:rsidRPr="000C2B9C">
        <w:rPr>
          <w:rFonts w:ascii="Arial" w:eastAsia="Calibri" w:hAnsi="Arial" w:cs="Arial"/>
          <w:vertAlign w:val="superscript"/>
        </w:rPr>
        <w:footnoteReference w:id="14"/>
      </w:r>
      <w:r w:rsidRPr="000C2B9C">
        <w:rPr>
          <w:rFonts w:ascii="Arial" w:eastAsia="Calibri" w:hAnsi="Arial" w:cs="Arial"/>
        </w:rPr>
        <w:t>, de 20 de janeiro veio estabelecer o regime de arbitragem tributária, que sendo algo de inovador, visa colmatar três grandes falhas no sistema tradicional dos Tribunais Administrativos e Fiscais, pode ler-se no seu preâmbulo que a arbitragem tributária: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visa três objectivos principais: por um lado, reforçar a tutela eficaz dos direitos e interesses legalmente protegidos dos sujeitos passivos, por outro lado, imprimir uma maior celeridade na resolução de litígios que opõem a administração tributária ao sujeito passivo e, finalmente, reduzir a pendência de processos nos tribunais administrativos e fiscais..."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âmbito deste estudo importa afirmar que o recurso à arbitragem tributária (quando possível) segue as mesmas linhas da impugnação judicial, conferindo os mesmos direitos e deveres quer para o credor tributário, quer para o devedor, na prespetiva dos meios impugnatórios do ato de liquidação.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Finalmente debrucemo-nos com algum cuidado sobre a ação administrativa</w:t>
      </w:r>
      <w:r w:rsidRPr="000C2B9C">
        <w:rPr>
          <w:rFonts w:ascii="Arial" w:eastAsia="Calibri" w:hAnsi="Arial" w:cs="Arial"/>
          <w:vertAlign w:val="superscript"/>
        </w:rPr>
        <w:footnoteReference w:id="15"/>
      </w:r>
      <w:r w:rsidRPr="000C2B9C">
        <w:rPr>
          <w:rFonts w:ascii="Arial" w:eastAsia="Calibri" w:hAnsi="Arial" w:cs="Arial"/>
        </w:rPr>
        <w:t>, que como pode ser constatado não vem consagrado no nº1 do artigo 169º do CPPT, no entanto como referem Jesuíno Alcântara Martins e José Costa Alves,</w:t>
      </w:r>
    </w:p>
    <w:p w:rsidR="000C2B9C" w:rsidRPr="00E451B2" w:rsidRDefault="000C2B9C" w:rsidP="00E451B2">
      <w:pPr>
        <w:spacing w:before="120" w:after="120" w:line="360" w:lineRule="auto"/>
        <w:ind w:left="567" w:right="567"/>
        <w:jc w:val="both"/>
        <w:rPr>
          <w:rFonts w:ascii="Arial" w:eastAsia="Calibri" w:hAnsi="Arial" w:cs="Arial"/>
          <w:sz w:val="20"/>
          <w:szCs w:val="20"/>
        </w:rPr>
      </w:pPr>
      <w:r w:rsidRPr="00E451B2">
        <w:rPr>
          <w:rFonts w:ascii="Arial" w:eastAsia="Calibri" w:hAnsi="Arial" w:cs="Arial"/>
          <w:i/>
          <w:sz w:val="20"/>
          <w:szCs w:val="20"/>
        </w:rPr>
        <w:t>«Acresce que a suspensão da execução (176)</w:t>
      </w:r>
      <w:r w:rsidRPr="00E451B2">
        <w:rPr>
          <w:rFonts w:ascii="Arial" w:eastAsia="Calibri" w:hAnsi="Arial" w:cs="Arial"/>
          <w:i/>
          <w:sz w:val="20"/>
          <w:szCs w:val="20"/>
          <w:vertAlign w:val="superscript"/>
        </w:rPr>
        <w:footnoteReference w:id="16"/>
      </w:r>
      <w:r w:rsidRPr="00E451B2">
        <w:rPr>
          <w:rFonts w:ascii="Arial" w:eastAsia="Calibri" w:hAnsi="Arial" w:cs="Arial"/>
          <w:sz w:val="20"/>
          <w:szCs w:val="20"/>
        </w:rPr>
        <w:t xml:space="preserve"> – </w:t>
      </w:r>
      <w:r w:rsidRPr="00E451B2">
        <w:rPr>
          <w:rFonts w:ascii="Arial" w:eastAsia="Calibri" w:hAnsi="Arial" w:cs="Arial"/>
          <w:i/>
          <w:sz w:val="20"/>
          <w:szCs w:val="20"/>
        </w:rPr>
        <w:t xml:space="preserve">Sobre a suspensão da execução fiscal importa atender à jurisprudência do TCA Norte firmada no processo nº 00278/13.0 BEVIS, datado de 30.10.2014, que prescreve que "(i) [a] execução fiscal suspende-se nomeadamente nos casos previstos no artigo 169.º do CPPT, desde que tenha sido constituída ou prestada garantia, nos termos dos artigos 195.º a 199.º do CPPT ou tiver sido efectuada penhora que garanta a totalidade da dívida exequenda e do acrescido. (ii) Para aferir da suficiência dos bens penhorados para </w:t>
      </w:r>
      <w:r w:rsidRPr="00E451B2">
        <w:rPr>
          <w:rFonts w:ascii="Arial" w:eastAsia="Calibri" w:hAnsi="Arial" w:cs="Arial"/>
          <w:i/>
          <w:sz w:val="20"/>
          <w:szCs w:val="20"/>
        </w:rPr>
        <w:lastRenderedPageBreak/>
        <w:t>assegurar o pagamento da dívida exequenda e acrescido deve atender-se ao valor global de todos os bens penhorados e não apenas o valor atribuído às benfeitorias implantadas num dos prédios penhorados. ((iii) Nos meios processuais previstos nos artigos 52.º, n.º 1 da LGT e 169.º, n.º 1 do CPPT, podem ser incluídos outros meios procedimentais e processuais que tenham por objecto a legalidade da dívida exequenda, incluindo a acção administrativa especial"»</w:t>
      </w:r>
      <w:r w:rsidRPr="00E451B2">
        <w:rPr>
          <w:rFonts w:ascii="Arial" w:eastAsia="Calibri" w:hAnsi="Arial" w:cs="Arial"/>
          <w:sz w:val="20"/>
          <w:szCs w:val="20"/>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(Martins,J. A.; Alves,J. C. (2016). Procedimento e Processo Tributário – Uma perspectiva prática. Coimbra: Almedina).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como refere a jurisprudência a atual ação administrativa, anteriormente designada por ação administrativa especial, é uma forma de suspender o processo análoga ao disposto no nº1 do artigo 169º do CPPT e do nº1 do artigo 52º da LGT, logo cabe no nosso objeto de estudo para a determinação da constituição de garantia no processo de execução fiscal.</w:t>
      </w:r>
    </w:p>
    <w:p w:rsidR="000C2B9C" w:rsidRPr="000C2B9C" w:rsidRDefault="000C2B9C" w:rsidP="000C2B9C">
      <w:pPr>
        <w:spacing w:before="120" w:after="120" w:line="360" w:lineRule="auto"/>
        <w:jc w:val="both"/>
        <w:rPr>
          <w:rFonts w:ascii="Arial" w:eastAsia="Calibri" w:hAnsi="Arial" w:cs="Arial"/>
        </w:rPr>
      </w:pPr>
    </w:p>
    <w:p w:rsidR="000C2B9C" w:rsidRPr="005E075A" w:rsidRDefault="000C2B9C" w:rsidP="00E06B9F">
      <w:pPr>
        <w:pStyle w:val="Ttulo2"/>
        <w:rPr>
          <w:rStyle w:val="Ttulo2Char"/>
        </w:rPr>
      </w:pPr>
      <w:r w:rsidRPr="000C2B9C">
        <w:rPr>
          <w:rFonts w:eastAsia="Calibri" w:cs="Arial"/>
          <w:b/>
        </w:rPr>
        <w:tab/>
      </w:r>
      <w:bookmarkStart w:id="28" w:name="_Toc500109620"/>
      <w:r w:rsidR="00AA35F4" w:rsidRPr="00AA35F4">
        <w:rPr>
          <w:rFonts w:eastAsia="Calibri" w:cs="Arial"/>
        </w:rPr>
        <w:t>3.</w:t>
      </w:r>
      <w:r w:rsidR="00AA35F4">
        <w:rPr>
          <w:rFonts w:eastAsia="Calibri" w:cs="Arial"/>
        </w:rPr>
        <w:t>2</w:t>
      </w:r>
      <w:r w:rsidR="00AA35F4" w:rsidRPr="00AA35F4">
        <w:rPr>
          <w:rFonts w:eastAsia="Calibri" w:cs="Arial"/>
        </w:rPr>
        <w:t>.</w:t>
      </w:r>
      <w:r w:rsidR="00AA35F4">
        <w:rPr>
          <w:rFonts w:eastAsia="Calibri" w:cs="Arial"/>
        </w:rPr>
        <w:t>1</w:t>
      </w:r>
      <w:r w:rsidR="00AA35F4">
        <w:rPr>
          <w:rFonts w:eastAsia="Calibri" w:cs="Arial"/>
          <w:b/>
        </w:rPr>
        <w:t xml:space="preserve"> </w:t>
      </w:r>
      <w:r w:rsidRPr="005E075A">
        <w:rPr>
          <w:rStyle w:val="Ttulo2Char"/>
        </w:rPr>
        <w:t>Garantias para a suspensão do processo de execução fiscal</w:t>
      </w:r>
      <w:bookmarkEnd w:id="28"/>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Abordados os regimes contenciosos que permitem suspender a execução fiscal nos termos do nº1 do artigo 169º do CPPT, vamos analisar as garantias a constituir nos</w:t>
      </w:r>
      <w:r w:rsidR="00EB4269">
        <w:rPr>
          <w:rFonts w:ascii="Arial" w:eastAsia="Calibri" w:hAnsi="Arial" w:cs="Arial"/>
        </w:rPr>
        <w:t xml:space="preserve"> </w:t>
      </w:r>
      <w:r w:rsidRPr="000C2B9C">
        <w:rPr>
          <w:rFonts w:ascii="Arial" w:eastAsia="Calibri" w:hAnsi="Arial" w:cs="Arial"/>
        </w:rPr>
        <w:t xml:space="preserve">termos deste artigo.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rPr>
        <w:t xml:space="preserve"> </w:t>
      </w:r>
      <w:r w:rsidRPr="000C2B9C">
        <w:rPr>
          <w:rFonts w:ascii="Arial" w:eastAsia="Calibri" w:hAnsi="Arial" w:cs="Arial"/>
          <w:i/>
        </w:rPr>
        <w:t xml:space="preserve">«O processo de execução fiscal só pode ser suspenso se existir uma reclamação graciosa, um recurso hierárquico, uma impugnação judicial ou um recurso judicial que tenha por objecto a legalidade da dívida exequenda ou ainda durante os procedimentos de resolução de diferendos no quadro da Convenção de Arbitragem nº 90/436/CEE, de 23 de Julho, relativa à eliminação da dupla tributação em caso de correcção de lucros entre empresas associadas de diferentes Estados membros – artigo 52.º da LGT e artigo 169.º do CPPT. Todavia, estes procedimentos só por si não determinam a suspensão da execução fiscal. Salvo nos casos previstos na lei, torna-se indispensável que seja constituída ou prestada uma garantia idónea, nos termos dos artigos 195.º e 199.º do CPPT, ou a penhora de bens garanta a totalidade da dívida exequenda e acrescido.» </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(Martins,J. A.; Alves,J. C. (2016). Procedimento e Processo Tributário – Uma perspectiva prática. Coimbra: Almedina).</w:t>
      </w:r>
    </w:p>
    <w:p w:rsidR="00D81F73" w:rsidRPr="000C2B9C"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este respeito refere Jorge Lopes de Sousa,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 xml:space="preserve">«Por isso, é inequívoco que a possibilidade de suspensão aqui prevista não se reduz aos casos em que esteja em discussão a legalidade da dívida exequenda, em sentido estrito como reflexo da ilegalidade da </w:t>
      </w:r>
      <w:r w:rsidRPr="000C2B9C">
        <w:rPr>
          <w:rFonts w:ascii="Arial" w:eastAsia="Calibri" w:hAnsi="Arial" w:cs="Arial"/>
          <w:b/>
          <w:i/>
        </w:rPr>
        <w:t>liquidação</w:t>
      </w:r>
      <w:r w:rsidRPr="000C2B9C">
        <w:rPr>
          <w:rFonts w:ascii="Arial" w:eastAsia="Calibri" w:hAnsi="Arial" w:cs="Arial"/>
          <w:i/>
        </w:rPr>
        <w:t xml:space="preserve"> subjacente à dívida exequenda, mas abrangerá todos os casos em que esteja em causa a legalidade da sua cobrança, seja contra os responsáveis originários seja contra os subsidiários. </w:t>
      </w:r>
    </w:p>
    <w:p w:rsidR="000C2B9C" w:rsidRPr="000C2B9C" w:rsidRDefault="00687BE8" w:rsidP="000C2B9C">
      <w:pPr>
        <w:spacing w:before="120" w:after="120" w:line="360" w:lineRule="auto"/>
        <w:jc w:val="both"/>
        <w:rPr>
          <w:rFonts w:ascii="Arial" w:eastAsia="Calibri" w:hAnsi="Arial" w:cs="Arial"/>
        </w:rPr>
      </w:pPr>
      <w:r w:rsidRPr="00687BE8">
        <w:rPr>
          <w:rFonts w:ascii="Arial" w:eastAsia="Calibri" w:hAnsi="Arial" w:cs="Arial"/>
        </w:rPr>
        <w:t>Lopes de Sousa,J. (2003). Código de Procedimento e Processo Tributário. Lisboa Vislis Editores).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Podemos então concluir que para que um processo de execução fiscal fique suspenso - o que neste caso quer dizer, que todas as diligências possíveis com vista à cobrança coerciva ficam impedidas de prosseguir, enquanto essa mesma suspensão se mantiver – é necessário que exista um meio contencioso de discussão da legalidade </w:t>
      </w:r>
      <w:r w:rsidR="00EB4269">
        <w:rPr>
          <w:rFonts w:ascii="Arial" w:eastAsia="Calibri" w:hAnsi="Arial" w:cs="Arial"/>
        </w:rPr>
        <w:t>e/ou da</w:t>
      </w:r>
      <w:r w:rsidRPr="000C2B9C">
        <w:rPr>
          <w:rFonts w:ascii="Arial" w:eastAsia="Calibri" w:hAnsi="Arial" w:cs="Arial"/>
        </w:rPr>
        <w:t xml:space="preserve"> inexigibilidade da dívida, bem como simultaneamente uma garantia idónea apresentada pelo devedor e aceite pelo credor tributário.</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E06B9F">
      <w:pPr>
        <w:pStyle w:val="Ttulo3"/>
        <w:rPr>
          <w:rFonts w:eastAsia="Calibri" w:cs="Arial"/>
          <w:b/>
          <w:sz w:val="26"/>
          <w:szCs w:val="26"/>
        </w:rPr>
      </w:pPr>
      <w:r w:rsidRPr="000C2B9C">
        <w:rPr>
          <w:rFonts w:eastAsia="Calibri" w:cs="Arial"/>
        </w:rPr>
        <w:t xml:space="preserve"> </w:t>
      </w:r>
      <w:bookmarkStart w:id="29" w:name="_Toc500109621"/>
      <w:r w:rsidR="00AA35F4">
        <w:rPr>
          <w:rFonts w:eastAsia="Calibri" w:cs="Arial"/>
          <w:sz w:val="26"/>
          <w:szCs w:val="26"/>
        </w:rPr>
        <w:t>3.2.</w:t>
      </w:r>
      <w:r w:rsidR="00E06B9F">
        <w:rPr>
          <w:rFonts w:eastAsia="Calibri" w:cs="Arial"/>
          <w:sz w:val="26"/>
          <w:szCs w:val="26"/>
        </w:rPr>
        <w:t>1.</w:t>
      </w:r>
      <w:r w:rsidR="00AA35F4">
        <w:rPr>
          <w:rFonts w:eastAsia="Calibri" w:cs="Arial"/>
          <w:sz w:val="26"/>
          <w:szCs w:val="26"/>
        </w:rPr>
        <w:t>1</w:t>
      </w:r>
      <w:r w:rsidR="00AA35F4">
        <w:rPr>
          <w:rFonts w:eastAsia="Calibri" w:cs="Arial"/>
          <w:b/>
          <w:sz w:val="26"/>
          <w:szCs w:val="26"/>
        </w:rPr>
        <w:t xml:space="preserve"> </w:t>
      </w:r>
      <w:r w:rsidRPr="005E075A">
        <w:rPr>
          <w:rStyle w:val="Ttulo3Char"/>
        </w:rPr>
        <w:t>As garantias para suspensão da execução fiscal</w:t>
      </w:r>
      <w:bookmarkEnd w:id="29"/>
      <w:r w:rsidRPr="000C2B9C">
        <w:rPr>
          <w:rFonts w:eastAsia="Calibri" w:cs="Arial"/>
          <w:b/>
          <w:sz w:val="26"/>
          <w:szCs w:val="26"/>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Centremo-nos agora, na tipologia das garantias que permitam a suspensão do Processo de Execução Fiscal ao abrigo do artigo 169º do CPPT, abordada no ponto 3.2.1.</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Abordaremos neste sub capítulo os números 1, 4, 6, 8, 9 e 12, do artigo 199º do CPPT, uma vez que são os importantes para as garantias para suspensão do processo de execução fiscal, aquando da apresentação de contencioso e refira-se que os restantes números do mesmo artigo são tratados noutros capítulos do presente trabalho.</w:t>
      </w:r>
      <w:r w:rsidR="00EB4269">
        <w:rPr>
          <w:rFonts w:ascii="Arial" w:eastAsia="Calibri" w:hAnsi="Arial" w:cs="Arial"/>
        </w:rPr>
        <w:t xml:space="preserve"> </w:t>
      </w:r>
      <w:r w:rsidRPr="000C2B9C">
        <w:rPr>
          <w:rFonts w:ascii="Arial" w:eastAsia="Calibri" w:hAnsi="Arial" w:cs="Arial"/>
        </w:rPr>
        <w:t xml:space="preserve">Apesar do artigo vir na sequência dos pedidos de pagamentos em prestações (secção IV do capítulo II do titulo IV do CPPT) os números anteriormente referidos aplicam-se de forma análoga para a suspensão consagrada no artigo 169º do CPPT.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No nº1 do artigo 199º do CPPT prevê-se que o executado ofereça garantia idónea, juntamente com o pedido (entenda-se por pedido, a apresentação de contencioso, nos termos do nº1 do artigo 169º do CPPT, ou a intenção de apresentar contencioso, nos termos do nº2 do mesmo artigo). </w:t>
      </w:r>
      <w:r w:rsidR="00EB4269">
        <w:rPr>
          <w:rFonts w:ascii="Arial" w:eastAsia="Calibri" w:hAnsi="Arial" w:cs="Arial"/>
        </w:rPr>
        <w:t>Na opinião do legislador, a</w:t>
      </w:r>
      <w:r w:rsidRPr="000C2B9C">
        <w:rPr>
          <w:rFonts w:ascii="Arial" w:eastAsia="Calibri" w:hAnsi="Arial" w:cs="Arial"/>
        </w:rPr>
        <w:t xml:space="preserve"> garantia idónea é a garantia bancária, caução ou seguro caução. Ainda que o legislador abra outras possibilidades, quando refere "</w:t>
      </w:r>
      <w:r w:rsidR="00EB4269">
        <w:rPr>
          <w:rFonts w:ascii="Arial" w:eastAsia="Calibri" w:hAnsi="Arial" w:cs="Arial"/>
        </w:rPr>
        <w:t xml:space="preserve">(...) </w:t>
      </w:r>
      <w:r w:rsidRPr="000C2B9C">
        <w:rPr>
          <w:rFonts w:ascii="Arial" w:eastAsia="Calibri" w:hAnsi="Arial" w:cs="Arial"/>
          <w:i/>
        </w:rPr>
        <w:t>ou qualquer meio susceptível de assegurar os créditos do exequente</w:t>
      </w:r>
      <w:r w:rsidR="00EB4269">
        <w:rPr>
          <w:rFonts w:ascii="Arial" w:eastAsia="Calibri" w:hAnsi="Arial" w:cs="Arial"/>
          <w:i/>
        </w:rPr>
        <w:t xml:space="preserve"> (...)</w:t>
      </w:r>
      <w:r w:rsidRPr="000C2B9C">
        <w:rPr>
          <w:rFonts w:ascii="Arial" w:eastAsia="Calibri" w:hAnsi="Arial" w:cs="Arial"/>
        </w:rPr>
        <w:t>", estas são as formas privilegiadas quer pelo legislador, quer pela Autoridade Tributária, quanto mais não seja porque não estão sujeitas a depreciação</w:t>
      </w:r>
      <w:r w:rsidRPr="000C2B9C">
        <w:rPr>
          <w:rFonts w:ascii="Arial" w:eastAsia="Calibri" w:hAnsi="Arial" w:cs="Arial"/>
          <w:vertAlign w:val="superscript"/>
        </w:rPr>
        <w:footnoteReference w:id="17"/>
      </w:r>
      <w:r w:rsidRPr="000C2B9C">
        <w:rPr>
          <w:rFonts w:ascii="Arial" w:eastAsia="Calibri" w:hAnsi="Arial" w:cs="Arial"/>
        </w:rPr>
        <w:t xml:space="preserve"> e são de </w:t>
      </w:r>
      <w:r w:rsidRPr="000C2B9C">
        <w:rPr>
          <w:rFonts w:ascii="Arial" w:eastAsia="Calibri" w:hAnsi="Arial" w:cs="Arial"/>
        </w:rPr>
        <w:lastRenderedPageBreak/>
        <w:t>simples e objetiva avaliação. No entanto</w:t>
      </w:r>
      <w:r w:rsidR="00BD48A6">
        <w:rPr>
          <w:rFonts w:ascii="Arial" w:eastAsia="Calibri" w:hAnsi="Arial" w:cs="Arial"/>
        </w:rPr>
        <w:t>,</w:t>
      </w:r>
      <w:r w:rsidRPr="000C2B9C">
        <w:rPr>
          <w:rFonts w:ascii="Arial" w:eastAsia="Calibri" w:hAnsi="Arial" w:cs="Arial"/>
        </w:rPr>
        <w:t xml:space="preserve"> e conforme preceituado no nº2 do artigo 199º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A garantia idónea referida no número anterior poderá consistir, ainda, a requerimento do executado e mediante concordância da administração tributária, em penhor ou hipoteca voluntária, aplicando-se o disposto no artigo 195.º, com as necessárias adaptações."</w:t>
      </w:r>
      <w:r w:rsidRPr="000C2B9C">
        <w:rPr>
          <w:rFonts w:ascii="Arial" w:eastAsia="Calibri" w:hAnsi="Arial" w:cs="Arial"/>
          <w:i/>
          <w:vertAlign w:val="superscript"/>
        </w:rPr>
        <w:footnoteReference w:id="18"/>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É comum os executados apresentarem bens do seu património (como imóveis por exemplo), para constituição de hipoteca voluntária (nos casos em que a iniciativa da hipoteca é deles), ou a constituição de uma hipoteca legal (nos casos em que a iniciativa é da Autoridade Tributária). Outra forma de garantia por vezes aceite é a penhora ou o penhor de ações de sociedades anónimas ou</w:t>
      </w:r>
      <w:r w:rsidR="007A225C">
        <w:rPr>
          <w:rFonts w:ascii="Arial" w:eastAsia="Calibri" w:hAnsi="Arial" w:cs="Arial"/>
        </w:rPr>
        <w:t>,</w:t>
      </w:r>
      <w:r w:rsidRPr="000C2B9C">
        <w:rPr>
          <w:rFonts w:ascii="Arial" w:eastAsia="Calibri" w:hAnsi="Arial" w:cs="Arial"/>
        </w:rPr>
        <w:t xml:space="preserve"> ainda que menos comum</w:t>
      </w:r>
      <w:r w:rsidR="007A225C">
        <w:rPr>
          <w:rFonts w:ascii="Arial" w:eastAsia="Calibri" w:hAnsi="Arial" w:cs="Arial"/>
        </w:rPr>
        <w:t>,</w:t>
      </w:r>
      <w:r w:rsidRPr="000C2B9C">
        <w:rPr>
          <w:rFonts w:ascii="Arial" w:eastAsia="Calibri" w:hAnsi="Arial" w:cs="Arial"/>
        </w:rPr>
        <w:t xml:space="preserve"> de quotas de sociedades de responsabilidade limitada. Refira-se que quanto à avaliação da garantia ações existe uma diferença entre sociedades cotadas e sociedades não cotadas em bolsa, no entanto o tema da avaliação das garantias será abordado posteriormente em capítulo autónomo.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Jorge Lopes de Sousa refere, a propósito do nº4 do artigo 199º do CPPT, que</w:t>
      </w:r>
    </w:p>
    <w:p w:rsidR="000C2B9C" w:rsidRPr="000C2B9C" w:rsidRDefault="000C2B9C" w:rsidP="007A225C">
      <w:pPr>
        <w:spacing w:before="120" w:after="120" w:line="360" w:lineRule="auto"/>
        <w:ind w:left="567" w:right="567"/>
        <w:jc w:val="both"/>
        <w:rPr>
          <w:rFonts w:ascii="Arial" w:eastAsia="Calibri" w:hAnsi="Arial" w:cs="Arial"/>
          <w:i/>
          <w:sz w:val="20"/>
          <w:szCs w:val="20"/>
        </w:rPr>
      </w:pPr>
      <w:r w:rsidRPr="000C2B9C">
        <w:rPr>
          <w:rFonts w:ascii="Arial" w:eastAsia="Calibri" w:hAnsi="Arial" w:cs="Arial"/>
          <w:i/>
          <w:sz w:val="20"/>
          <w:szCs w:val="20"/>
        </w:rPr>
        <w:t>«...pois não se vê qualquer razão por que a penhora de bens suficientes para garantir o pagamento da dívida haveria de deixar de servir de garantia, quando satisfaz plenamente os fins que esta tem de assegurar o pagamento da dívida exequenda e acrescido»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Entenda-se esta crítica em nossa opinião acertada, uma vez que aquela norma vem assegurar uma medida que é perfeitamente lógica, pois se o credor já tem uma garantia constituída na sua posse e simultaneamente</w:t>
      </w:r>
      <w:r w:rsidR="00B711B3">
        <w:rPr>
          <w:rFonts w:ascii="Arial" w:eastAsia="Calibri" w:hAnsi="Arial" w:cs="Arial"/>
        </w:rPr>
        <w:t>,</w:t>
      </w:r>
      <w:r w:rsidRPr="000C2B9C">
        <w:rPr>
          <w:rFonts w:ascii="Arial" w:eastAsia="Calibri" w:hAnsi="Arial" w:cs="Arial"/>
        </w:rPr>
        <w:t xml:space="preserve"> se </w:t>
      </w:r>
      <w:r w:rsidR="00B711B3">
        <w:rPr>
          <w:rFonts w:ascii="Arial" w:eastAsia="Calibri" w:hAnsi="Arial" w:cs="Arial"/>
        </w:rPr>
        <w:t>fixa</w:t>
      </w:r>
      <w:r w:rsidRPr="000C2B9C">
        <w:rPr>
          <w:rFonts w:ascii="Arial" w:eastAsia="Calibri" w:hAnsi="Arial" w:cs="Arial"/>
        </w:rPr>
        <w:t xml:space="preserve"> </w:t>
      </w:r>
      <w:r w:rsidR="00B711B3">
        <w:rPr>
          <w:rFonts w:ascii="Arial" w:eastAsia="Calibri" w:hAnsi="Arial" w:cs="Arial"/>
        </w:rPr>
        <w:t>no</w:t>
      </w:r>
      <w:r w:rsidRPr="000C2B9C">
        <w:rPr>
          <w:rFonts w:ascii="Arial" w:eastAsia="Calibri" w:hAnsi="Arial" w:cs="Arial"/>
        </w:rPr>
        <w:t xml:space="preserve"> nº</w:t>
      </w:r>
      <w:r w:rsidR="00B711B3">
        <w:rPr>
          <w:rFonts w:ascii="Arial" w:eastAsia="Calibri" w:hAnsi="Arial" w:cs="Arial"/>
        </w:rPr>
        <w:t xml:space="preserve"> </w:t>
      </w:r>
      <w:r w:rsidRPr="000C2B9C">
        <w:rPr>
          <w:rFonts w:ascii="Arial" w:eastAsia="Calibri" w:hAnsi="Arial" w:cs="Arial"/>
        </w:rPr>
        <w:t>1 do artigo 199º do CPPT, onde se estabelece que, caso não tenha sido constituída garantia</w:t>
      </w:r>
      <w:r w:rsidR="00B711B3">
        <w:rPr>
          <w:rFonts w:ascii="Arial" w:eastAsia="Calibri" w:hAnsi="Arial" w:cs="Arial"/>
        </w:rPr>
        <w:t>,</w:t>
      </w:r>
      <w:r w:rsidRPr="000C2B9C">
        <w:rPr>
          <w:rFonts w:ascii="Arial" w:eastAsia="Calibri" w:hAnsi="Arial" w:cs="Arial"/>
        </w:rPr>
        <w:t xml:space="preserve"> assim se deverá proceder, ora a penhora efetuada é uma constituição de garantia</w:t>
      </w:r>
      <w:r w:rsidR="00B711B3">
        <w:rPr>
          <w:rFonts w:ascii="Arial" w:eastAsia="Calibri" w:hAnsi="Arial" w:cs="Arial"/>
        </w:rPr>
        <w:t xml:space="preserve">, que mais não consubstancia do que a de </w:t>
      </w:r>
      <w:r w:rsidR="00BA6897">
        <w:rPr>
          <w:rFonts w:ascii="Arial" w:eastAsia="Calibri" w:hAnsi="Arial" w:cs="Arial"/>
        </w:rPr>
        <w:t xml:space="preserve">que </w:t>
      </w:r>
      <w:r w:rsidR="00B711B3">
        <w:rPr>
          <w:rFonts w:ascii="Arial" w:eastAsia="Calibri" w:hAnsi="Arial" w:cs="Arial"/>
        </w:rPr>
        <w:t>uma garantia idónea</w:t>
      </w:r>
      <w:r w:rsidR="00BA6897">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independentemente da conclusão logica, refira-se que a penhora de bens quando suficiente nos termos do nº</w:t>
      </w:r>
      <w:r w:rsidR="00F74F7E">
        <w:rPr>
          <w:rFonts w:ascii="Arial" w:eastAsia="Calibri" w:hAnsi="Arial" w:cs="Arial"/>
        </w:rPr>
        <w:t xml:space="preserve"> </w:t>
      </w:r>
      <w:r w:rsidRPr="000C2B9C">
        <w:rPr>
          <w:rFonts w:ascii="Arial" w:eastAsia="Calibri" w:hAnsi="Arial" w:cs="Arial"/>
        </w:rPr>
        <w:t>4 conjugado com o nº</w:t>
      </w:r>
      <w:r w:rsidR="00F74F7E">
        <w:rPr>
          <w:rFonts w:ascii="Arial" w:eastAsia="Calibri" w:hAnsi="Arial" w:cs="Arial"/>
        </w:rPr>
        <w:t xml:space="preserve"> </w:t>
      </w:r>
      <w:r w:rsidRPr="000C2B9C">
        <w:rPr>
          <w:rFonts w:ascii="Arial" w:eastAsia="Calibri" w:hAnsi="Arial" w:cs="Arial"/>
        </w:rPr>
        <w:t>1, ambos do artigo 199º do CPPT, pode ser utilizada para garantia</w:t>
      </w:r>
      <w:r w:rsidR="00F74F7E">
        <w:rPr>
          <w:rFonts w:ascii="Arial" w:eastAsia="Calibri" w:hAnsi="Arial" w:cs="Arial"/>
        </w:rPr>
        <w:t xml:space="preserve"> da dívida exequenda e acrescido</w:t>
      </w:r>
      <w:r w:rsidRPr="000C2B9C">
        <w:rPr>
          <w:rFonts w:ascii="Arial" w:eastAsia="Calibri" w:hAnsi="Arial" w:cs="Arial"/>
        </w:rPr>
        <w:t xml:space="preserve"> e suspensão da execução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nº 6 do artigo 199º do CPPT, indica a fórmula de cálculo da garantia a prestar,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 garantia é prestada pelo valor da dívida exequenda, juros de mora contados até ao termo do prazo de pagamento voluntário ou à data do pedido, quando posterior, com o </w:t>
      </w:r>
      <w:r w:rsidRPr="000C2B9C">
        <w:rPr>
          <w:rFonts w:ascii="Arial" w:eastAsia="Calibri" w:hAnsi="Arial" w:cs="Arial"/>
          <w:i/>
        </w:rPr>
        <w:lastRenderedPageBreak/>
        <w:t xml:space="preserve">limite de cinco anos, e custas na totalidade, acrescida de 25% da soma daqueles valores, sem prejuízo do disposto no n.º 13 do artigo 169.º"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norma</w:t>
      </w:r>
      <w:r w:rsidR="00891E4C">
        <w:rPr>
          <w:rFonts w:ascii="Arial" w:eastAsia="Calibri" w:hAnsi="Arial" w:cs="Arial"/>
        </w:rPr>
        <w:t>,</w:t>
      </w:r>
      <w:r w:rsidRPr="000C2B9C">
        <w:rPr>
          <w:rFonts w:ascii="Arial" w:eastAsia="Calibri" w:hAnsi="Arial" w:cs="Arial"/>
        </w:rPr>
        <w:t xml:space="preserve"> e a fórmula o cálculo é simples e pacífica</w:t>
      </w:r>
      <w:r w:rsidR="00891E4C">
        <w:rPr>
          <w:rFonts w:ascii="Arial" w:eastAsia="Calibri" w:hAnsi="Arial" w:cs="Arial"/>
        </w:rPr>
        <w:t>,</w:t>
      </w:r>
      <w:r w:rsidRPr="000C2B9C">
        <w:rPr>
          <w:rFonts w:ascii="Arial" w:eastAsia="Calibri" w:hAnsi="Arial" w:cs="Arial"/>
        </w:rPr>
        <w:t xml:space="preserve"> desde que não ultrapasse os cinco anos. Ao valor da dívida exequenda acrescem os juros de mora</w:t>
      </w:r>
      <w:r w:rsidRPr="000C2B9C">
        <w:rPr>
          <w:rFonts w:ascii="Arial" w:eastAsia="Calibri" w:hAnsi="Arial" w:cs="Arial"/>
          <w:vertAlign w:val="superscript"/>
        </w:rPr>
        <w:footnoteReference w:id="19"/>
      </w:r>
      <w:r w:rsidRPr="000C2B9C">
        <w:rPr>
          <w:rFonts w:ascii="Arial" w:eastAsia="Calibri" w:hAnsi="Arial" w:cs="Arial"/>
          <w:vertAlign w:val="superscript"/>
        </w:rPr>
        <w:footnoteReference w:id="20"/>
      </w:r>
      <w:r w:rsidRPr="000C2B9C">
        <w:rPr>
          <w:rFonts w:ascii="Arial" w:eastAsia="Calibri" w:hAnsi="Arial" w:cs="Arial"/>
        </w:rPr>
        <w:t>e as custas do processo de execução fiscal</w:t>
      </w:r>
      <w:r w:rsidRPr="000C2B9C">
        <w:rPr>
          <w:rFonts w:ascii="Arial" w:eastAsia="Calibri" w:hAnsi="Arial" w:cs="Arial"/>
          <w:vertAlign w:val="superscript"/>
        </w:rPr>
        <w:footnoteReference w:id="21"/>
      </w:r>
      <w:r w:rsidR="00891E4C">
        <w:rPr>
          <w:rFonts w:ascii="Arial" w:eastAsia="Calibri" w:hAnsi="Arial" w:cs="Arial"/>
        </w:rPr>
        <w:t xml:space="preserve"> e</w:t>
      </w:r>
      <w:r w:rsidRPr="000C2B9C">
        <w:rPr>
          <w:rFonts w:ascii="Arial" w:eastAsia="Calibri" w:hAnsi="Arial" w:cs="Arial"/>
        </w:rPr>
        <w:t xml:space="preserve"> à soma </w:t>
      </w:r>
      <w:r w:rsidR="00891E4C">
        <w:rPr>
          <w:rFonts w:ascii="Arial" w:eastAsia="Calibri" w:hAnsi="Arial" w:cs="Arial"/>
        </w:rPr>
        <w:t>de todos estes</w:t>
      </w:r>
      <w:r w:rsidRPr="000C2B9C">
        <w:rPr>
          <w:rFonts w:ascii="Arial" w:eastAsia="Calibri" w:hAnsi="Arial" w:cs="Arial"/>
        </w:rPr>
        <w:t xml:space="preserve"> valores acresce</w:t>
      </w:r>
      <w:r w:rsidR="00891E4C">
        <w:rPr>
          <w:rFonts w:ascii="Arial" w:eastAsia="Calibri" w:hAnsi="Arial" w:cs="Arial"/>
        </w:rPr>
        <w:t xml:space="preserve"> mais</w:t>
      </w:r>
      <w:r w:rsidRPr="000C2B9C">
        <w:rPr>
          <w:rFonts w:ascii="Arial" w:eastAsia="Calibri" w:hAnsi="Arial" w:cs="Arial"/>
        </w:rPr>
        <w:t xml:space="preserve"> vinte e cinco por cento, que serve fundamentalmente para cobrir o acréscimo de juros demora durante o tempo em que o processo administrativo ou judicial decorre.</w:t>
      </w:r>
      <w:r w:rsidR="00891E4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Quando regressarmos à análise </w:t>
      </w:r>
      <w:r w:rsidR="00891E4C" w:rsidRPr="00891E4C">
        <w:rPr>
          <w:rFonts w:ascii="Arial" w:eastAsia="Calibri" w:hAnsi="Arial" w:cs="Arial"/>
        </w:rPr>
        <w:t xml:space="preserve">da forma </w:t>
      </w:r>
      <w:r w:rsidRPr="000C2B9C">
        <w:rPr>
          <w:rFonts w:ascii="Arial" w:eastAsia="Calibri" w:hAnsi="Arial" w:cs="Arial"/>
        </w:rPr>
        <w:t xml:space="preserve">legal de avaliação das garantias e seu reforço, iremos fazer uma crítica a esta norma e propor algo de mais concreto.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disposto no nº 8 do artigo 199º do CPPT, prevê que a suspensão a que se refere o artigo 169º não seja efetiva, sempre que os prazos para a constituição de garantia idónea (e acrescente-se suficiente), não sejam cumpridos, ou que não seja concedida a dispensa de garantia nos termos do artigo 170º do CPPT.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9 do artigo 199º do CPPT indica quem é a entidade competente para avaliação da garantia. Esta norma remete para o artigo 197º que na presente data determina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A competência para autorização de pagamento em prestações é do órgão da execução fiscal.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2 - Quando o valor da dívida exequenda for superior a 500 unidades de conta, essa competência é do órgão periférico regional, que poderá proceder à sua delegação em funcionário qualificado."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entanto, importa aqui assinalar que esta norma</w:t>
      </w:r>
      <w:r w:rsidR="00742F39">
        <w:rPr>
          <w:rFonts w:ascii="Arial" w:eastAsia="Calibri" w:hAnsi="Arial" w:cs="Arial"/>
        </w:rPr>
        <w:t>, constante d</w:t>
      </w:r>
      <w:r w:rsidR="00742F39" w:rsidRPr="00742F39">
        <w:rPr>
          <w:rFonts w:ascii="Arial" w:eastAsia="Calibri" w:hAnsi="Arial" w:cs="Arial"/>
        </w:rPr>
        <w:t>o nº</w:t>
      </w:r>
      <w:r w:rsidR="00742F39">
        <w:rPr>
          <w:rFonts w:ascii="Arial" w:eastAsia="Calibri" w:hAnsi="Arial" w:cs="Arial"/>
        </w:rPr>
        <w:t xml:space="preserve"> </w:t>
      </w:r>
      <w:r w:rsidR="00742F39" w:rsidRPr="00742F39">
        <w:rPr>
          <w:rFonts w:ascii="Arial" w:eastAsia="Calibri" w:hAnsi="Arial" w:cs="Arial"/>
        </w:rPr>
        <w:t>2, do artigo 197º do CPPT</w:t>
      </w:r>
      <w:r w:rsidR="00742F39">
        <w:rPr>
          <w:rFonts w:ascii="Arial" w:eastAsia="Calibri" w:hAnsi="Arial" w:cs="Arial"/>
        </w:rPr>
        <w:t>,</w:t>
      </w:r>
      <w:r w:rsidRPr="000C2B9C">
        <w:rPr>
          <w:rFonts w:ascii="Arial" w:eastAsia="Calibri" w:hAnsi="Arial" w:cs="Arial"/>
        </w:rPr>
        <w:t xml:space="preserve"> foi alterada no decurso da eleboração do presente trabalho, pela Lei 100/2017, de 28 de Agosto</w:t>
      </w:r>
      <w:r w:rsidRPr="000C2B9C">
        <w:rPr>
          <w:rFonts w:ascii="Arial" w:eastAsia="Calibri" w:hAnsi="Arial" w:cs="Arial"/>
          <w:vertAlign w:val="superscript"/>
        </w:rPr>
        <w:footnoteReference w:id="22"/>
      </w:r>
      <w:r w:rsidRPr="000C2B9C">
        <w:rPr>
          <w:rFonts w:ascii="Arial" w:eastAsia="Calibri" w:hAnsi="Arial" w:cs="Arial"/>
        </w:rPr>
        <w:t xml:space="preserve"> e que vem revogar</w:t>
      </w:r>
      <w:r w:rsidR="00891E4C">
        <w:rPr>
          <w:rFonts w:ascii="Arial" w:eastAsia="Calibri" w:hAnsi="Arial" w:cs="Arial"/>
        </w:rPr>
        <w:t>, cujos normativos do artigo</w:t>
      </w:r>
      <w:r w:rsidR="00742F39">
        <w:rPr>
          <w:rFonts w:ascii="Arial" w:eastAsia="Calibri" w:hAnsi="Arial" w:cs="Arial"/>
        </w:rPr>
        <w:t xml:space="preserve"> 7º a revogaram com efeitos </w:t>
      </w:r>
      <w:r w:rsidR="00742F39" w:rsidRPr="00742F39">
        <w:rPr>
          <w:rFonts w:ascii="Arial" w:eastAsia="Calibri" w:hAnsi="Arial" w:cs="Arial"/>
        </w:rPr>
        <w:t>a partir de 1 de Janeiro do 2018</w:t>
      </w:r>
      <w:r w:rsidR="00742F39">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Assim, até ao final do ano de 2017, a competência para autorização é do órgão de execução fiscal (leia-se chefe do Serviço de Finanças, ou órgão periférico local), até às </w:t>
      </w:r>
      <w:r w:rsidRPr="000C2B9C">
        <w:rPr>
          <w:rFonts w:ascii="Arial" w:eastAsia="Calibri" w:hAnsi="Arial" w:cs="Arial"/>
        </w:rPr>
        <w:lastRenderedPageBreak/>
        <w:t>500 unidades de conta</w:t>
      </w:r>
      <w:r w:rsidRPr="000C2B9C">
        <w:rPr>
          <w:rFonts w:ascii="Arial" w:eastAsia="Calibri" w:hAnsi="Arial" w:cs="Arial"/>
          <w:vertAlign w:val="superscript"/>
        </w:rPr>
        <w:footnoteReference w:id="23"/>
      </w:r>
      <w:r w:rsidRPr="000C2B9C">
        <w:rPr>
          <w:rFonts w:ascii="Arial" w:eastAsia="Calibri" w:hAnsi="Arial" w:cs="Arial"/>
        </w:rPr>
        <w:t xml:space="preserve">, a partir deste valor a competência é do órgão periférico regional (leia-se Direção de Finanças, na figura do Diretor de Finanças).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Antecipamos com esta alteração uma simplificação da decisão quanto à autorização nos pagamentos em prestações, superiores às 500 unidades de conta e também à consequente apreciação de garantia.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Por fim, apenas referir que o nº12 do artigo 199º do CPPT, aditado pela Lei n.º 64-B/2011, de 30 de Dezembro, prevê desde 2012, de que as garantias bancárias, cauções e seguros-caução sejam constituídas por via eletrónica nos termos a definir por portaria do Ministro das Finanças, que até esta data ainda não foi publicada.</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E06B9F">
      <w:pPr>
        <w:pStyle w:val="Ttulo3"/>
        <w:rPr>
          <w:rFonts w:eastAsia="Calibri" w:cs="Arial"/>
          <w:b/>
          <w:sz w:val="26"/>
          <w:szCs w:val="26"/>
        </w:rPr>
      </w:pPr>
      <w:bookmarkStart w:id="30" w:name="_Toc500109622"/>
      <w:r w:rsidRPr="00AA35F4">
        <w:rPr>
          <w:rFonts w:eastAsia="Calibri" w:cs="Arial"/>
          <w:sz w:val="26"/>
          <w:szCs w:val="26"/>
        </w:rPr>
        <w:t>3.</w:t>
      </w:r>
      <w:r w:rsidR="00AA35F4">
        <w:rPr>
          <w:rFonts w:eastAsia="Calibri" w:cs="Arial"/>
          <w:sz w:val="26"/>
          <w:szCs w:val="26"/>
        </w:rPr>
        <w:t>1.</w:t>
      </w:r>
      <w:r w:rsidRPr="00AA35F4">
        <w:rPr>
          <w:rFonts w:eastAsia="Calibri" w:cs="Arial"/>
          <w:sz w:val="26"/>
          <w:szCs w:val="26"/>
        </w:rPr>
        <w:t>2.2</w:t>
      </w:r>
      <w:r w:rsidR="00AA35F4">
        <w:rPr>
          <w:rFonts w:eastAsia="Calibri" w:cs="Arial"/>
          <w:sz w:val="26"/>
          <w:szCs w:val="26"/>
        </w:rPr>
        <w:t xml:space="preserve"> </w:t>
      </w:r>
      <w:r w:rsidRPr="005E075A">
        <w:rPr>
          <w:rStyle w:val="Ttulo3Char"/>
        </w:rPr>
        <w:t>Constituição de hipoteca legal ou penhor</w:t>
      </w:r>
      <w:bookmarkEnd w:id="30"/>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Uma referência breve, mas importante prende-se com a garantia especial prevista no artigo 195º do CPPT, que no seu número 1 refere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Quando o interesse da eficácia da cobrança o torne recomendável, o órgão da execução fiscal pode constituir hipoteca legal ou penhor."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garantia especial da iniciativa do órgão de execução fiscal, vem permitir em determinadas circunstâncias que este, possa tomar uma medida que vise alcançar o resultado pretendido, que não é mais do que obter uma garantia, quando o risco de não cobrança é considerado elevado.</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E06B9F">
      <w:pPr>
        <w:pStyle w:val="Ttulo3"/>
        <w:rPr>
          <w:rFonts w:eastAsia="Calibri" w:cs="Arial"/>
          <w:b/>
          <w:sz w:val="26"/>
          <w:szCs w:val="26"/>
        </w:rPr>
      </w:pPr>
      <w:bookmarkStart w:id="31" w:name="_Hlk493440046"/>
      <w:bookmarkStart w:id="32" w:name="_Toc500109623"/>
      <w:r w:rsidRPr="00AA35F4">
        <w:rPr>
          <w:rFonts w:eastAsia="Calibri" w:cs="Arial"/>
          <w:sz w:val="26"/>
          <w:szCs w:val="26"/>
        </w:rPr>
        <w:t>3.2.</w:t>
      </w:r>
      <w:r w:rsidR="00E06B9F">
        <w:rPr>
          <w:rFonts w:eastAsia="Calibri" w:cs="Arial"/>
          <w:sz w:val="26"/>
          <w:szCs w:val="26"/>
        </w:rPr>
        <w:t>1.</w:t>
      </w:r>
      <w:r w:rsidRPr="00AA35F4">
        <w:rPr>
          <w:rFonts w:eastAsia="Calibri" w:cs="Arial"/>
          <w:sz w:val="26"/>
          <w:szCs w:val="26"/>
        </w:rPr>
        <w:t>3</w:t>
      </w:r>
      <w:r w:rsidR="00AA35F4">
        <w:rPr>
          <w:rFonts w:eastAsia="Calibri" w:cs="Arial"/>
          <w:sz w:val="26"/>
          <w:szCs w:val="26"/>
        </w:rPr>
        <w:t xml:space="preserve"> </w:t>
      </w:r>
      <w:r w:rsidRPr="005E075A">
        <w:rPr>
          <w:rStyle w:val="Ttulo3Char"/>
        </w:rPr>
        <w:t>A suspensão</w:t>
      </w:r>
      <w:bookmarkEnd w:id="32"/>
    </w:p>
    <w:bookmarkEnd w:id="31"/>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Verificadas as condições de contencioso a apresentar pelo devedor, bem como a garantia prestada, nos termos do nº 1 do artigo 169º do CPPT, vamos analisar os números seguintes do artigo 169º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2 do artigo 169º, estabelece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execução fica igualmente suspensa, desde que, após o termo do prazo de pagamento voluntário, seja prestada garantia antes da apresentação do meio gracioso ou judicial correspondente, acompanhada de requerimento em que conste a natureza da dívida, o período a que respeita e a entidade que praticou o acto, bem como a indicação da intenção de apresentar meio gracioso ou judicial para discussão da legalidade ou da exigibilidade da dívida exequenda."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Através deste normativo o legislador quis inegavelmente, dar ao devedor a possibilidade de suspender a execução, evitando os atos coercivos daí decorrentes e que podem ser extremamente lesivos para o devedor. No entanto</w:t>
      </w:r>
      <w:r w:rsidR="006E1196">
        <w:rPr>
          <w:rFonts w:ascii="Arial" w:eastAsia="Calibri" w:hAnsi="Arial" w:cs="Arial"/>
        </w:rPr>
        <w:t>,</w:t>
      </w:r>
      <w:r w:rsidRPr="000C2B9C">
        <w:rPr>
          <w:rFonts w:ascii="Arial" w:eastAsia="Calibri" w:hAnsi="Arial" w:cs="Arial"/>
        </w:rPr>
        <w:t xml:space="preserve"> existe um equilíbrio nesta norma, uma vez que o credor tributário, não fica lesado, porquanto fica na posse de uma garantia, que em caso, quer da apresentação de contencioso, quer em caso de um recuo por parte do devedor (entenda-se recuo, no sentido de desistir de apresentar o meio de contencioso a que se propôs – número 3 do artigo 169º do CPPT), pode acioná-la e assim ser ressarcido do crédito. Isto permite também considerar que estamos perante uma norma que permite a moratória</w:t>
      </w:r>
      <w:r w:rsidRPr="000C2B9C">
        <w:rPr>
          <w:rFonts w:ascii="Arial" w:eastAsia="Calibri" w:hAnsi="Arial" w:cs="Arial"/>
          <w:vertAlign w:val="superscript"/>
        </w:rPr>
        <w:footnoteReference w:id="24"/>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suspensão também é possível nos termos do número 5 do artigo 169º do CPPT, quando estamos perante a pendência de uma decisão que tenha por base a compensação por iniciativa do contribuinte de créditos tributários e não tributários, conforme previsto nos artigos 90º e 90º-A do CPPT, respectivamente.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i/>
        </w:rPr>
        <w:t xml:space="preserve"> </w:t>
      </w:r>
      <w:r w:rsidRPr="000C2B9C">
        <w:rPr>
          <w:rFonts w:ascii="Arial" w:eastAsia="Calibri" w:hAnsi="Arial" w:cs="Arial"/>
        </w:rPr>
        <w:t xml:space="preserve">De salientar que a garantia só é considerada constituída </w:t>
      </w:r>
      <w:r w:rsidR="006E1196">
        <w:rPr>
          <w:rFonts w:ascii="Arial" w:eastAsia="Calibri" w:hAnsi="Arial" w:cs="Arial"/>
        </w:rPr>
        <w:t>a</w:t>
      </w:r>
      <w:r w:rsidRPr="000C2B9C">
        <w:rPr>
          <w:rFonts w:ascii="Arial" w:eastAsia="Calibri" w:hAnsi="Arial" w:cs="Arial"/>
        </w:rPr>
        <w:t>quando da sua efetiva prestação, conforme o preceituado no nº 6 do artigo 169º do CPPT e que, caso o contribuinte seja notificado para prestar garantia no prazo de 15 dias, e não o faça, deverá ser levantada a suspensão do processo de execução fiscal, assim conforme previsto no nº 7 do mesmo artigo.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constituição ou prestação de garantia aludida no nº 8 do artigo 169º do CPPT, serão retratadas nos subcapítulos seguintes.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nº 10 do artigo 169º do CPPT equipara a oposição aos </w:t>
      </w:r>
      <w:r w:rsidR="006E1196">
        <w:rPr>
          <w:rFonts w:ascii="Arial" w:eastAsia="Calibri" w:hAnsi="Arial" w:cs="Arial"/>
        </w:rPr>
        <w:t>processos ou ações</w:t>
      </w:r>
      <w:r w:rsidRPr="000C2B9C">
        <w:rPr>
          <w:rFonts w:ascii="Arial" w:eastAsia="Calibri" w:hAnsi="Arial" w:cs="Arial"/>
        </w:rPr>
        <w:t xml:space="preserve"> referidos no nº 1 e </w:t>
      </w:r>
      <w:r w:rsidR="006E1196">
        <w:rPr>
          <w:rFonts w:ascii="Arial" w:eastAsia="Calibri" w:hAnsi="Arial" w:cs="Arial"/>
        </w:rPr>
        <w:t xml:space="preserve">determina que sejam seguidas </w:t>
      </w:r>
      <w:r w:rsidRPr="000C2B9C">
        <w:rPr>
          <w:rFonts w:ascii="Arial" w:eastAsia="Calibri" w:hAnsi="Arial" w:cs="Arial"/>
        </w:rPr>
        <w:t>as regras do nº</w:t>
      </w:r>
      <w:r w:rsidR="006E1196">
        <w:rPr>
          <w:rFonts w:ascii="Arial" w:eastAsia="Calibri" w:hAnsi="Arial" w:cs="Arial"/>
        </w:rPr>
        <w:t xml:space="preserve"> </w:t>
      </w:r>
      <w:r w:rsidRPr="000C2B9C">
        <w:rPr>
          <w:rFonts w:ascii="Arial" w:eastAsia="Calibri" w:hAnsi="Arial" w:cs="Arial"/>
        </w:rPr>
        <w:t>1 ao nº</w:t>
      </w:r>
      <w:r w:rsidR="006E1196">
        <w:rPr>
          <w:rFonts w:ascii="Arial" w:eastAsia="Calibri" w:hAnsi="Arial" w:cs="Arial"/>
        </w:rPr>
        <w:t xml:space="preserve"> </w:t>
      </w:r>
      <w:r w:rsidRPr="000C2B9C">
        <w:rPr>
          <w:rFonts w:ascii="Arial" w:eastAsia="Calibri" w:hAnsi="Arial" w:cs="Arial"/>
        </w:rPr>
        <w:t xml:space="preserve">7 deste artigo.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artigo </w:t>
      </w:r>
      <w:r w:rsidR="006E1196">
        <w:rPr>
          <w:rFonts w:ascii="Arial" w:eastAsia="Calibri" w:hAnsi="Arial" w:cs="Arial"/>
        </w:rPr>
        <w:t xml:space="preserve">169º </w:t>
      </w:r>
      <w:r w:rsidRPr="000C2B9C">
        <w:rPr>
          <w:rFonts w:ascii="Arial" w:eastAsia="Calibri" w:hAnsi="Arial" w:cs="Arial"/>
        </w:rPr>
        <w:t>no seu nº 11 refere que estas normas não se aplicam às dívidas de recursos próprios comunitários e a este respeito refere Jorge Lopes de Sousa, refere que,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i/>
        </w:rPr>
        <w:t>«De harmonia com o preceituado no n.º 6 deste artigo. 169.º</w:t>
      </w:r>
      <w:r w:rsidRPr="000C2B9C">
        <w:rPr>
          <w:rFonts w:ascii="Arial" w:eastAsia="Calibri" w:hAnsi="Arial" w:cs="Arial"/>
          <w:i/>
          <w:vertAlign w:val="superscript"/>
        </w:rPr>
        <w:footnoteReference w:id="25"/>
      </w:r>
      <w:r w:rsidRPr="000C2B9C">
        <w:rPr>
          <w:rFonts w:ascii="Arial" w:eastAsia="Calibri" w:hAnsi="Arial" w:cs="Arial"/>
          <w:i/>
        </w:rPr>
        <w:t xml:space="preserve">, o regime de suspensão da execução previsto neste artigo, e consequentemente, o previsto no artigo. 52.º da L.G.T, implementa, não se aplica às dívidas de recursos próprios comunitários. Entre os recursos próprios comunitários susceptíveis de cobrança através de processos de execução fiscal incluem-se os direitos aduaneiros e os direitos cobrados no âmbito da política agrícola comum, como os direitos agrícolas e outros direitos sobre as trocas comerciais com países não membros nesse âmbito bem como das quotizações e outros </w:t>
      </w:r>
      <w:r w:rsidRPr="000C2B9C">
        <w:rPr>
          <w:rFonts w:ascii="Arial" w:eastAsia="Calibri" w:hAnsi="Arial" w:cs="Arial"/>
          <w:i/>
        </w:rPr>
        <w:lastRenderedPageBreak/>
        <w:t xml:space="preserve">direitos previstos no âmbito da organização comum dos mercados no domínio do açúcar»   </w:t>
      </w:r>
      <w:r w:rsidRPr="000C2B9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Finalmente e atentos ao nº 12 do artigo 169º do CPPT, temos </w:t>
      </w:r>
      <w:r w:rsidR="000E208F">
        <w:rPr>
          <w:rFonts w:ascii="Arial" w:eastAsia="Calibri" w:hAnsi="Arial" w:cs="Arial"/>
        </w:rPr>
        <w:t>um</w:t>
      </w:r>
      <w:r w:rsidRPr="000C2B9C">
        <w:rPr>
          <w:rFonts w:ascii="Arial" w:eastAsia="Calibri" w:hAnsi="Arial" w:cs="Arial"/>
        </w:rPr>
        <w:t xml:space="preserve"> aspeto de extrema importância</w:t>
      </w:r>
      <w:r w:rsidR="000E208F">
        <w:rPr>
          <w:rFonts w:ascii="Arial" w:eastAsia="Calibri" w:hAnsi="Arial" w:cs="Arial"/>
        </w:rPr>
        <w:t>,</w:t>
      </w:r>
      <w:r w:rsidRPr="000C2B9C">
        <w:rPr>
          <w:rFonts w:ascii="Arial" w:eastAsia="Calibri" w:hAnsi="Arial" w:cs="Arial"/>
        </w:rPr>
        <w:t xml:space="preserve"> para os contribuintes, para além da suspensão da execução fiscal, que se prende com o fato dessa mesma suspensão permitir, o considerar-se que o contribuinte tem a sua situação tributária regularizada. Saliente-se que a extrema importância a que nos referimos, advém de que, com a situação tributária regularizada os contribuintes possam obter uma certidão que atesta essa mesma situação e assim prosseguir a sua atividade económica e profissional de forma normal. Ainda a este prepósito acrescente-se que </w:t>
      </w:r>
      <w:r w:rsidR="000E208F">
        <w:rPr>
          <w:rFonts w:ascii="Arial" w:eastAsia="Calibri" w:hAnsi="Arial" w:cs="Arial"/>
        </w:rPr>
        <w:t xml:space="preserve">para </w:t>
      </w:r>
      <w:r w:rsidRPr="000C2B9C">
        <w:rPr>
          <w:rFonts w:ascii="Arial" w:eastAsia="Calibri" w:hAnsi="Arial" w:cs="Arial"/>
        </w:rPr>
        <w:t xml:space="preserve">as empresas que concorrem regularmente a concursos públicos, </w:t>
      </w:r>
      <w:r w:rsidR="000E208F">
        <w:rPr>
          <w:rFonts w:ascii="Arial" w:eastAsia="Calibri" w:hAnsi="Arial" w:cs="Arial"/>
        </w:rPr>
        <w:t xml:space="preserve">a possibilidade de </w:t>
      </w:r>
      <w:r w:rsidRPr="000C2B9C">
        <w:rPr>
          <w:rFonts w:ascii="Arial" w:eastAsia="Calibri" w:hAnsi="Arial" w:cs="Arial"/>
        </w:rPr>
        <w:t xml:space="preserve">obter uma certidão </w:t>
      </w:r>
      <w:r w:rsidR="000E208F">
        <w:rPr>
          <w:rFonts w:ascii="Arial" w:eastAsia="Calibri" w:hAnsi="Arial" w:cs="Arial"/>
        </w:rPr>
        <w:t>de</w:t>
      </w:r>
      <w:r w:rsidRPr="000C2B9C">
        <w:rPr>
          <w:rFonts w:ascii="Arial" w:eastAsia="Calibri" w:hAnsi="Arial" w:cs="Arial"/>
        </w:rPr>
        <w:t xml:space="preserve"> situação tributária regularizada </w:t>
      </w:r>
      <w:r w:rsidR="000E208F">
        <w:rPr>
          <w:rFonts w:ascii="Arial" w:eastAsia="Calibri" w:hAnsi="Arial" w:cs="Arial"/>
        </w:rPr>
        <w:t>é quase sempre de</w:t>
      </w:r>
      <w:r w:rsidRPr="000C2B9C">
        <w:rPr>
          <w:rFonts w:ascii="Arial" w:eastAsia="Calibri" w:hAnsi="Arial" w:cs="Arial"/>
        </w:rPr>
        <w:t xml:space="preserve"> vital</w:t>
      </w:r>
      <w:r w:rsidR="000E208F">
        <w:rPr>
          <w:rFonts w:ascii="Arial" w:eastAsia="Calibri" w:hAnsi="Arial" w:cs="Arial"/>
        </w:rPr>
        <w:t xml:space="preserve"> importância</w:t>
      </w:r>
      <w:r w:rsidRPr="000C2B9C">
        <w:rPr>
          <w:rFonts w:ascii="Arial" w:eastAsia="Calibri" w:hAnsi="Arial" w:cs="Arial"/>
        </w:rPr>
        <w:t>.</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Não podemos deixar de referir, porque </w:t>
      </w:r>
      <w:r w:rsidR="00FD728B">
        <w:rPr>
          <w:rFonts w:ascii="Arial" w:eastAsia="Calibri" w:hAnsi="Arial" w:cs="Arial"/>
        </w:rPr>
        <w:t xml:space="preserve">é, outrossim, </w:t>
      </w:r>
      <w:r w:rsidRPr="000C2B9C">
        <w:rPr>
          <w:rFonts w:ascii="Arial" w:eastAsia="Calibri" w:hAnsi="Arial" w:cs="Arial"/>
        </w:rPr>
        <w:t>um assunto de extrema importância, e da mais elementar justiça, os artigos 183º-A e 183º-B do CPPT, que obrigam ao conhecimento oficioso da caducidade da garantia nos processo de contencioso administrativo e judicial, respetivamente. No entanto</w:t>
      </w:r>
      <w:r w:rsidR="00FD728B">
        <w:rPr>
          <w:rFonts w:ascii="Arial" w:eastAsia="Calibri" w:hAnsi="Arial" w:cs="Arial"/>
        </w:rPr>
        <w:t>,</w:t>
      </w:r>
      <w:r w:rsidRPr="000C2B9C">
        <w:rPr>
          <w:rFonts w:ascii="Arial" w:eastAsia="Calibri" w:hAnsi="Arial" w:cs="Arial"/>
        </w:rPr>
        <w:t xml:space="preserve"> voltaremos a este assunto no sub capítulo 5.5, deste trabalho.  </w:t>
      </w:r>
    </w:p>
    <w:p w:rsidR="00D81F73" w:rsidRPr="000C2B9C"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b/>
          <w:sz w:val="26"/>
          <w:szCs w:val="26"/>
        </w:rPr>
        <w:t xml:space="preserve"> </w:t>
      </w:r>
    </w:p>
    <w:p w:rsidR="000C2B9C" w:rsidRPr="000C2B9C" w:rsidRDefault="000C2B9C" w:rsidP="005E075A">
      <w:pPr>
        <w:pStyle w:val="Ttulo1"/>
        <w:rPr>
          <w:rFonts w:eastAsia="Calibri"/>
        </w:rPr>
      </w:pPr>
      <w:bookmarkStart w:id="33" w:name="_Toc500109624"/>
      <w:r w:rsidRPr="000C2B9C">
        <w:rPr>
          <w:rFonts w:eastAsia="Calibri"/>
        </w:rPr>
        <w:t>Capitulo 4</w:t>
      </w:r>
      <w:bookmarkEnd w:id="33"/>
    </w:p>
    <w:p w:rsidR="000C2B9C" w:rsidRPr="000C2B9C" w:rsidRDefault="00022A2C" w:rsidP="005E075A">
      <w:pPr>
        <w:pStyle w:val="Ttulo1"/>
        <w:rPr>
          <w:rFonts w:eastAsia="Calibri"/>
        </w:rPr>
      </w:pPr>
      <w:bookmarkStart w:id="34" w:name="_Toc500109625"/>
      <w:r>
        <w:rPr>
          <w:rFonts w:eastAsia="Calibri"/>
        </w:rPr>
        <w:t xml:space="preserve">4.1 </w:t>
      </w:r>
      <w:r w:rsidR="000C2B9C" w:rsidRPr="000C2B9C">
        <w:rPr>
          <w:rFonts w:eastAsia="Calibri"/>
        </w:rPr>
        <w:t>Garantias para pagamentos em prestações</w:t>
      </w:r>
      <w:bookmarkEnd w:id="34"/>
    </w:p>
    <w:p w:rsidR="000C2B9C" w:rsidRPr="000C2B9C" w:rsidRDefault="000C2B9C" w:rsidP="000C2B9C">
      <w:pPr>
        <w:spacing w:before="120" w:after="120" w:line="360" w:lineRule="auto"/>
        <w:jc w:val="both"/>
        <w:rPr>
          <w:rFonts w:ascii="Arial" w:eastAsia="Calibri" w:hAnsi="Arial" w:cs="Arial"/>
        </w:rPr>
      </w:pPr>
    </w:p>
    <w:p w:rsidR="000C2B9C" w:rsidRPr="005E075A" w:rsidRDefault="00022A2C" w:rsidP="005E075A">
      <w:pPr>
        <w:pStyle w:val="Ttulo2"/>
        <w:rPr>
          <w:rFonts w:eastAsia="Calibri"/>
        </w:rPr>
      </w:pPr>
      <w:bookmarkStart w:id="35" w:name="_Toc500109626"/>
      <w:r>
        <w:rPr>
          <w:rFonts w:eastAsia="Calibri"/>
        </w:rPr>
        <w:t xml:space="preserve">4.1.1 </w:t>
      </w:r>
      <w:r w:rsidR="000C2B9C" w:rsidRPr="005E075A">
        <w:rPr>
          <w:rFonts w:eastAsia="Calibri"/>
        </w:rPr>
        <w:t>Os diversos tipos de pagamentos em prestações</w:t>
      </w:r>
      <w:bookmarkEnd w:id="35"/>
    </w:p>
    <w:p w:rsidR="00D81F73" w:rsidRDefault="00D81F73"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tipologia dos pagamentos em prestações em execução fiscal, é dividida neste capítulo em três grupos: Os pagamentos com dispensa de prestação de garantia, nos termos do nº5 do artigo 198º do CPPT, os pagamentos nos termos do nº4 do artigo 196º do CPPT (a que designamos por regime geral, uma vez que é o regime mais antigo e aquele em que a maioria dos devedores se inclui). Esta afirmação e a classificação por nós dada, tende a ser menos correta do ponto de vista estatístico, uma vez que, com os vários novos regimes prestacionais conferidos por lei como o referido anteriormente (nº5 do artigo 198º do CPPT), com a possibilidade de planos mais longos em regimes </w:t>
      </w:r>
      <w:r w:rsidRPr="000C2B9C">
        <w:rPr>
          <w:rFonts w:ascii="Arial" w:eastAsia="Calibri" w:hAnsi="Arial" w:cs="Arial"/>
        </w:rPr>
        <w:lastRenderedPageBreak/>
        <w:t>excecionais como o PERES</w:t>
      </w:r>
      <w:r w:rsidRPr="000C2B9C">
        <w:rPr>
          <w:rFonts w:ascii="Arial" w:eastAsia="Calibri" w:hAnsi="Arial" w:cs="Arial"/>
          <w:vertAlign w:val="superscript"/>
        </w:rPr>
        <w:footnoteReference w:id="26"/>
      </w:r>
      <w:r w:rsidRPr="000C2B9C">
        <w:rPr>
          <w:rFonts w:ascii="Arial" w:eastAsia="Calibri" w:hAnsi="Arial" w:cs="Arial"/>
        </w:rPr>
        <w:t xml:space="preserve"> ou de exceção </w:t>
      </w:r>
      <w:r w:rsidR="00307D48">
        <w:rPr>
          <w:rFonts w:ascii="Arial" w:eastAsia="Calibri" w:hAnsi="Arial" w:cs="Arial"/>
        </w:rPr>
        <w:t xml:space="preserve">nos termos do </w:t>
      </w:r>
      <w:r w:rsidRPr="000C2B9C">
        <w:rPr>
          <w:rFonts w:ascii="Arial" w:eastAsia="Calibri" w:hAnsi="Arial" w:cs="Arial"/>
        </w:rPr>
        <w:t>artigo 178º do Orçamento de Estado para 2016</w:t>
      </w:r>
      <w:r w:rsidRPr="000C2B9C">
        <w:rPr>
          <w:rFonts w:ascii="Arial" w:eastAsia="Calibri" w:hAnsi="Arial" w:cs="Arial"/>
          <w:vertAlign w:val="superscript"/>
        </w:rPr>
        <w:footnoteReference w:id="27"/>
      </w:r>
      <w:r w:rsidRPr="000C2B9C">
        <w:rPr>
          <w:rFonts w:ascii="Arial" w:eastAsia="Calibri" w:hAnsi="Arial" w:cs="Arial"/>
        </w:rPr>
        <w:t>. Por fim abordaremos os planos mais longos previstos no nº</w:t>
      </w:r>
      <w:r w:rsidR="00307D48">
        <w:rPr>
          <w:rFonts w:ascii="Arial" w:eastAsia="Calibri" w:hAnsi="Arial" w:cs="Arial"/>
        </w:rPr>
        <w:t xml:space="preserve"> </w:t>
      </w:r>
      <w:r w:rsidRPr="000C2B9C">
        <w:rPr>
          <w:rFonts w:ascii="Arial" w:eastAsia="Calibri" w:hAnsi="Arial" w:cs="Arial"/>
        </w:rPr>
        <w:t>6 do artigo 196º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autorização de pagamento da dívida tributária em prestações no processo de execução fiscal é permitida pelo nº1 do artigo 42º da LGT</w:t>
      </w:r>
      <w:r w:rsidR="00307D48">
        <w:rPr>
          <w:rFonts w:ascii="Arial" w:eastAsia="Calibri" w:hAnsi="Arial" w:cs="Arial"/>
        </w:rPr>
        <w:t>,</w:t>
      </w:r>
      <w:r w:rsidRPr="000C2B9C">
        <w:rPr>
          <w:rFonts w:ascii="Arial" w:eastAsia="Calibri" w:hAnsi="Arial" w:cs="Arial"/>
        </w:rPr>
        <w:t xml:space="preserve"> e é uma das exceções legalmente concedidas à indisponibilidade do crédito tributário, aludid</w:t>
      </w:r>
      <w:r w:rsidR="00307D48">
        <w:rPr>
          <w:rFonts w:ascii="Arial" w:eastAsia="Calibri" w:hAnsi="Arial" w:cs="Arial"/>
        </w:rPr>
        <w:t>a</w:t>
      </w:r>
      <w:r w:rsidRPr="000C2B9C">
        <w:rPr>
          <w:rFonts w:ascii="Arial" w:eastAsia="Calibri" w:hAnsi="Arial" w:cs="Arial"/>
        </w:rPr>
        <w:t xml:space="preserve"> no nº</w:t>
      </w:r>
      <w:r w:rsidR="00307D48">
        <w:rPr>
          <w:rFonts w:ascii="Arial" w:eastAsia="Calibri" w:hAnsi="Arial" w:cs="Arial"/>
        </w:rPr>
        <w:t xml:space="preserve"> </w:t>
      </w:r>
      <w:r w:rsidRPr="000C2B9C">
        <w:rPr>
          <w:rFonts w:ascii="Arial" w:eastAsia="Calibri" w:hAnsi="Arial" w:cs="Arial"/>
        </w:rPr>
        <w:t xml:space="preserve">2 do artigo 30º da LGT. Atente-se à nota de Martins e Costa, que remete para o sumário do acórdão do TCA Sul, no processo 07557/14, datado de 30.04.2014: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«Findo o prazo de pagamento voluntário, o contribuinte, pode requerer, nos termos das leis tributárias, o pagamento da dívida em prestações* -artigo 42.º da LGT.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*Nota 201 dos autores – A propósito deste tipo de pagamento da dívida exequenda veja-se o acórdão do TCA Sul, tirado no processo 07557/14, datado de 30.04.2014, que refere que 1. O processo de execução fiscal tem como objectivo primacial a cobrança dos créditos tributários, de qualquer natureza, estando estruturado em termos mais simples do que o processo de execução comum, com o intuito de conseguir uma maior celeridade na cobrança dos créditos, recomendada pelas finalidades de interesse público das receitas que através dele são cobradas. A este título, deve levar-se em consideração, desde logo, o princípio da indisponibilidade dos créditos tributários, enunciado no artº.30, nº.2, da L. G.Tributária.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É o artº.42, nº.1, da L.G.T., que prevê a possibilidade do contribuinte requerer o pagamento da dívida tributária em prestações, caso não a possa cumprir integralmente e de uma só vez. No artº.86, do CPPT, prevê-se a possibilidade de o pagamento em prestações ser requerido antes da instauração da execução fiscal. Por sua vez, no artº.196 e seguintes do CPPT, estabelece-se o regime do pagamento em prestações requerido após a instauração do processo de execução fiscal. Mais se dirá que o pagamento em prestações apenas pode ser autorizado nos casos previstos na lei, pois consubstancia uma moratória, para efeitos do artº.85, nº.3, do C.P.P.T., assim devendo considerar-se um regime com características excepcionais.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3. Do exame do artº.196, do CPPT, deve concluir-se que, quando o devedor demonstre a sua impossibilidade económico-financeira de solver a dívida exequenda de uma só vez, poderá ser autorizado a pagar a mesma em prestações, num número máximo de trinta e seis (36), mais não devendo ser cada prestação de valor inferior a uma U.C. (€ </w:t>
      </w:r>
      <w:r w:rsidRPr="000C2B9C">
        <w:rPr>
          <w:rFonts w:ascii="Arial" w:eastAsia="Calibri" w:hAnsi="Arial" w:cs="Arial"/>
          <w:i/>
        </w:rPr>
        <w:lastRenderedPageBreak/>
        <w:t xml:space="preserve">102,00) (nº.4). No caso de dívidas superiores a 500 U.C. (€ 51.000,00), se o sujeito passivo demonstrar a impossibilidade de pagar as prestações mensais resultantes da divisão por 36 do imposto em dívida ou que tal pagamento comprometeria gravemente a sua situação económica (v.g.pondo em risco a continuidade da sua actividade empresarial), pode o pagamento em prestações ser autorizado até um máximo de sessenta (60) prestações (5 anos), desde que estas não resultem inferiores a dez U.C. (€ 1.020,00) em cada prestação. Ao montante da dívida de capital incluída em cada prestação acrescerão os respectivos juros de mora, vencidos até à data em que cada pagamento deva ter lugar (cfr.nºs.5 e 7, do artº.196, do C.P.P.T.).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4. Especificamente o artº.196, nº.4, do C.P.P.T., permite o pagamento em prestações, desde que a situação económica do executado tenha por consequência a impossibilidade de solver a dívida exequenda de uma só vez, assim apelando o legislador a uma situação de dificuldades financeiras e às previsíveis consequências económicas gravosas que advenham do pagamento global e de uma só vez da dívida.»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(Martins,J. A.; Alves,J. C. (2016). Procedimento e Processo Tributário – Uma perspectiva prática. Coimbra: Almedina).</w:t>
      </w:r>
    </w:p>
    <w:p w:rsidR="000C2B9C" w:rsidRPr="000C2B9C" w:rsidRDefault="000C2B9C" w:rsidP="000C2B9C">
      <w:pPr>
        <w:spacing w:before="120" w:after="120" w:line="360" w:lineRule="auto"/>
        <w:jc w:val="both"/>
        <w:rPr>
          <w:rFonts w:ascii="Arial" w:eastAsia="Calibri" w:hAnsi="Arial" w:cs="Arial"/>
        </w:rPr>
      </w:pPr>
    </w:p>
    <w:p w:rsidR="000C2B9C" w:rsidRPr="005E075A" w:rsidRDefault="000C2B9C" w:rsidP="00022A2C">
      <w:pPr>
        <w:pStyle w:val="Ttulo2"/>
        <w:rPr>
          <w:rStyle w:val="Ttulo3Char"/>
        </w:rPr>
      </w:pPr>
      <w:bookmarkStart w:id="36" w:name="_Hlk493696945"/>
      <w:bookmarkStart w:id="37" w:name="_Toc500109627"/>
      <w:r w:rsidRPr="00022A2C">
        <w:rPr>
          <w:rFonts w:eastAsia="Calibri" w:cs="Arial"/>
        </w:rPr>
        <w:t>4.1.</w:t>
      </w:r>
      <w:r w:rsidR="00022A2C">
        <w:rPr>
          <w:rFonts w:eastAsia="Calibri" w:cs="Arial"/>
        </w:rPr>
        <w:t>2</w:t>
      </w:r>
      <w:r w:rsidRPr="000C2B9C">
        <w:rPr>
          <w:rFonts w:eastAsia="Calibri" w:cs="Arial"/>
          <w:b/>
        </w:rPr>
        <w:tab/>
      </w:r>
      <w:r w:rsidRPr="005E075A">
        <w:rPr>
          <w:rStyle w:val="Ttulo3Char"/>
        </w:rPr>
        <w:t>Regime geral dos pagamentos em prestações</w:t>
      </w:r>
      <w:bookmarkEnd w:id="37"/>
    </w:p>
    <w:bookmarkEnd w:id="36"/>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b/>
          <w:sz w:val="26"/>
          <w:szCs w:val="26"/>
        </w:rPr>
        <w:t xml:space="preserve"> </w:t>
      </w:r>
      <w:r w:rsidRPr="000C2B9C">
        <w:rPr>
          <w:rFonts w:ascii="Arial" w:eastAsia="Calibri" w:hAnsi="Arial" w:cs="Arial"/>
        </w:rPr>
        <w:t>A escolha deste título merece uma breve interpretação. Chamamos regime geral, por oposição a todos os regimes que lhe foram sucedendo Este é o mais "antigo" e mais utilizado até há um par de anos atrás. O regime geral não é mais do que o preceituado no nº1 do artigo 196º do CPPT, conjugado com os números 4 e 5 do mesmo artigo.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Historicamente o ónus da prova das dificuldades para solver as dívidas de uma só vez pertence ao executado, ainda que a prática ao longo do tempo seja para aceitar os pedidos de pagamento em prestações, desde que cumpridos os requisitos legais. A alteração conferida ao artigo 198º do CPPT, pelo aditamento que a Lei </w:t>
      </w:r>
      <w:bookmarkStart w:id="38" w:name="_Hlk493614304"/>
      <w:r w:rsidRPr="000C2B9C">
        <w:rPr>
          <w:rFonts w:ascii="Arial" w:eastAsia="Calibri" w:hAnsi="Arial" w:cs="Arial"/>
        </w:rPr>
        <w:t>n.º 64-B/2011, de 30 de dezembro</w:t>
      </w:r>
      <w:r w:rsidR="00307D48">
        <w:rPr>
          <w:rFonts w:ascii="Arial" w:eastAsia="Calibri" w:hAnsi="Arial" w:cs="Arial"/>
        </w:rPr>
        <w:t>,</w:t>
      </w:r>
      <w:r w:rsidRPr="000C2B9C">
        <w:rPr>
          <w:rFonts w:ascii="Arial" w:eastAsia="Calibri" w:hAnsi="Arial" w:cs="Arial"/>
        </w:rPr>
        <w:t xml:space="preserve"> </w:t>
      </w:r>
      <w:bookmarkEnd w:id="38"/>
      <w:r w:rsidRPr="000C2B9C">
        <w:rPr>
          <w:rFonts w:ascii="Arial" w:eastAsia="Calibri" w:hAnsi="Arial" w:cs="Arial"/>
        </w:rPr>
        <w:t>é disso exemplo.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Até final de 2011 ao artigo 198º do CPPT, apenas tinha dois números: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No requerimento para pagamento em prestações o executado indicará a forma como se propõe efectuar o pagamento e os fundamentos da proposta.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Os pedidos, devidamente instruídos com todas as informações de que se disponha, serão apreciados no prazo de 15 dias após a recepção ou, no mesmo prazo, remetidos para sancionamento superior, devendo o pagamento da primeira prestação ser efectuado no mês seguinte àquele em que for notificado o despacho.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O nº</w:t>
      </w:r>
      <w:r w:rsidR="00307D48">
        <w:rPr>
          <w:rFonts w:ascii="Arial" w:eastAsia="Calibri" w:hAnsi="Arial" w:cs="Arial"/>
        </w:rPr>
        <w:t xml:space="preserve"> </w:t>
      </w:r>
      <w:r w:rsidRPr="000C2B9C">
        <w:rPr>
          <w:rFonts w:ascii="Arial" w:eastAsia="Calibri" w:hAnsi="Arial" w:cs="Arial"/>
        </w:rPr>
        <w:t>1 mantém-se até hoje e o nº</w:t>
      </w:r>
      <w:r w:rsidR="00307D48">
        <w:rPr>
          <w:rFonts w:ascii="Arial" w:eastAsia="Calibri" w:hAnsi="Arial" w:cs="Arial"/>
        </w:rPr>
        <w:t xml:space="preserve"> </w:t>
      </w:r>
      <w:r w:rsidRPr="000C2B9C">
        <w:rPr>
          <w:rFonts w:ascii="Arial" w:eastAsia="Calibri" w:hAnsi="Arial" w:cs="Arial"/>
        </w:rPr>
        <w:t>2 até 2011 apenas impunha o prazo de 15 dias para apreciação ou remessa do pedido para sancionamento superior. As novidades da Lei n.º 64-B/2011, de 30 de dezembro, são o aditamento dos nº 3 e 4,</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"1 - No requerimento para pagamento em prestações o executado indicará a forma como se propõe efectuar o pagamento e os fundamentos da proposta.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Após recepção e instrução dos pedidos com todas as informações de que se disponha, estes são imediatamente apreciados pelo órgão da execução fiscal ou, sendo caso disso, imediatamente remetidos após recepção para sancionamento superior, devendo o pagamento da primeira prestação ser efectuado no mês seguinte àquele em que for notificado o despacho. (Redação dada pela Lei n.º 64-B/2011, de 30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3 - Caso o pedido de pagamento em prestações obedeça a todos os pressupostos legais, deve o mesmo ser objecto de imediata autorização pelo órgão considerado competente nos termos do artigo anterior, notificando-se o requerente desse facto e de que, caso pretenda a suspensão da execução e a regularização da sua situação tributária, deve ser constituída ou prestada garantia idónea nos termos do artigo seguinte ou, em alternativa, obter a autorização para a sua dispensa. (Aditado pela Lei n.º 64-B/2011, de 30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4 - Caso se apure que o pedido de pagamento em prestações não obedece aos pressupostos legais de que depende a sua autorização, o mesmo será indeferido de imediato, com notificação ao requerente dos fundamentos do mesmo indeferimento. (Aditado pela Lei n.º 64-B/2011, de 30 de dezembro)"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nº 3 veio permitir que desde que os requisitos legais estejam cumpridos, a autorização e instauração do plano de pagamento em prestações é imediata, ficando dependente, a suspensão do processo de execução fiscal, nos termos do artigo 169º do CPPT, da notificação ao executado para que este apresente garantia idónea ou a dispensa da mesma.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Uma das características deste regime é de que necessita da constituição de garantia, nos termos do artigo 199º do CPPT, ou da dispensa da mesma nos termos do artigo 170º do mesmo diploma, o que não sucede nos regimes que serão apresentados a seguir.</w:t>
      </w:r>
    </w:p>
    <w:p w:rsidR="000C2B9C" w:rsidRPr="000C2B9C" w:rsidRDefault="000C2B9C" w:rsidP="000C2B9C">
      <w:pPr>
        <w:spacing w:before="120" w:after="120" w:line="360" w:lineRule="auto"/>
        <w:jc w:val="both"/>
        <w:rPr>
          <w:rFonts w:ascii="Arial" w:eastAsia="Calibri" w:hAnsi="Arial" w:cs="Arial"/>
        </w:rPr>
      </w:pPr>
    </w:p>
    <w:p w:rsidR="000C2B9C" w:rsidRPr="005E075A" w:rsidRDefault="000C2B9C" w:rsidP="00022A2C">
      <w:pPr>
        <w:pStyle w:val="Ttulo2"/>
        <w:rPr>
          <w:rStyle w:val="Ttulo3Char"/>
        </w:rPr>
      </w:pPr>
      <w:bookmarkStart w:id="39" w:name="_Toc500109628"/>
      <w:r w:rsidRPr="00022A2C">
        <w:rPr>
          <w:rFonts w:eastAsia="Calibri" w:cs="Arial"/>
        </w:rPr>
        <w:lastRenderedPageBreak/>
        <w:t>4.1.</w:t>
      </w:r>
      <w:r w:rsidR="00022A2C">
        <w:rPr>
          <w:rFonts w:eastAsia="Calibri" w:cs="Arial"/>
        </w:rPr>
        <w:t>3</w:t>
      </w:r>
      <w:r w:rsidRPr="000C2B9C">
        <w:rPr>
          <w:rFonts w:eastAsia="Calibri" w:cs="Arial"/>
          <w:b/>
        </w:rPr>
        <w:tab/>
      </w:r>
      <w:r w:rsidRPr="005E075A">
        <w:rPr>
          <w:rStyle w:val="Ttulo3Char"/>
        </w:rPr>
        <w:t>Prestações com dispensa de garantia</w:t>
      </w:r>
      <w:bookmarkEnd w:id="39"/>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Neste subcapítulo trataremos os dois regimes de pagamentos</w:t>
      </w:r>
      <w:r w:rsidR="008C7AFE">
        <w:rPr>
          <w:rFonts w:ascii="Arial" w:eastAsia="Calibri" w:hAnsi="Arial" w:cs="Arial"/>
        </w:rPr>
        <w:t xml:space="preserve"> em prestações existentes que, nos termos da lei, permitem</w:t>
      </w:r>
      <w:r w:rsidRPr="000C2B9C">
        <w:rPr>
          <w:rFonts w:ascii="Arial" w:eastAsia="Calibri" w:hAnsi="Arial" w:cs="Arial"/>
        </w:rPr>
        <w:t xml:space="preserve"> a dispensa de garantia. Saliente-se que a dispensa de garantia aqui mencionada, não tem haver, com a possibilidade conferida pelo artigo 170º do CPPT, mas sim com as possibilidades concedidas especialmente para duas situações existentes consagradas nos artigos 198º e 199º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w:t>
      </w:r>
    </w:p>
    <w:p w:rsidR="000C2B9C" w:rsidRPr="000C2B9C" w:rsidRDefault="000C2B9C" w:rsidP="00022A2C">
      <w:pPr>
        <w:pStyle w:val="Ttulo2"/>
        <w:rPr>
          <w:rFonts w:eastAsia="Calibri" w:cs="Arial"/>
          <w:b/>
        </w:rPr>
      </w:pPr>
      <w:bookmarkStart w:id="40" w:name="_Toc500109629"/>
      <w:r w:rsidRPr="00022A2C">
        <w:rPr>
          <w:rFonts w:eastAsia="Calibri" w:cs="Arial"/>
        </w:rPr>
        <w:t>4.1.</w:t>
      </w:r>
      <w:r w:rsidR="00022A2C">
        <w:rPr>
          <w:rFonts w:eastAsia="Calibri" w:cs="Arial"/>
        </w:rPr>
        <w:t>4</w:t>
      </w:r>
      <w:r w:rsidRPr="000C2B9C">
        <w:rPr>
          <w:rFonts w:eastAsia="Calibri" w:cs="Arial"/>
          <w:b/>
        </w:rPr>
        <w:tab/>
      </w:r>
      <w:r w:rsidRPr="005E075A">
        <w:rPr>
          <w:rStyle w:val="Ttulo4Char"/>
        </w:rPr>
        <w:t>Dívidas de importância reduzida</w:t>
      </w:r>
      <w:bookmarkEnd w:id="40"/>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198º do CPPT, na redação dada pela Lei n.º 42/2016, de 28 de dezembro</w:t>
      </w:r>
      <w:r w:rsidRPr="000C2B9C">
        <w:rPr>
          <w:rFonts w:ascii="Arial" w:eastAsia="Calibri" w:hAnsi="Arial" w:cs="Arial"/>
          <w:vertAlign w:val="superscript"/>
        </w:rPr>
        <w:footnoteReference w:id="28"/>
      </w:r>
      <w:r w:rsidRPr="000C2B9C">
        <w:rPr>
          <w:rFonts w:ascii="Arial" w:eastAsia="Calibri" w:hAnsi="Arial" w:cs="Arial"/>
        </w:rPr>
        <w:t>, refere no nº5,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"É dispensada a prestação de garantia quando, à data do pedido, o devedor tenha dívidas fiscais, legalmente não suspensas, de valor inferior a (euro) 5000 para pessoas singulares, ou (euro) 10 000 para pessoas coletivas."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Este nº 5 do artigo 198º do CPPT foi aditado pela Lei n.º 82-B/2014, de 31 de dezembro</w:t>
      </w:r>
      <w:r w:rsidRPr="000C2B9C">
        <w:rPr>
          <w:rFonts w:ascii="Arial" w:eastAsia="Calibri" w:hAnsi="Arial" w:cs="Arial"/>
          <w:vertAlign w:val="superscript"/>
        </w:rPr>
        <w:footnoteReference w:id="29"/>
      </w:r>
      <w:r w:rsidRPr="000C2B9C">
        <w:rPr>
          <w:rFonts w:ascii="Arial" w:eastAsia="Calibri" w:hAnsi="Arial" w:cs="Arial"/>
        </w:rPr>
        <w:t>, e visava permitir que dívidas de valor relativamente baixo (na primeira redação deste número os valores eram metade dos atuais), fossem pagas em regime de prestações, simplificando o cumprimento do dever consagrado no artigo 31º da LGT</w:t>
      </w:r>
      <w:r w:rsidRPr="000C2B9C">
        <w:rPr>
          <w:rFonts w:ascii="Arial" w:eastAsia="Calibri" w:hAnsi="Arial" w:cs="Arial"/>
          <w:vertAlign w:val="superscript"/>
        </w:rPr>
        <w:footnoteReference w:id="30"/>
      </w:r>
      <w:r w:rsidRPr="000C2B9C">
        <w:rPr>
          <w:rFonts w:ascii="Arial" w:eastAsia="Calibri" w:hAnsi="Arial" w:cs="Arial"/>
        </w:rPr>
        <w:t xml:space="preserve">, por um lado, e todo o procedimento a que obedece a avaliação de garantias feita pela Autoridade Tributária, por outro. Esta norma veio em conjugação com o nº 4 do artigo 196º do CPPT, que fixa o valor mínimo de cada prestação em 1 unidade de conta, ou seja 102€, resolver grandes problemas, principalmente às pessoas singulares, que por vezes apesar de terem uma ou outra dívida de um valor relativamente baixo e de terem uma manifesta vontade de a cumprirem, viam-se impossibilitados de aceder a um regime em prestações por força da obrigação de terem de prestar garantia. No caso das pessoas singulares grande parte destas dívidas prendem-se ou com o pagamento do IMI (Imposto Municipal sobre Imóveis), ou com o IRS (Imposto sobre o Rendimento das pessoas Singulares) </w:t>
      </w:r>
      <w:r w:rsidR="008C7AFE">
        <w:rPr>
          <w:rFonts w:ascii="Arial" w:eastAsia="Calibri" w:hAnsi="Arial" w:cs="Arial"/>
        </w:rPr>
        <w:t xml:space="preserve">e </w:t>
      </w:r>
      <w:r w:rsidRPr="000C2B9C">
        <w:rPr>
          <w:rFonts w:ascii="Arial" w:eastAsia="Calibri" w:hAnsi="Arial" w:cs="Arial"/>
        </w:rPr>
        <w:t>o facto de poderem solver essas dívidas em mais do que uma vez, permite-lhe</w:t>
      </w:r>
      <w:r w:rsidR="008C7AFE">
        <w:rPr>
          <w:rFonts w:ascii="Arial" w:eastAsia="Calibri" w:hAnsi="Arial" w:cs="Arial"/>
        </w:rPr>
        <w:t>s</w:t>
      </w:r>
      <w:r w:rsidRPr="000C2B9C">
        <w:rPr>
          <w:rFonts w:ascii="Arial" w:eastAsia="Calibri" w:hAnsi="Arial" w:cs="Arial"/>
        </w:rPr>
        <w:t xml:space="preserve"> cumprir a obrigação de pagamento da dívida fiscal.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Atente-se ainda à questão técnica da lei:</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Se uma pessoa singular tiver </w:t>
      </w:r>
      <w:bookmarkStart w:id="41" w:name="_Hlk493709225"/>
      <w:r w:rsidRPr="000C2B9C">
        <w:rPr>
          <w:rFonts w:ascii="Arial" w:eastAsia="Calibri" w:hAnsi="Arial" w:cs="Arial"/>
        </w:rPr>
        <w:t xml:space="preserve">uma dívida de 5.000,00€ e solicitar um pagamento em execução fiscal, ao abrigo deste nº5 do artigo 198º do CPPT e obtendo o máximo de </w:t>
      </w:r>
      <w:r w:rsidRPr="000C2B9C">
        <w:rPr>
          <w:rFonts w:ascii="Arial" w:eastAsia="Calibri" w:hAnsi="Arial" w:cs="Arial"/>
        </w:rPr>
        <w:lastRenderedPageBreak/>
        <w:t>prestações possível que são 36, pagará uma prestação mensal de 138.89€</w:t>
      </w:r>
      <w:bookmarkEnd w:id="41"/>
      <w:r w:rsidRPr="000C2B9C">
        <w:rPr>
          <w:rFonts w:ascii="Arial" w:eastAsia="Calibri" w:hAnsi="Arial" w:cs="Arial"/>
          <w:vertAlign w:val="superscript"/>
        </w:rPr>
        <w:footnoteReference w:id="31"/>
      </w:r>
      <w:r w:rsidRPr="000C2B9C">
        <w:rPr>
          <w:rFonts w:ascii="Arial" w:eastAsia="Calibri" w:hAnsi="Arial" w:cs="Arial"/>
        </w:rPr>
        <w:t>.  Refira-se que estamos cerca de 37€ acima da unidade de conta, o que faz com que este tipo de dívidas sejam pagas no limiar da unidade de conta com o acréscimo dos juros de mora correspondentes.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quadro seguinte exemplifica duas situações para as pessoas singulares e coletivas,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Quadro I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noProof/>
          <w:lang w:eastAsia="pt-PT"/>
        </w:rPr>
        <w:drawing>
          <wp:inline distT="0" distB="0" distL="0" distR="0" wp14:anchorId="2D161AFF" wp14:editId="44167464">
            <wp:extent cx="5579745" cy="1400975"/>
            <wp:effectExtent l="0" t="0" r="1905" b="889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79745" cy="1400975"/>
                    </a:xfrm>
                    <a:prstGeom prst="rect">
                      <a:avLst/>
                    </a:prstGeom>
                    <a:noFill/>
                    <a:ln>
                      <a:noFill/>
                    </a:ln>
                  </pic:spPr>
                </pic:pic>
              </a:graphicData>
            </a:graphic>
          </wp:inline>
        </w:drawing>
      </w:r>
    </w:p>
    <w:p w:rsidR="000C2B9C" w:rsidRPr="000C2B9C" w:rsidRDefault="000C2B9C" w:rsidP="000C2B9C">
      <w:pPr>
        <w:spacing w:before="120" w:after="120" w:line="360" w:lineRule="auto"/>
        <w:jc w:val="right"/>
        <w:rPr>
          <w:rFonts w:ascii="Arial" w:eastAsia="Calibri" w:hAnsi="Arial" w:cs="Arial"/>
          <w:sz w:val="20"/>
          <w:szCs w:val="20"/>
        </w:rPr>
      </w:pPr>
      <w:r w:rsidRPr="000C2B9C">
        <w:rPr>
          <w:rFonts w:ascii="Arial" w:eastAsia="Calibri" w:hAnsi="Arial" w:cs="Arial"/>
          <w:sz w:val="20"/>
          <w:szCs w:val="20"/>
        </w:rPr>
        <w:t>(valores em euros)</w:t>
      </w:r>
    </w:p>
    <w:p w:rsidR="000C2B9C" w:rsidRPr="000C2B9C" w:rsidRDefault="000C2B9C" w:rsidP="000C2B9C">
      <w:pPr>
        <w:spacing w:before="120" w:after="120" w:line="360" w:lineRule="auto"/>
        <w:jc w:val="right"/>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Se uma pessoa coletiva tiver uma dívida de 10.000,00€ e solicitar um pagamento em execução fiscal, ao abrigo do nº 5 do artigo 198º do CPPT e obtendo o </w:t>
      </w:r>
      <w:r w:rsidR="008C7AFE">
        <w:rPr>
          <w:rFonts w:ascii="Arial" w:eastAsia="Calibri" w:hAnsi="Arial" w:cs="Arial"/>
        </w:rPr>
        <w:t>número</w:t>
      </w:r>
      <w:r w:rsidRPr="000C2B9C">
        <w:rPr>
          <w:rFonts w:ascii="Arial" w:eastAsia="Calibri" w:hAnsi="Arial" w:cs="Arial"/>
        </w:rPr>
        <w:t xml:space="preserve"> máximo de prestações possível </w:t>
      </w:r>
      <w:r w:rsidR="008C7AFE">
        <w:rPr>
          <w:rFonts w:ascii="Arial" w:eastAsia="Calibri" w:hAnsi="Arial" w:cs="Arial"/>
        </w:rPr>
        <w:t>(</w:t>
      </w:r>
      <w:r w:rsidRPr="000C2B9C">
        <w:rPr>
          <w:rFonts w:ascii="Arial" w:eastAsia="Calibri" w:hAnsi="Arial" w:cs="Arial"/>
        </w:rPr>
        <w:t>36), pagará uma prestação mensal de 277.78€</w:t>
      </w:r>
      <w:r w:rsidRPr="000C2B9C">
        <w:rPr>
          <w:rFonts w:ascii="Arial" w:eastAsia="Calibri" w:hAnsi="Arial" w:cs="Arial"/>
          <w:vertAlign w:val="superscript"/>
        </w:rPr>
        <w:footnoteReference w:id="32"/>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Finalmente, há que referir que este regime aplica-se de forma processual e não ao valor total da dívida, ou seja o nº5 do artigo 198º do CPPT, aplica-se a cada processo de execução fiscal, </w:t>
      </w:r>
      <w:r w:rsidRPr="000C2B9C">
        <w:rPr>
          <w:rFonts w:ascii="Arial" w:eastAsia="Calibri" w:hAnsi="Arial" w:cs="Arial"/>
          <w:i/>
        </w:rPr>
        <w:t>per si</w:t>
      </w:r>
      <w:r w:rsidRPr="000C2B9C">
        <w:rPr>
          <w:rFonts w:ascii="Arial" w:eastAsia="Calibri" w:hAnsi="Arial" w:cs="Arial"/>
        </w:rPr>
        <w:t>, e não ao montante total da dívida. Dito de outra forma, se um qualquer devedor tiver mais do que uma dívida, mas cada uma dessas mesmas dívidas, não ultrapassar 5.000,00€ no caso dos contribuintes singulares, ou 10.000,00 no caso dos contribuintes coletivos, poderá pedir tantos planos prestacionais, quantos processos de execução fiscal tiver naquelas condições, desde que os mesmos processos de execução fiscal não estejam apensos, ou que essa mesma apensação não ultrapasse os limites anteriormente referidos.</w:t>
      </w:r>
    </w:p>
    <w:p w:rsidR="000C2B9C" w:rsidRPr="000C2B9C" w:rsidRDefault="000C2B9C" w:rsidP="000C2B9C">
      <w:pPr>
        <w:spacing w:before="120" w:after="120" w:line="360" w:lineRule="auto"/>
        <w:jc w:val="both"/>
        <w:rPr>
          <w:rFonts w:ascii="Arial" w:eastAsia="Calibri" w:hAnsi="Arial" w:cs="Arial"/>
        </w:rPr>
      </w:pPr>
    </w:p>
    <w:p w:rsidR="000C2B9C" w:rsidRPr="005E075A" w:rsidRDefault="000C2B9C" w:rsidP="00022A2C">
      <w:pPr>
        <w:pStyle w:val="Ttulo2"/>
        <w:rPr>
          <w:rStyle w:val="Ttulo4Char"/>
        </w:rPr>
      </w:pPr>
      <w:bookmarkStart w:id="42" w:name="_Toc500109630"/>
      <w:r w:rsidRPr="00022A2C">
        <w:rPr>
          <w:rFonts w:eastAsia="Calibri" w:cs="Arial"/>
        </w:rPr>
        <w:lastRenderedPageBreak/>
        <w:t>4.1.</w:t>
      </w:r>
      <w:r w:rsidR="00022A2C">
        <w:rPr>
          <w:rFonts w:eastAsia="Calibri" w:cs="Arial"/>
        </w:rPr>
        <w:t>5</w:t>
      </w:r>
      <w:r w:rsidRPr="000C2B9C">
        <w:rPr>
          <w:rFonts w:eastAsia="Calibri" w:cs="Arial"/>
          <w:b/>
        </w:rPr>
        <w:tab/>
      </w:r>
      <w:r w:rsidRPr="005E075A">
        <w:rPr>
          <w:rStyle w:val="Ttulo4Char"/>
        </w:rPr>
        <w:t>Os regimes especiais – períodos longos.</w:t>
      </w:r>
      <w:bookmarkEnd w:id="42"/>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Abordaremos agora a questão dos regimes especiais cujos pagamentos prestacionais, se fazem ao longo de um período alargado, ou seja superior a 3 anos. Daqui destacamos duas situações distintas:</w:t>
      </w:r>
    </w:p>
    <w:p w:rsidR="000C2B9C" w:rsidRPr="000C2B9C" w:rsidRDefault="000C2B9C" w:rsidP="000C2B9C">
      <w:pPr>
        <w:numPr>
          <w:ilvl w:val="0"/>
          <w:numId w:val="13"/>
        </w:numPr>
        <w:spacing w:before="120" w:after="120" w:line="360" w:lineRule="auto"/>
        <w:contextualSpacing/>
        <w:jc w:val="both"/>
        <w:rPr>
          <w:rFonts w:ascii="Arial" w:eastAsia="Calibri" w:hAnsi="Arial" w:cs="Arial"/>
        </w:rPr>
      </w:pPr>
      <w:r w:rsidRPr="000C2B9C">
        <w:rPr>
          <w:rFonts w:ascii="Arial" w:eastAsia="Calibri" w:hAnsi="Arial" w:cs="Arial"/>
        </w:rPr>
        <w:t>Pagamentos enquadrados no nº 5 do artigo 196º do CPPT;</w:t>
      </w:r>
    </w:p>
    <w:p w:rsidR="000C2B9C" w:rsidRPr="000C2B9C" w:rsidRDefault="000C2B9C" w:rsidP="000C2B9C">
      <w:pPr>
        <w:numPr>
          <w:ilvl w:val="0"/>
          <w:numId w:val="13"/>
        </w:numPr>
        <w:spacing w:before="120" w:after="120" w:line="360" w:lineRule="auto"/>
        <w:contextualSpacing/>
        <w:jc w:val="both"/>
        <w:rPr>
          <w:rFonts w:ascii="Arial" w:eastAsia="Calibri" w:hAnsi="Arial" w:cs="Arial"/>
        </w:rPr>
      </w:pPr>
      <w:r w:rsidRPr="000C2B9C">
        <w:rPr>
          <w:rFonts w:ascii="Arial" w:eastAsia="Calibri" w:hAnsi="Arial" w:cs="Arial"/>
        </w:rPr>
        <w:t xml:space="preserve">Processos de insolvência ou </w:t>
      </w:r>
      <w:bookmarkStart w:id="43" w:name="_Hlk499675892"/>
      <w:r w:rsidRPr="000C2B9C">
        <w:rPr>
          <w:rFonts w:ascii="Arial" w:eastAsia="Calibri" w:hAnsi="Arial" w:cs="Arial"/>
        </w:rPr>
        <w:t>PER (processo especial de revitalização), ou de acordo a sujeitar ao (SIREVE) regime extrajudicial de recuperação de empresas.</w:t>
      </w:r>
      <w:bookmarkEnd w:id="43"/>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5 do artigo 196º do CPPT, permite alargar o prazo geral de 36 meses (máximo admitido), até aos 60 meses, caso a dívida exceda os 51.000,00€</w:t>
      </w:r>
      <w:r w:rsidRPr="000C2B9C">
        <w:rPr>
          <w:rFonts w:ascii="Arial" w:eastAsia="Calibri" w:hAnsi="Arial" w:cs="Arial"/>
          <w:vertAlign w:val="superscript"/>
        </w:rPr>
        <w:footnoteReference w:id="33"/>
      </w:r>
      <w:r w:rsidRPr="000C2B9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"Nos casos em que se demonstre notória dificuldade financeira e previsíveis consequências económicas para os devedores, poderá ser alargado o número de prestações mensais até 5 anos, se a dívida exequenda exceder 500 unidades de conta no momento da autorização, não podendo então nenhuma delas ser inferior a 10 unidades da conta"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norma veio permitir que os devedores com dívidas mais avultadas possam pagar as mesmas num prazo que excede em 2/3 (66,7%), o prazo "geral". Saliente-se ainda que aqui, ao contrário do disposto no nº 4, também do artigo 196º do CPPT, o valor mínimo a pagar é de 10 unidades de conta, ou seja 1.020€ por prestação.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Uma vez mais, e na linha de raciocínio adotado no sub capítulo anterior, a técnica da lei permite o seguinte.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1.020,00€ x 60 = 61.200,00€, mais uma vez nota-se aqui que as 10 UC obrigatórias aproximam-se de um mínimo. Retenha-se que se utilizarmos o valor mínimo das 500 UC, e simultaneamente o valor mínimo das 10 UC, temos para valor mínimo absoluto de: assim se a 51.000,00€ dividirmos este valor por 102,00€, temos um resultado de 50, ou seja cinquenta prestações, dez abaixo do máximo. Isto para concluir que a lei está desenhada para que com os valores mínimos de dívida e de prestações se atinjam os parâmetros propostos pela própria norma.</w:t>
      </w:r>
    </w:p>
    <w:p w:rsidR="000C2B9C" w:rsidRPr="000C2B9C" w:rsidRDefault="008C7AFE" w:rsidP="000C2B9C">
      <w:pPr>
        <w:spacing w:before="120" w:after="120" w:line="360" w:lineRule="auto"/>
        <w:jc w:val="both"/>
        <w:rPr>
          <w:rFonts w:ascii="Arial" w:eastAsia="Calibri" w:hAnsi="Arial" w:cs="Arial"/>
        </w:rPr>
      </w:pPr>
      <w:r>
        <w:rPr>
          <w:rFonts w:ascii="Arial" w:eastAsia="Calibri" w:hAnsi="Arial" w:cs="Arial"/>
        </w:rPr>
        <w:t>Quanto a</w:t>
      </w:r>
      <w:r w:rsidR="000C2B9C" w:rsidRPr="000C2B9C">
        <w:rPr>
          <w:rFonts w:ascii="Arial" w:eastAsia="Calibri" w:hAnsi="Arial" w:cs="Arial"/>
        </w:rPr>
        <w:t xml:space="preserve">os verdadeiros planos prestacionais longos </w:t>
      </w:r>
      <w:r>
        <w:rPr>
          <w:rFonts w:ascii="Arial" w:eastAsia="Calibri" w:hAnsi="Arial" w:cs="Arial"/>
        </w:rPr>
        <w:t>r</w:t>
      </w:r>
      <w:r w:rsidR="000C2B9C" w:rsidRPr="000C2B9C">
        <w:rPr>
          <w:rFonts w:ascii="Arial" w:eastAsia="Calibri" w:hAnsi="Arial" w:cs="Arial"/>
        </w:rPr>
        <w:t>eferi</w:t>
      </w:r>
      <w:r>
        <w:rPr>
          <w:rFonts w:ascii="Arial" w:eastAsia="Calibri" w:hAnsi="Arial" w:cs="Arial"/>
        </w:rPr>
        <w:t>d</w:t>
      </w:r>
      <w:r w:rsidR="000C2B9C" w:rsidRPr="000C2B9C">
        <w:rPr>
          <w:rFonts w:ascii="Arial" w:eastAsia="Calibri" w:hAnsi="Arial" w:cs="Arial"/>
        </w:rPr>
        <w:t>os no capítulo 2, quando fizemos uma abordagem histórica dissemos que, ao longo dos últimos anos os governos têm adotado medidas que visam</w:t>
      </w:r>
      <w:r>
        <w:rPr>
          <w:rFonts w:ascii="Arial" w:eastAsia="Calibri" w:hAnsi="Arial" w:cs="Arial"/>
        </w:rPr>
        <w:t>,</w:t>
      </w:r>
      <w:r w:rsidR="000C2B9C" w:rsidRPr="000C2B9C">
        <w:rPr>
          <w:rFonts w:ascii="Arial" w:eastAsia="Calibri" w:hAnsi="Arial" w:cs="Arial"/>
        </w:rPr>
        <w:t xml:space="preserve"> por um lado</w:t>
      </w:r>
      <w:r>
        <w:rPr>
          <w:rFonts w:ascii="Arial" w:eastAsia="Calibri" w:hAnsi="Arial" w:cs="Arial"/>
        </w:rPr>
        <w:t>,</w:t>
      </w:r>
      <w:r w:rsidR="000C2B9C" w:rsidRPr="000C2B9C">
        <w:rPr>
          <w:rFonts w:ascii="Arial" w:eastAsia="Calibri" w:hAnsi="Arial" w:cs="Arial"/>
        </w:rPr>
        <w:t xml:space="preserve"> o aumento de arrecadação da receita coerciva e</w:t>
      </w:r>
      <w:r>
        <w:rPr>
          <w:rFonts w:ascii="Arial" w:eastAsia="Calibri" w:hAnsi="Arial" w:cs="Arial"/>
        </w:rPr>
        <w:t>,</w:t>
      </w:r>
      <w:r w:rsidR="000C2B9C" w:rsidRPr="000C2B9C">
        <w:rPr>
          <w:rFonts w:ascii="Arial" w:eastAsia="Calibri" w:hAnsi="Arial" w:cs="Arial"/>
        </w:rPr>
        <w:t xml:space="preserve"> por outro</w:t>
      </w:r>
      <w:r>
        <w:rPr>
          <w:rFonts w:ascii="Arial" w:eastAsia="Calibri" w:hAnsi="Arial" w:cs="Arial"/>
        </w:rPr>
        <w:t>,</w:t>
      </w:r>
      <w:r w:rsidR="000C2B9C" w:rsidRPr="000C2B9C">
        <w:rPr>
          <w:rFonts w:ascii="Arial" w:eastAsia="Calibri" w:hAnsi="Arial" w:cs="Arial"/>
        </w:rPr>
        <w:t xml:space="preserve"> trazer para o cumprimento fiscal contribuintes que não têm ou não querem ter apetência para o pagamento das suas dívidas fiscais. Com os planos </w:t>
      </w:r>
      <w:r w:rsidR="000C2B9C" w:rsidRPr="000C2B9C">
        <w:rPr>
          <w:rFonts w:ascii="Arial" w:eastAsia="Calibri" w:hAnsi="Arial" w:cs="Arial"/>
        </w:rPr>
        <w:lastRenderedPageBreak/>
        <w:t>especiais adotados, nomeadamente o último – PERES,</w:t>
      </w:r>
      <w:r w:rsidR="007646F3">
        <w:rPr>
          <w:rFonts w:ascii="Arial" w:eastAsia="Calibri" w:hAnsi="Arial" w:cs="Arial"/>
        </w:rPr>
        <w:t xml:space="preserve"> aprovado pelo</w:t>
      </w:r>
      <w:r w:rsidR="000C2B9C" w:rsidRPr="000C2B9C">
        <w:rPr>
          <w:rFonts w:ascii="Arial" w:eastAsia="Calibri" w:hAnsi="Arial" w:cs="Arial"/>
        </w:rPr>
        <w:t xml:space="preserve"> DL </w:t>
      </w:r>
      <w:r w:rsidR="007646F3">
        <w:rPr>
          <w:rFonts w:ascii="Arial" w:eastAsia="Calibri" w:hAnsi="Arial" w:cs="Arial"/>
        </w:rPr>
        <w:t xml:space="preserve">nº </w:t>
      </w:r>
      <w:r w:rsidR="000C2B9C" w:rsidRPr="000C2B9C">
        <w:rPr>
          <w:rFonts w:ascii="Arial" w:eastAsia="Calibri" w:hAnsi="Arial" w:cs="Arial"/>
        </w:rPr>
        <w:t xml:space="preserve">67/2016, de 3 de Novembro, conseguiu-se trazer muitos contribuintes com dívidas avultadas para </w:t>
      </w:r>
      <w:r w:rsidR="007646F3">
        <w:rPr>
          <w:rFonts w:ascii="Arial" w:eastAsia="Calibri" w:hAnsi="Arial" w:cs="Arial"/>
        </w:rPr>
        <w:t>o sistema de</w:t>
      </w:r>
      <w:r w:rsidR="000C2B9C" w:rsidRPr="000C2B9C">
        <w:rPr>
          <w:rFonts w:ascii="Arial" w:eastAsia="Calibri" w:hAnsi="Arial" w:cs="Arial"/>
        </w:rPr>
        <w:t xml:space="preserve"> pagamento </w:t>
      </w:r>
      <w:r w:rsidR="007646F3">
        <w:rPr>
          <w:rFonts w:ascii="Arial" w:eastAsia="Calibri" w:hAnsi="Arial" w:cs="Arial"/>
        </w:rPr>
        <w:t>dos créditos tributários,</w:t>
      </w:r>
      <w:r w:rsidR="000C2B9C" w:rsidRPr="000C2B9C">
        <w:rPr>
          <w:rFonts w:ascii="Arial" w:eastAsia="Calibri" w:hAnsi="Arial" w:cs="Arial"/>
        </w:rPr>
        <w:t xml:space="preserve"> através de uma forma que se aproxima mais do pagamento voluntário do que do pagamento coercivo.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Vamos agora focar a nossa análise, numa outra realidade que é pertinente, não só do ponto de vista deste trabalho, mas também do ponto de vista da economia do país e na recuperação das empresas em dificuldades económicas e financeiras e que são os planos especiais de recuperação. O nº 6 do artigo 196º do CPPT, permite alargar o número de prestações até um máximo de 150:</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"Quando, no âmbito de plano de recuperação económica legalmente previsto, se demonstre a indispensabilidade da medida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número anterior."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As condições da parte final do número anterior são as que exigem que o valor mínimo a pagar que é de 10 unidades de conta e que a dívida seja superior a 500 unidades de conta.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Este regime está previsto para duas situações semelhantes, o PER (Plano Especial de Revitalização, que é um plano judicial e o SIREVE (Sistema de Recuperação de Empresas por Via Extrajudicial), que é um plano à margem do sistema judicial e que funciona junto d</w:t>
      </w:r>
      <w:r w:rsidR="006359D8">
        <w:rPr>
          <w:rFonts w:ascii="Arial" w:eastAsia="Calibri" w:hAnsi="Arial" w:cs="Arial"/>
        </w:rPr>
        <w:t>a</w:t>
      </w:r>
      <w:r w:rsidRPr="000C2B9C">
        <w:rPr>
          <w:rFonts w:ascii="Arial" w:eastAsia="Calibri" w:hAnsi="Arial" w:cs="Arial"/>
        </w:rPr>
        <w:t xml:space="preserve"> </w:t>
      </w:r>
      <w:r w:rsidR="006359D8" w:rsidRPr="006359D8">
        <w:rPr>
          <w:rFonts w:ascii="Arial" w:eastAsia="Calibri" w:hAnsi="Arial" w:cs="Arial"/>
        </w:rPr>
        <w:t>Agência para a Competitividade e Inovação</w:t>
      </w:r>
      <w:r w:rsidRPr="000C2B9C">
        <w:rPr>
          <w:rFonts w:ascii="Arial" w:eastAsia="Calibri" w:hAnsi="Arial" w:cs="Arial"/>
        </w:rPr>
        <w:t>, I. P. (IAPMEI, I. P.).</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primeiro dos dois, o PER, foi instituído pela Lei n.º 16/2012, de 20/04 e incorporado no CIRE (Código da Insolvência e da Recuperação de Empresas), </w:t>
      </w:r>
      <w:r w:rsidR="006373B7">
        <w:rPr>
          <w:rFonts w:ascii="Arial" w:eastAsia="Calibri" w:hAnsi="Arial" w:cs="Arial"/>
        </w:rPr>
        <w:t xml:space="preserve">aprovado pelo </w:t>
      </w:r>
      <w:r w:rsidRPr="000C2B9C">
        <w:rPr>
          <w:rFonts w:ascii="Arial" w:eastAsia="Calibri" w:hAnsi="Arial" w:cs="Arial"/>
        </w:rPr>
        <w:t>DL n.º 53/2004, de 18 de Março</w:t>
      </w:r>
      <w:r w:rsidR="006373B7">
        <w:rPr>
          <w:rFonts w:ascii="Arial" w:eastAsia="Calibri" w:hAnsi="Arial" w:cs="Arial"/>
        </w:rPr>
        <w:t>,</w:t>
      </w:r>
      <w:r w:rsidRPr="000C2B9C">
        <w:rPr>
          <w:rFonts w:ascii="Arial" w:eastAsia="Calibri" w:hAnsi="Arial" w:cs="Arial"/>
        </w:rPr>
        <w:t xml:space="preserve"> </w:t>
      </w:r>
      <w:r w:rsidR="006373B7">
        <w:rPr>
          <w:rFonts w:ascii="Arial" w:eastAsia="Calibri" w:hAnsi="Arial" w:cs="Arial"/>
        </w:rPr>
        <w:t>i</w:t>
      </w:r>
      <w:r w:rsidRPr="000C2B9C">
        <w:rPr>
          <w:rFonts w:ascii="Arial" w:eastAsia="Calibri" w:hAnsi="Arial" w:cs="Arial"/>
        </w:rPr>
        <w:t xml:space="preserve">ntegrou aquele código através dos artigos 17º A a 17º I. Acrescente-se que este plano não é permitido aos singulares conforme acórdão do </w:t>
      </w:r>
      <w:bookmarkStart w:id="44" w:name="_Hlk499676263"/>
      <w:r w:rsidRPr="000C2B9C">
        <w:rPr>
          <w:rFonts w:ascii="Arial" w:eastAsia="Calibri" w:hAnsi="Arial" w:cs="Arial"/>
        </w:rPr>
        <w:t>STJ (Supremo Tribunal de Justiça</w:t>
      </w:r>
      <w:bookmarkEnd w:id="44"/>
      <w:r w:rsidRPr="000C2B9C">
        <w:rPr>
          <w:rFonts w:ascii="Arial" w:eastAsia="Calibri" w:hAnsi="Arial" w:cs="Arial"/>
        </w:rPr>
        <w:t>), processo 1224/16.4T8VNG.P1.S1, de 7 de Março de 2017,</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O regime jurídico do PER não é aplicável às pessoas singulares, que não exerçam a sua actividade profissional como agentes económicos.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A estas é apenas possível o recurso ao processo de insolvência e neste podem socorrer-se do plano de pagamentos aludido nos artigos 249º a 251º do CIRE, expediente este, mais célere e expedito, destinado a ser utilizado, precisamente, por pessoas singulares não empresárias e titulares de pequenas empresas.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III. A circunstância de o Requerente ser sócio e gestor de empresas, não lhe atribui a qualidade de comerciante."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e do qual este acórdão faz menção no mesmo sentido da jurisprudência em vigor ao acórdão do STJ processo 65/16.3T8STR.E1.S1, de 18 de Agosto de 2016,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Constitui jurisprudência reiterada do STJ o entendimento de que o processo especial de revitalização não é aplicável a trabalhadores subordinados.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 O velho brocardo “onde a lei não distingue, não podemos distinguir” não deve, modernamente, ser tomado à letra e não é impedimento para uma interpretação teleológica da lei, impondo apenas um ónus de fundamentação quando o intérprete pretende introduzir diferenciações que não resultam directamente da letra da lei.</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 Tal fundamentação resulta do escopo que o legislador atribuiu ao processo especial de revitalização e que transparece nos próprios trabalhos preparatórios, qual seja, o de reorientar o CIRE para a promoção da recuperação, privilegiando-se sempre que possível a manutenção do devedor no giro comercial.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IV - Este escopo não é coerente com a aplicação do processo especial de revitalização a trabalhadores por conta de outrem. Uma vez que a declaração de insolvência dos trabalhadores subordinados não faz cessar os seus contratos de trabalho, “não se entende em que poderia consistir a sua revitalização económica, a não ser num perdão parcial das respectivas dívidas” (Ac. do STJ de 12-04-2016), numa recuperação, em suma, não da sua actividade, mas da sua capacidade de endividamento.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V - Seria pouco coerente uma lei que, sendo tão exigente em matéria de exoneração do passivo restante do devedor insolvente, permitisse com a amplitude que o processo especial de revitalização proporciona, o referido perdão parcial de dívidas, sempre sem estar em causa evitar o desaparecimento de um agente económico e o concomitante empobrecimento do tecido empresarial."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caso do SIREVE, o seu âmbito abrange as empresas e os empresários em nome individual que possuam contabilidade organizada, conforme nº5 do artigo 2º do Decreto-Lei n.º 178/2012, de 3 de agosto, que criou o SIREVE.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"Para efeitos do presente diploma, a noção de empresa abrange somente as sociedades comerciais e os empresários em nome individual que possuam contabilidade organizada."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Ambos os planos surgem em 2012, numa conjuntura económica do país, muito difícil</w:t>
      </w:r>
      <w:r w:rsidRPr="000C2B9C">
        <w:rPr>
          <w:rFonts w:ascii="Arial" w:eastAsia="Calibri" w:hAnsi="Arial" w:cs="Arial"/>
          <w:vertAlign w:val="superscript"/>
        </w:rPr>
        <w:footnoteReference w:id="34"/>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Nesse sentido, o Estado com a entrada destes dois planos para a recuperação das empresas, alterou o artigo 196º do CPPT, que anteriormente previa para situações semelhantes,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"Quando, no âmbito de processo de recuperação económica se demonstre a indispensabilidade da medida e, ainda, quando os riscos inerentes à recuperação dos créditos o tornem recomendável, a administração tributária pode estabelecer que o regime prestacional seja alargado até ao dobro do limite máximo previsto no número anterior, com a observância das condições previstas nos n.os 3 e 6."</w:t>
      </w:r>
      <w:r w:rsidRPr="000C2B9C">
        <w:rPr>
          <w:rFonts w:ascii="Arial" w:eastAsia="Calibri" w:hAnsi="Arial" w:cs="Arial"/>
          <w:i/>
          <w:vertAlign w:val="superscript"/>
        </w:rPr>
        <w:footnoteReference w:id="35"/>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a partir desta data com a redação dada pela Lei n.º 64-B/2011, de 30 de Dezembro, aos nºs. 6 e 7 do artigo 196º do CPPT, integrou a possibilidade destes planos poderem ser pagos no processo de execução fiscal,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"6 - Quando, no âmbito de plano de recuperação económica legalmente previsto, se demonstre a indispensabilidade da medida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número anterior.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i/>
        </w:rPr>
        <w:t xml:space="preserve">7 - A importância a dividir em prestações não compreende os juros de mora, que continuam a vencer-se em relação à dívida exequenda incluída em cada prestação e até integral pagamento, os quais serão incluídos na guia passada pelo funcionário para pagamento conjuntamente com a prestação."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Já no decurso deste trabalho, com a Lei 100/2017, de 28 de Agosto, alterações importantes foram efectuadas. Antes de </w:t>
      </w:r>
      <w:r w:rsidR="006373B7">
        <w:rPr>
          <w:rFonts w:ascii="Arial" w:eastAsia="Calibri" w:hAnsi="Arial" w:cs="Arial"/>
        </w:rPr>
        <w:t xml:space="preserve">nos </w:t>
      </w:r>
      <w:r w:rsidRPr="000C2B9C">
        <w:rPr>
          <w:rFonts w:ascii="Arial" w:eastAsia="Calibri" w:hAnsi="Arial" w:cs="Arial"/>
        </w:rPr>
        <w:t>centrar</w:t>
      </w:r>
      <w:r w:rsidR="006373B7">
        <w:rPr>
          <w:rFonts w:ascii="Arial" w:eastAsia="Calibri" w:hAnsi="Arial" w:cs="Arial"/>
        </w:rPr>
        <w:t>mos</w:t>
      </w:r>
      <w:r w:rsidRPr="000C2B9C">
        <w:rPr>
          <w:rFonts w:ascii="Arial" w:eastAsia="Calibri" w:hAnsi="Arial" w:cs="Arial"/>
        </w:rPr>
        <w:t xml:space="preserve"> naquela que já é a norma em vigor, importa fazer algumas considerações. O SIREVE tem por fim, como preceituado, no artigo 1º do DL n.º 178/2012, de 03 de Agosto, estabelecer um acordo, mediado pelo IAPMEI, e do qual não existe necessidade de homologação judicial,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"O presente diploma cria o Sistema de Recuperação de Empresas por Via Extrajudicial (SIREVE), que constitui um procedimento que visa promover a recuperação extrajudicial de empresas, através da celebração de um acordo entre a empresa e todos ou alguns dos seus credores, que viabilize a sua recuperação e assegure a sua sustentabilidade."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 xml:space="preserve"> A participação do IAPMEI, consiste no acompanhamento e promoção de acordo entre o devedor e os credores conforme o nº1 do artigo 8º do DL n.º 178/2012, de 03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"Sem prejuízo dos contactos diretos entre os interessados, o IAPMEI, I. P., acompanha as negociações, podendo promover a participação de outras entidades no SIREVE para além das indicadas pela empresa, designadamente, os credores que tenham instaurado contra a empresa ações executivas para pagamento de quantia certa ou quaisquer outras ações destinadas a exigir o cumprimento de obrigações pecuniárias, bem como as entidades com competências legais, conhecimento ou experiência sectorialmente relevantes."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participação da Autoridade Tributária</w:t>
      </w:r>
      <w:r w:rsidRPr="000C2B9C">
        <w:rPr>
          <w:rFonts w:ascii="Arial" w:eastAsia="Calibri" w:hAnsi="Arial" w:cs="Arial"/>
          <w:vertAlign w:val="superscript"/>
        </w:rPr>
        <w:footnoteReference w:id="36"/>
      </w:r>
      <w:r w:rsidRPr="000C2B9C">
        <w:rPr>
          <w:rFonts w:ascii="Arial" w:eastAsia="Calibri" w:hAnsi="Arial" w:cs="Arial"/>
        </w:rPr>
        <w:t>, bem como da Segurança Social, é regulada pelo artigo 9º</w:t>
      </w:r>
      <w:r w:rsidRPr="000C2B9C">
        <w:rPr>
          <w:rFonts w:ascii="Arial" w:eastAsia="Calibri" w:hAnsi="Arial" w:cs="Arial"/>
          <w:vertAlign w:val="superscript"/>
        </w:rPr>
        <w:footnoteReference w:id="37"/>
      </w:r>
      <w:r w:rsidRPr="000C2B9C">
        <w:rPr>
          <w:rFonts w:ascii="Arial" w:eastAsia="Calibri" w:hAnsi="Arial" w:cs="Arial"/>
        </w:rPr>
        <w:t xml:space="preserve"> do DL n.º 178/2012, de 03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"1 - Sempre que relacionados no requerimento de utilização do SIREVE, é obrigatória a participação no SIREVE da Fazenda Pública e da Segurança Social, sem prejuízo destas entidades poderem fundamentadamente manifestar a sua indisponibilidade para a celebração de acordo.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3 - A Fazenda Pública e a Segurança Social indicam, individualmente, as condições de regularização dos respetivos créditos.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4 - A dívida englobada no plano de pagamentos compreende a dívida relativa à Fazenda Pública e à Segurança Social, apurada e existente até à data de aceitação do requerimento de utilização do SIREVE, incluindo, nomeadamente, a quantia exequenda, os juros e as coimas.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5 - O plano de pagamentos tem como limite máximo o legalmente previsto."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6 - Na falta de pagamento pontual de novas dívidas à Fazenda Pública ou à Segurança Social, que se vençam após aceitação do requerimento de utilização do SIREVE, aquelas entidades podem fazer cessar a sua participação neste procedimento.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De salientar que a AT e a Segurança Social estão obrigados a participar nas negociações, desde que sejam nomeados como credores no requerimento de utilização do SIREVE, conforme o nº1 do artigo 9º e que conforme o nº5 ambos do DL n.º 178/2012, de 03 de Agosto, o plano de pagamentos pode atingir as 150 prestações, o que justifica a alteração dada ao nº6 do artigo 196º do CPPT, pela Lei n.º 64-B/2011, de </w:t>
      </w:r>
      <w:r w:rsidRPr="000C2B9C">
        <w:rPr>
          <w:rFonts w:ascii="Arial" w:eastAsia="Calibri" w:hAnsi="Arial" w:cs="Arial"/>
        </w:rPr>
        <w:lastRenderedPageBreak/>
        <w:t>30 de Dezembro, ao permitir o alargamento das prestações em execução fiscal até às 150 prestações.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Finalmente e no que ao SIREVE diz respeito, atente-se ao preceituado no artigo 17º do diploma que institui o SIREVE e que impede em caso de falta de acordo ou incumprimento desse mesmo acordo as empresas de apresentarem novo acordo,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"As empresas que não obtenham acordo no procedimento, não cumpram as obrigações decorrentes de acordo celebrado, ou requeiram a extinção do procedimento, ficam impedidas, pelo prazo de dois anos a contar da data do despacho de aceitação do requerimento, de apresentar novo requerimento a pedir a utilização do SIREVE."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rPr>
        <w:t>No entanto poderão conforme o nº 6 do artigo 18º do DL n.º 178/2012, de 03 de Agosto, recorrer ao PER</w:t>
      </w:r>
      <w:r w:rsidRPr="000C2B9C">
        <w:rPr>
          <w:rFonts w:ascii="Arial" w:eastAsia="Calibri" w:hAnsi="Arial" w:cs="Arial"/>
          <w:vertAlign w:val="superscript"/>
        </w:rPr>
        <w:footnoteReference w:id="38"/>
      </w:r>
      <w:r w:rsidRPr="000C2B9C">
        <w:rPr>
          <w:rFonts w:ascii="Arial" w:eastAsia="Calibri" w:hAnsi="Arial" w:cs="Arial"/>
        </w:rPr>
        <w:t>.</w:t>
      </w:r>
      <w:r w:rsidRPr="000C2B9C">
        <w:rPr>
          <w:rFonts w:ascii="Arial" w:eastAsia="Calibri" w:hAnsi="Arial" w:cs="Arial"/>
          <w:i/>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Importa ainda abordar as especificidades do PER, aspeto essencial para melhor</w:t>
      </w:r>
      <w:r w:rsidR="00D275D6">
        <w:rPr>
          <w:rFonts w:ascii="Arial" w:eastAsia="Calibri" w:hAnsi="Arial" w:cs="Arial"/>
        </w:rPr>
        <w:t xml:space="preserve"> </w:t>
      </w:r>
      <w:r w:rsidRPr="000C2B9C">
        <w:rPr>
          <w:rFonts w:ascii="Arial" w:eastAsia="Calibri" w:hAnsi="Arial" w:cs="Arial"/>
        </w:rPr>
        <w:t>entendimento do procedimento tributário, que envolve estes planos especiais e as mais recentes alterações normativas ao CPPT. Não é nosso propósito, tratar o processo de insolvência, pelo que apenas nos iremos cingir</w:t>
      </w:r>
      <w:r w:rsidR="00D275D6">
        <w:rPr>
          <w:rFonts w:ascii="Arial" w:eastAsia="Calibri" w:hAnsi="Arial" w:cs="Arial"/>
        </w:rPr>
        <w:t xml:space="preserve"> à temática</w:t>
      </w:r>
      <w:r w:rsidRPr="000C2B9C">
        <w:rPr>
          <w:rFonts w:ascii="Arial" w:eastAsia="Calibri" w:hAnsi="Arial" w:cs="Arial"/>
        </w:rPr>
        <w:t xml:space="preserve">, </w:t>
      </w:r>
      <w:r w:rsidR="00D275D6">
        <w:rPr>
          <w:rFonts w:ascii="Arial" w:eastAsia="Calibri" w:hAnsi="Arial" w:cs="Arial"/>
        </w:rPr>
        <w:t>d</w:t>
      </w:r>
      <w:r w:rsidRPr="000C2B9C">
        <w:rPr>
          <w:rFonts w:ascii="Arial" w:eastAsia="Calibri" w:hAnsi="Arial" w:cs="Arial"/>
        </w:rPr>
        <w:t xml:space="preserve">os planos de pagamentos em prestações e </w:t>
      </w:r>
      <w:r w:rsidR="00D275D6">
        <w:rPr>
          <w:rFonts w:ascii="Arial" w:eastAsia="Calibri" w:hAnsi="Arial" w:cs="Arial"/>
        </w:rPr>
        <w:t xml:space="preserve">prestação de </w:t>
      </w:r>
      <w:r w:rsidRPr="000C2B9C">
        <w:rPr>
          <w:rFonts w:ascii="Arial" w:eastAsia="Calibri" w:hAnsi="Arial" w:cs="Arial"/>
        </w:rPr>
        <w:t>garantias. O nº</w:t>
      </w:r>
      <w:r w:rsidR="00D275D6">
        <w:rPr>
          <w:rFonts w:ascii="Arial" w:eastAsia="Calibri" w:hAnsi="Arial" w:cs="Arial"/>
        </w:rPr>
        <w:t xml:space="preserve"> </w:t>
      </w:r>
      <w:r w:rsidRPr="000C2B9C">
        <w:rPr>
          <w:rFonts w:ascii="Arial" w:eastAsia="Calibri" w:hAnsi="Arial" w:cs="Arial"/>
        </w:rPr>
        <w:t>1 e nº</w:t>
      </w:r>
      <w:r w:rsidR="00D275D6">
        <w:rPr>
          <w:rFonts w:ascii="Arial" w:eastAsia="Calibri" w:hAnsi="Arial" w:cs="Arial"/>
        </w:rPr>
        <w:t xml:space="preserve"> </w:t>
      </w:r>
      <w:r w:rsidRPr="000C2B9C">
        <w:rPr>
          <w:rFonts w:ascii="Arial" w:eastAsia="Calibri" w:hAnsi="Arial" w:cs="Arial"/>
        </w:rPr>
        <w:t>2 do artigo 17º A, do CIRE</w:t>
      </w:r>
      <w:r w:rsidRPr="000C2B9C">
        <w:rPr>
          <w:rFonts w:ascii="Arial" w:eastAsia="Calibri" w:hAnsi="Arial" w:cs="Arial"/>
          <w:vertAlign w:val="superscript"/>
        </w:rPr>
        <w:footnoteReference w:id="39"/>
      </w:r>
      <w:r w:rsidRPr="000C2B9C">
        <w:rPr>
          <w:rFonts w:ascii="Arial" w:eastAsia="Calibri" w:hAnsi="Arial" w:cs="Arial"/>
        </w:rPr>
        <w:t>, não limita o PER às empresas em processo de insolvência, permitindo que as empresas que não estejam em processo de insolvência, mas cuja sua debilidade económica seja elevada possam recorrer também.</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"1 - O processo especial de revitalização destina-se a permitir à empresa que, comprovadamente, se encontre em situação económica difícil ou em situação de insolvência meramente iminente, mas que ainda seja suscetível de recuperação, estabelecer negociações com os respetivos credores de modo a concluir com este acordo conducente à sua revitalização.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O processo referido no número anterior pode ser utilizado por qualquer empresa que, mediante declaração escrita e assinada, ateste que reúne as condições necessárias para a sua recuperação e apresente declaração subscrita, há não mais de 30 dias, por contabilista certificado ou por revisor oficial de contas, sempre que a revisão de contas seja legalmente exigida, atestando que não se encontra em situação de insolvência atual, à luz dos critérios previstos no artigo 3.º"</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O referido no nº</w:t>
      </w:r>
      <w:r w:rsidR="00D275D6">
        <w:rPr>
          <w:rFonts w:ascii="Arial" w:eastAsia="Calibri" w:hAnsi="Arial" w:cs="Arial"/>
        </w:rPr>
        <w:t xml:space="preserve"> </w:t>
      </w:r>
      <w:r w:rsidRPr="000C2B9C">
        <w:rPr>
          <w:rFonts w:ascii="Arial" w:eastAsia="Calibri" w:hAnsi="Arial" w:cs="Arial"/>
        </w:rPr>
        <w:t>2 é de extrema importância, havendo já jurisprudência do STJ, conforme acórdão nº 741/16.0T8LRA-A.C1.S1, de 27 de outubro de 2016</w:t>
      </w:r>
      <w:r w:rsidR="00D275D6">
        <w:rPr>
          <w:rFonts w:ascii="Arial" w:eastAsia="Calibri" w:hAnsi="Arial" w:cs="Arial"/>
        </w:rPr>
        <w:t>, a referir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O juiz pode recusar a homologação do acordo de recuperação firmado no âmbito do PER quando os elementos factuais constantes do processo revelem inequivocamente que o devedor se encontra numa situação de insolvência atual.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As negociações a desenvolver no âmbito do PER devem visar a um plano de recuperação viável e credível, ou seja, exequível.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Plano que seja aprovado em desconformidade patente ou manifesta com tais pressupostos, é um plano inatendível e insuscetível de ser homologado, nomeadamente por eivado de abuso do direito na perspetiva do seu fim social ou económico."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Quanto às garantias em sede do PER, respeitam o preceituado no artigo 17º-H, do CIRE, do qual o nº 1 é o mais importante para a Fazenda Pública, não sendo de desconsiderar o nº2, ainda que não seja uma atuação do Estado, mas em certas circunstâncias a atuação de outros credores com o disposto no nº2 poderá condicionar o ressarcimento das dívidas ao Estado.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"1 - As garantias convencionadas entre a empresa e os seus credores durante o processo especial de revitalização, com a finalidade de proporcionar àquela os necessários meios financeiros para o desenvolvimento da sua atividade, mantêm-se mesmo que, findo o processo, venha a ser declarada, no prazo de dois anos, a sua insolvência.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Os credores que, no decurso do processo, financiem a atividade da empresa disponibilizando-lhe capital para a sua revitalização gozam de privilégio creditório mobiliário geral, graduado antes do privilégio creditório mobiliário geral concedido aos trabalhadores."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Resumindo para a Autoridade Tributária, as garantias seguem as regras da LGT e CPPT, podendo no entanto em certos casos ficar em posição inferior relativamente a outros credores, por força do disposto no nº2.</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é neste ponto das garantias que nos apraz fazer algumas considerações, até à entrada da lei nº 100/2017, de 28 de agosto, todos os devedores que se propunham à utilização do SIREVE, ou a um PER, mediante acordo com a AT, teriam à partida de constituir garantia. Este era o regime regra, não obstante a possibilidade da dispensa de garantia, conforme o disposto no artigo 170º do CPPT. No que respeita à dispensa de garantia do artigo 170º do CPPT, deixamos uma análise mais detalhada para o capítulo seguinte, precisamente sobre a sua dispensa.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Na norma vigente até ao final de agosto de 2017, quando da homologação do PER, pelo juiz e aceitação do mesmo por parte da AT, ficava maioritariamente pendente a questão da constituição de garantia. Ainda que na maioria dos casos a AT viabilizasse a homologação do PER ou o acordo de utilização do SIREVE, a constituição de garantia ficava pendente. Esta pendência prendia-se com duas situações, uma que tinha a ver com a votação no PER, ou requerimento de utilização do SIREVE. No caso do PER, normalmente era imposta como condição para o aval da AT, a constituição de garantia e no caso do SIREVE, fazia normalmente parte das condições prévias requeridas pela AT, atente-se que o SIREVE tem a seguinte particularidade: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"Findas as negociações, e caso se chegue a acordo, é redigido pelo IAPMEI o “acordo final” que será subscrito pelas partes envolvidas no processo negocial (empresa devedora, IAPMEI e pelos credores que votem a sua aprovação) e releva as respetivas condições de regularização (dívida reconhecida, período de carência, período de reembolso, juros aplicáveis e garantias prestadas, ou a prestar)."</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rPr>
        <w:t xml:space="preserve">Fonte sítio do IAPMEI, </w:t>
      </w:r>
      <w:hyperlink r:id="rId11" w:history="1">
        <w:r w:rsidRPr="000C2B9C">
          <w:rPr>
            <w:rFonts w:ascii="Arial" w:eastAsia="Calibri" w:hAnsi="Arial" w:cs="Arial"/>
            <w:color w:val="0563C1"/>
            <w:u w:val="single"/>
          </w:rPr>
          <w:t>https://www.iapmei.pt/getattachment/PRODUTOS-E-SERVICOS/Revitalizacao-Transmissao/Revitalizacao-Empresarial/SIREVE-Sistema-de-</w:t>
        </w:r>
      </w:hyperlink>
      <w:r w:rsidRPr="000C2B9C">
        <w:rPr>
          <w:rFonts w:ascii="Arial" w:eastAsia="Calibri" w:hAnsi="Arial" w:cs="Arial"/>
        </w:rPr>
        <w:t xml:space="preserve"> Recuperacao-de-Empresas-por-Vi/Perguntas-Frequentes-SIREVE.pdf.aspx</w:t>
      </w:r>
      <w:r w:rsidRPr="000C2B9C">
        <w:rPr>
          <w:rFonts w:ascii="Arial" w:eastAsia="Calibri" w:hAnsi="Arial" w:cs="Arial"/>
          <w:i/>
        </w:rPr>
        <w:cr/>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 constatar o SIREVE prevê a existência de condições prévias como são o caso das garantias prestadas. Nos requerimentos apresentados pelos contribuintes à AT, continham sempre a garantia a prestar ou pedido de dispensa da mesma.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Face ao exposto e à realidade existente até à entrada em vigor da lei nº 100/2017, de 28 de agosto, como dissemos o regime regra era o de apresentação de garantia, com a faculdade dada pelo nº</w:t>
      </w:r>
      <w:r w:rsidR="0027678B">
        <w:rPr>
          <w:rFonts w:ascii="Arial" w:eastAsia="Calibri" w:hAnsi="Arial" w:cs="Arial"/>
        </w:rPr>
        <w:t xml:space="preserve"> </w:t>
      </w:r>
      <w:r w:rsidRPr="000C2B9C">
        <w:rPr>
          <w:rFonts w:ascii="Arial" w:eastAsia="Calibri" w:hAnsi="Arial" w:cs="Arial"/>
        </w:rPr>
        <w:t>1 do artigo 42º da LGT, conjugado com os requisitos do artigo 198º do CPPT, com a medida excecional prevista no nº6 do artigo 196º do CPPT e as regras do artigo 199º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Antes de passarmos à análise das profundas alterações da lei nº 100/2017, de 28 de agosto, importa referir algo de importante e cuja reflexão irá entroncar na nova norma. Duas considerações têm de ser feitas, por um lado a viabilidade das empresas e a sua possível recuperação, por outro lado, a garantia do credor tributário.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No que concerne à recuperação das empresas e independentemente do regime do PER ou do SIREVE, de uma forma lógica, se as empresas recorrem a estes procedimentos </w:t>
      </w:r>
      <w:r w:rsidRPr="000C2B9C">
        <w:rPr>
          <w:rFonts w:ascii="Arial" w:eastAsia="Calibri" w:hAnsi="Arial" w:cs="Arial"/>
        </w:rPr>
        <w:lastRenderedPageBreak/>
        <w:t>é porque a sua viabilidade económica e/ou financeira se encontra débil</w:t>
      </w:r>
      <w:r w:rsidR="0027678B">
        <w:rPr>
          <w:rFonts w:ascii="Arial" w:eastAsia="Calibri" w:hAnsi="Arial" w:cs="Arial"/>
        </w:rPr>
        <w:t>itad</w:t>
      </w:r>
      <w:r w:rsidRPr="000C2B9C">
        <w:rPr>
          <w:rFonts w:ascii="Arial" w:eastAsia="Calibri" w:hAnsi="Arial" w:cs="Arial"/>
          <w:vertAlign w:val="superscript"/>
        </w:rPr>
        <w:footnoteReference w:id="40"/>
      </w:r>
      <w:r w:rsidRPr="000C2B9C">
        <w:rPr>
          <w:rFonts w:ascii="Arial" w:eastAsia="Calibri" w:hAnsi="Arial" w:cs="Arial"/>
        </w:rPr>
        <w:t>. Ora</w:t>
      </w:r>
      <w:r w:rsidR="0027678B">
        <w:rPr>
          <w:rFonts w:ascii="Arial" w:eastAsia="Calibri" w:hAnsi="Arial" w:cs="Arial"/>
        </w:rPr>
        <w:t>,</w:t>
      </w:r>
      <w:r w:rsidRPr="000C2B9C">
        <w:rPr>
          <w:rFonts w:ascii="Arial" w:eastAsia="Calibri" w:hAnsi="Arial" w:cs="Arial"/>
        </w:rPr>
        <w:t xml:space="preserve"> se uma empresa se propõe perante os seus credores para através de um acordo, seja ele judicial ou extra judicial a pagar as suas dívidas num período mais alargado, é porque não tem condições para solver essas mesmas dívidas num curto prazo, isso poderá dever-se a diversas circunstancias que poderão ser, condições difíceis de conjuntura do mercado em que está inserido, quer por atraso nos pagamentos dos clientes, ou pela falta dos mesmos para uma laboração dita normal; ou por uma restruturação da própria empresa para se adaptar às exigências do mercado ou ainda por necessidade de aplicar um avultado montante de capital intensivo para a modernização e adaptação a novas tecnologias</w:t>
      </w:r>
      <w:r w:rsidRPr="000C2B9C">
        <w:rPr>
          <w:rFonts w:ascii="Arial" w:eastAsia="Calibri" w:hAnsi="Arial" w:cs="Arial"/>
          <w:vertAlign w:val="superscript"/>
        </w:rPr>
        <w:footnoteReference w:id="41"/>
      </w:r>
      <w:r w:rsidRPr="000C2B9C">
        <w:rPr>
          <w:rFonts w:ascii="Arial" w:eastAsia="Calibri" w:hAnsi="Arial" w:cs="Arial"/>
        </w:rPr>
        <w:t>. Assim, a exigência de constituição de uma garantia pode ser altamente lesiva, ou de difícil concretização</w:t>
      </w:r>
      <w:r w:rsidRPr="000C2B9C">
        <w:rPr>
          <w:rFonts w:ascii="Arial" w:eastAsia="Calibri" w:hAnsi="Arial" w:cs="Arial"/>
          <w:vertAlign w:val="superscript"/>
        </w:rPr>
        <w:footnoteReference w:id="42"/>
      </w:r>
      <w:r w:rsidRPr="000C2B9C">
        <w:rPr>
          <w:rFonts w:ascii="Arial" w:eastAsia="Calibri" w:hAnsi="Arial" w:cs="Arial"/>
        </w:rPr>
        <w:t>, a menos que exista património mobiliário ou imobiliário para dar como garantia</w:t>
      </w:r>
      <w:r w:rsidRPr="000C2B9C">
        <w:rPr>
          <w:rFonts w:ascii="Arial" w:eastAsia="Calibri" w:hAnsi="Arial" w:cs="Arial"/>
          <w:vertAlign w:val="superscript"/>
        </w:rPr>
        <w:footnoteReference w:id="43"/>
      </w:r>
      <w:r w:rsidRPr="000C2B9C">
        <w:rPr>
          <w:rFonts w:ascii="Arial" w:eastAsia="Calibri" w:hAnsi="Arial" w:cs="Arial"/>
        </w:rPr>
        <w:t>. Queremos com isto afirmar a ideia de que a constituição de uma garantia nos termos previstos do nº 6 do artigo 199º CPPT, nem sempre é exequível, não obstante a dispensa prevista no artigo 170º, do mesmo diploma.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Por contraponto ao que anteriormente afirmámos, há que salvaguardar a posição do credor tributário, até porque este está sujeito à indisponibilidade do crédito tributário, por força do nº2 do artigo 30º da LGT. Queremos com isto sublinhar, que não deixa de ser um risco a inexistência de qualquer garantia.</w:t>
      </w:r>
      <w:r w:rsidRPr="000C2B9C">
        <w:rPr>
          <w:rFonts w:ascii="Arial" w:eastAsia="Calibri" w:hAnsi="Arial" w:cs="Arial"/>
          <w:vertAlign w:val="superscript"/>
        </w:rPr>
        <w:footnoteReference w:id="44"/>
      </w:r>
      <w:r w:rsidRPr="000C2B9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Conforme também defende Andreia Barbosa, "Neste sentido, consideramos que a garantia haverá de ser adequada a satisfazer o interesse do exequente, mas sem onerar ou afetar de forma grave os interesses legítimos do executado." (Barbosa,A., 2017:114)</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São estes pressupostos da dicotomia entre os interesses da empresa devedora e do credor público que nos levam à nova lei nº 100/2017, de 28 de agosto. Não havendo ainda nada de muito concreto escrito sobre esta lei,</w:t>
      </w:r>
      <w:r w:rsidRPr="000C2B9C">
        <w:rPr>
          <w:rFonts w:ascii="Arial" w:eastAsia="Calibri" w:hAnsi="Arial" w:cs="Arial"/>
          <w:vertAlign w:val="superscript"/>
        </w:rPr>
        <w:footnoteReference w:id="45"/>
      </w:r>
      <w:r w:rsidRPr="000C2B9C">
        <w:rPr>
          <w:rFonts w:ascii="Arial" w:eastAsia="Calibri" w:hAnsi="Arial" w:cs="Arial"/>
        </w:rPr>
        <w:t xml:space="preserve"> consideramos </w:t>
      </w:r>
      <w:r w:rsidRPr="000C2B9C">
        <w:rPr>
          <w:rFonts w:ascii="Arial" w:eastAsia="Calibri" w:hAnsi="Arial" w:cs="Arial"/>
          <w:i/>
        </w:rPr>
        <w:t xml:space="preserve">à priori </w:t>
      </w:r>
      <w:r w:rsidRPr="000C2B9C">
        <w:rPr>
          <w:rFonts w:ascii="Arial" w:eastAsia="Calibri" w:hAnsi="Arial" w:cs="Arial"/>
        </w:rPr>
        <w:t xml:space="preserve">que esta lei vem no sentido de defender os interesses das empresas devedoras e dificultar a ação </w:t>
      </w:r>
      <w:r w:rsidRPr="000C2B9C">
        <w:rPr>
          <w:rFonts w:ascii="Arial" w:eastAsia="Calibri" w:hAnsi="Arial" w:cs="Arial"/>
        </w:rPr>
        <w:lastRenderedPageBreak/>
        <w:t xml:space="preserve">da AT. Esta é uma afirmação da nossa responsabilidade </w:t>
      </w:r>
      <w:r w:rsidR="00E02F5E">
        <w:rPr>
          <w:rFonts w:ascii="Arial" w:eastAsia="Calibri" w:hAnsi="Arial" w:cs="Arial"/>
        </w:rPr>
        <w:t>qu</w:t>
      </w:r>
      <w:r w:rsidRPr="000C2B9C">
        <w:rPr>
          <w:rFonts w:ascii="Arial" w:eastAsia="Calibri" w:hAnsi="Arial" w:cs="Arial"/>
        </w:rPr>
        <w:t>e visa reforçar a ideia</w:t>
      </w:r>
      <w:r w:rsidR="00E02F5E">
        <w:rPr>
          <w:rFonts w:ascii="Arial" w:eastAsia="Calibri" w:hAnsi="Arial" w:cs="Arial"/>
        </w:rPr>
        <w:t xml:space="preserve"> que salientámos</w:t>
      </w:r>
      <w:r w:rsidRPr="000C2B9C">
        <w:rPr>
          <w:rFonts w:ascii="Arial" w:eastAsia="Calibri" w:hAnsi="Arial" w:cs="Arial"/>
        </w:rPr>
        <w:t xml:space="preserve"> quando frisa</w:t>
      </w:r>
      <w:r w:rsidR="00E02F5E">
        <w:rPr>
          <w:rFonts w:ascii="Arial" w:eastAsia="Calibri" w:hAnsi="Arial" w:cs="Arial"/>
        </w:rPr>
        <w:t>mos</w:t>
      </w:r>
      <w:r w:rsidRPr="000C2B9C">
        <w:rPr>
          <w:rFonts w:ascii="Arial" w:eastAsia="Calibri" w:hAnsi="Arial" w:cs="Arial"/>
        </w:rPr>
        <w:t xml:space="preserve"> as dificuldades das empresas para </w:t>
      </w:r>
      <w:r w:rsidR="00E02F5E">
        <w:rPr>
          <w:rFonts w:ascii="Arial" w:eastAsia="Calibri" w:hAnsi="Arial" w:cs="Arial"/>
        </w:rPr>
        <w:t>proceder à</w:t>
      </w:r>
      <w:r w:rsidRPr="000C2B9C">
        <w:rPr>
          <w:rFonts w:ascii="Arial" w:eastAsia="Calibri" w:hAnsi="Arial" w:cs="Arial"/>
        </w:rPr>
        <w:t xml:space="preserve"> constituição de garantias, obrigação que pode causar vários prejuízos e/ou dificuldades, mas</w:t>
      </w:r>
      <w:r w:rsidR="00E02F5E">
        <w:rPr>
          <w:rFonts w:ascii="Arial" w:eastAsia="Calibri" w:hAnsi="Arial" w:cs="Arial"/>
        </w:rPr>
        <w:t>,</w:t>
      </w:r>
      <w:r w:rsidRPr="000C2B9C">
        <w:rPr>
          <w:rFonts w:ascii="Arial" w:eastAsia="Calibri" w:hAnsi="Arial" w:cs="Arial"/>
        </w:rPr>
        <w:t xml:space="preserve"> por outro lado</w:t>
      </w:r>
      <w:r w:rsidR="00E02F5E">
        <w:rPr>
          <w:rFonts w:ascii="Arial" w:eastAsia="Calibri" w:hAnsi="Arial" w:cs="Arial"/>
        </w:rPr>
        <w:t>,</w:t>
      </w:r>
      <w:r w:rsidRPr="000C2B9C">
        <w:rPr>
          <w:rFonts w:ascii="Arial" w:eastAsia="Calibri" w:hAnsi="Arial" w:cs="Arial"/>
        </w:rPr>
        <w:t xml:space="preserve"> há também que defender as posições dos credores em geral</w:t>
      </w:r>
      <w:r w:rsidR="00E02F5E">
        <w:rPr>
          <w:rFonts w:ascii="Arial" w:eastAsia="Calibri" w:hAnsi="Arial" w:cs="Arial"/>
        </w:rPr>
        <w:t>,</w:t>
      </w:r>
      <w:r w:rsidRPr="000C2B9C">
        <w:rPr>
          <w:rFonts w:ascii="Arial" w:eastAsia="Calibri" w:hAnsi="Arial" w:cs="Arial"/>
        </w:rPr>
        <w:t xml:space="preserve"> e do credor público, em particular</w:t>
      </w:r>
      <w:r w:rsidR="00E02F5E">
        <w:rPr>
          <w:rFonts w:ascii="Arial" w:eastAsia="Calibri" w:hAnsi="Arial" w:cs="Arial"/>
        </w:rPr>
        <w:t>,</w:t>
      </w:r>
      <w:r w:rsidRPr="000C2B9C">
        <w:rPr>
          <w:rFonts w:ascii="Arial" w:eastAsia="Calibri" w:hAnsi="Arial" w:cs="Arial"/>
        </w:rPr>
        <w:t xml:space="preserve"> e numa primeira análise parece-nos que esta lei vem inverter os pesos de cada um dos pratos da balança. Finalizamos estas afirmações, de que não se trata de tomar posição por qualquer da partes mas sim alertar para o mérito da norma.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Analisemos</w:t>
      </w:r>
      <w:r w:rsidR="00E02F5E">
        <w:rPr>
          <w:rFonts w:ascii="Arial" w:eastAsia="Calibri" w:hAnsi="Arial" w:cs="Arial"/>
        </w:rPr>
        <w:t>,</w:t>
      </w:r>
      <w:r w:rsidRPr="000C2B9C">
        <w:rPr>
          <w:rFonts w:ascii="Arial" w:eastAsia="Calibri" w:hAnsi="Arial" w:cs="Arial"/>
        </w:rPr>
        <w:t xml:space="preserve"> agora, em concreto as medidas tomadas por esta lei no que respeita às alterações aos artigos, 196º e 199º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196º do CPPT, que se refere ao pagamento em prestações e outras medidas sofreu alterações profundas, assim com a Lei nº 100/2017, de 28 de agosto, tendo atualmente a seguinte redação: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Artigo 196.º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Pagamento em prestações e outras medidas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As dívidas exigíveis em processo executivo podem ser pagas em prestações mensais e iguais, mediante requerimento a dirigir, até à marcação da venda, ao órgão da execução fiscal. (Redacção dada pela Lei n.º 64-B/2011, de 30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O disposto no número anterior não é aplicável às dívidas de recursos próprios comunitários e às dívidas resultantes da falta de entrega, dentro dos respectivos prazos legais, de imposto retido na fonte ou legalmente repercutido a terceiros, salvo em caso de falecimento do executado (Redacção dada pela Lei n.º 64-B/2011, de 30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3 - É excepcionalmente admitida a possibilidade de pagamento em prestações das dívidas referidas no número anterior, sem prejuízo da responsabilidade contra-ordenacional ou criminal que ao caso couber, quando: (Redacção dada pela Lei n.º 64-B/2011, de 30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O pagamento em prestações se inclua em plano de recuperação no âmbito de processo de insolvência ou de processo especial de revitalização, ou em acordo sujeito ao regime extrajudicial de recuperação de empresas em execução ou em negociação, e decorra do plano ou do acordo, consoante o caso, a imprescindibilidade da medida, podendo neste caso haver lugar a dispensa da obrigação de substituição dos administradores ou gerentes, se tal for tido como adequado pela entidade competente para autorizar o plano; ou (Redação da Lei n.º 100/2017, de 28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b) Se demonstre a dificuldade financeira excecional e previsíveis consequências económicas gravosas, não podendo o número das prestações mensais exceder 24 e o valor de qualquer delas ser inferior a 1 unidade de conta no momento da autorização. (Redacção da Lei n.º 66-B/2012, de 31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4 - O pagamento em prestações pode ser autorizado desde que se verifique que o executado, pela sua situação económica, não pode solver a dívida de uma só vez, não devendo o número das prestações em caso algum exceder 36 e o valor de qualquer delas ser inferior a 1 unidade de conta no momento da autorização. (Anterior nº 5 - Redacção dada pela Lei n.º 64-B/2011, de 30 de Dezembro)</w:t>
      </w:r>
    </w:p>
    <w:p w:rsidR="000C2B9C" w:rsidRPr="000C2B9C" w:rsidRDefault="000C2B9C" w:rsidP="000C2B9C">
      <w:pPr>
        <w:spacing w:before="120" w:after="120" w:line="360" w:lineRule="auto"/>
        <w:jc w:val="both"/>
        <w:rPr>
          <w:rFonts w:ascii="Arial" w:eastAsia="Calibri" w:hAnsi="Arial" w:cs="Arial"/>
          <w:i/>
        </w:rPr>
      </w:pP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5 - Nos casos em que se demonstre notória dificuldade financeira e previsíveis consequências económicas para os devedores, poderá ser alargado o número de prestações mensais até 5 anos, se a dívida exequenda exceder 500 unidades de conta no momento da autorização, não podendo então nenhuma delas ser inferior a 10 unidades da conta. (Anterior n.º 6 - Renumeração dada pela Lei n.º 53-A/2006, de 29/12)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6 - Quando, para efeitos de plano de recuperação a aprovar no âmbito de processo de insolvência ou de processo especial de revitalização, ou de acordo a sujeitar ao regime extrajudicial de recuperação de empresas do qual a administração tributária seja parte, se demonstre a indispensabilidade da medida,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número anterior. (Redação da Lei n.º 100/2017, de 28 de agosto)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7 - Quando o executado esteja a cumprir plano de recuperação aprovado no âmbito de processo de insolvência ou de processo especial de revitalização, ou acordo sujeito ao regime extrajudicial de recuperação de empresas, e demonstre a indispensabilidade de acordar um plano prestacional relativo a dívida exigível em processo executivo não incluída no plano ou acordo em execução, mas respeitante a facto tributário anterior à data de aprovação do plano ou de celebração do acordo,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n.º 5. (Redação da Lei n.º 100/2017, de 28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8 - A importância a dividir em prestações não compreende os juros de mora, que continuam a vencer-se em relação à dívida exequenda incluída em cada prestação e </w:t>
      </w:r>
      <w:r w:rsidRPr="000C2B9C">
        <w:rPr>
          <w:rFonts w:ascii="Arial" w:eastAsia="Calibri" w:hAnsi="Arial" w:cs="Arial"/>
          <w:i/>
        </w:rPr>
        <w:lastRenderedPageBreak/>
        <w:t>até integral pagamento, os quais serão incluídos na guia passada pelo funcionário para pagamento conjuntamente com a prestação. (Anterior n.º 7 - Renumerado pela Lei n.º 100/2017, de 28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9 - Podem beneficiar do regime previsto neste artigo os terceiros que assumam a dívida, ainda que o seu pagamento em prestações se encontre autorizado, desde que obtenham autorização do devedor ou provem interesse legítimo e prestem, em qualquer circunstância, garantias através dos meios previstos no n.º 1 do artigo 199.º (Anterior n.º 8 - Renumerado pela Lei n.º 100/2017, de 28 de agosto)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10 - A assunção da dívida nos termos do número anterior não exonera o antigo devedor, respondendo este solidariamente com o novo devedor, e, em caso de incumprimento, o processo de execução fiscal prosseguirá os seus termos contra o novo devedor. (Anterior n.º 9 - Renumerado pela Lei n.º 100/2017, de 28 de agosto)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11 - O despacho de aceitação de assunção de dívida e das garantias apresentadas pelo novo devedor para suspensão da execução fiscal pode determinar a extinção das garantias constituídas e ou apresentadas pelo antigo devedor. (Anterior n.º 10 - Renumerado pela Lei n.º 100/2017, de 28 de agosto)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12 - O novo devedor ficará sub-rogado nos direitos referidos no n.º 1 do artigo 92.º após a regularização da dívida, nos termos e condições previstos no presente artigo. (Anterior n.º 11 - Renumerado pela Lei n.º 100/2017, de 28 de agosto)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13 - O disposto neste artigo não poderá aplicar-se a nenhum caso de pagamento por sub-rogação. (Anterior n.º 12 - Renumerado pela Lei n.º 100/2017, de 28 de agosto)"</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nº1 deste artigo 196º do CPPT, possibilita os pagamentos em regime prestacional e pode ser requerido pelo devedor atá à marcação da venda. Com a alteração dada pela redação da Lei n.º 64-B/2011, de 30 de Dezembro, tornou-se possível, o pedido atá â marcação de bens penhoráveis, em vez de ser requerido o pagamento em prestações, apenas e só, até ao prazo da oposição, ou seja trinta dias após a citação.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este respeito atente-se ao acórdão do STA, </w:t>
      </w:r>
      <w:r w:rsidR="00E02F5E">
        <w:rPr>
          <w:rFonts w:ascii="Arial" w:eastAsia="Calibri" w:hAnsi="Arial" w:cs="Arial"/>
        </w:rPr>
        <w:t xml:space="preserve">proferido no </w:t>
      </w:r>
      <w:r w:rsidRPr="000C2B9C">
        <w:rPr>
          <w:rFonts w:ascii="Arial" w:eastAsia="Calibri" w:hAnsi="Arial" w:cs="Arial"/>
        </w:rPr>
        <w:t xml:space="preserve">processo nº 042/16, de 27 de janeiro de 2016,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Após 1 de Janeiro de 2012, com a entrada em vigor da redacção dada ao n.º 1 do artigo. 196.º do CPPT pela Lei n.º 64-B/2011, de 30 de Dezembro (OE para 2012), passou a ser possível pedir o pagamento da dívida exequenda em prestações até à marcação da venda.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II - Porque a norma do n.º 1 do artigo. 196.º do CPPT tem natureza processual, a nova redacção é de aplicação imediata em todos os processos de execução fiscal pendentes em 1 de Janeiro de 2012, desde que não esteja ainda notificada ao executado a data marcada para a venda.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 O regime especial previsto no n.º 8 do artigo. 189.º do CPPT não se opõe, mas antes complementa, o regime-regra do n.º 1 do artigo. 196.º do mesmo código."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w:t>
      </w:r>
      <w:r w:rsidR="00E02F5E">
        <w:rPr>
          <w:rFonts w:ascii="Arial" w:eastAsia="Calibri" w:hAnsi="Arial" w:cs="Arial"/>
        </w:rPr>
        <w:t xml:space="preserve"> </w:t>
      </w:r>
      <w:r w:rsidRPr="000C2B9C">
        <w:rPr>
          <w:rFonts w:ascii="Arial" w:eastAsia="Calibri" w:hAnsi="Arial" w:cs="Arial"/>
        </w:rPr>
        <w:t>2 excluiu do regime prestacional "...</w:t>
      </w:r>
      <w:r w:rsidRPr="000C2B9C">
        <w:rPr>
          <w:rFonts w:ascii="Arial" w:eastAsia="Calibri" w:hAnsi="Arial" w:cs="Arial"/>
          <w:i/>
        </w:rPr>
        <w:t>as dívidas de recursos próprios comunitários e às dívidas resultantes da falta de entrega, dentro dos respectivos prazos legais, de imposto retido na fonte ou legalmente repercutido a terceiros, salvo em caso de falecimento do executado</w:t>
      </w:r>
      <w:r w:rsidRPr="000C2B9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Referem Martins e Costa,</w:t>
      </w:r>
      <w:r w:rsidR="00E02F5E">
        <w:rPr>
          <w:rFonts w:ascii="Arial" w:eastAsia="Calibri" w:hAnsi="Arial" w:cs="Arial"/>
        </w:rPr>
        <w:t xml:space="preserve"> (</w:t>
      </w:r>
      <w:r w:rsidR="00E02F5E" w:rsidRPr="00E02F5E">
        <w:rPr>
          <w:rFonts w:ascii="Arial" w:eastAsia="Calibri" w:hAnsi="Arial" w:cs="Arial"/>
        </w:rPr>
        <w:t>2016: 293</w:t>
      </w:r>
      <w:r w:rsidR="00E02F5E">
        <w:rPr>
          <w:rFonts w:ascii="Arial" w:eastAsia="Calibri" w:hAnsi="Arial" w:cs="Arial"/>
        </w:rPr>
        <w:t>)</w:t>
      </w:r>
      <w:r w:rsidRPr="000C2B9C">
        <w:rPr>
          <w:rFonts w:ascii="Arial" w:eastAsia="Calibri" w:hAnsi="Arial" w:cs="Arial"/>
        </w:rPr>
        <w:t xml:space="preserve"> sobre esta exclusão a que o nº2 do artigo 196º do CPPT alude, o seguinte:</w:t>
      </w:r>
    </w:p>
    <w:p w:rsidR="000C2B9C" w:rsidRPr="000C2B9C" w:rsidRDefault="000C2B9C" w:rsidP="00E02F5E">
      <w:pPr>
        <w:spacing w:before="120" w:after="120" w:line="360" w:lineRule="auto"/>
        <w:ind w:left="567" w:right="567"/>
        <w:jc w:val="both"/>
        <w:rPr>
          <w:rFonts w:ascii="Arial" w:eastAsia="Calibri" w:hAnsi="Arial" w:cs="Arial"/>
          <w:i/>
          <w:sz w:val="20"/>
          <w:szCs w:val="20"/>
        </w:rPr>
      </w:pPr>
      <w:r w:rsidRPr="000C2B9C">
        <w:rPr>
          <w:rFonts w:ascii="Arial" w:eastAsia="Calibri" w:hAnsi="Arial" w:cs="Arial"/>
          <w:i/>
          <w:sz w:val="20"/>
          <w:szCs w:val="20"/>
        </w:rPr>
        <w:t xml:space="preserve">A Segurança Social permite o pagamento das dívidas de quotizações, modalidade de pagamento que na Administração Tributária, nos termos do n.º 2 do artigo 42.º da LGT e do n.º 2 do artigo 196.º do CPPT, não é aplicável se a dívida exequenda for relativa a recursos próprios comunitários, que eram receitas administradas pela </w:t>
      </w:r>
      <w:bookmarkStart w:id="45" w:name="_Hlk499676838"/>
      <w:r w:rsidRPr="000C2B9C">
        <w:rPr>
          <w:rFonts w:ascii="Arial" w:eastAsia="Calibri" w:hAnsi="Arial" w:cs="Arial"/>
          <w:i/>
          <w:sz w:val="20"/>
          <w:szCs w:val="20"/>
        </w:rPr>
        <w:t>DGAEIC</w:t>
      </w:r>
      <w:bookmarkEnd w:id="45"/>
      <w:r w:rsidRPr="000C2B9C">
        <w:rPr>
          <w:rFonts w:ascii="Arial" w:eastAsia="Calibri" w:hAnsi="Arial" w:cs="Arial"/>
          <w:i/>
          <w:sz w:val="20"/>
          <w:szCs w:val="20"/>
        </w:rPr>
        <w:t xml:space="preserve"> e cuja competência pertence agora à AT, ou, então, constituída por dívidas resultantes da falta de entrega, dentro dos respectivos prazos legais, de imposto retido na fonte ou legalmente repercutido a terceiros. Estes tributos em circunstâncias normais, não podem ser regularizados através de pagamento em prestações, salvo se se verificarem as circunstâncias excepcionais enunciadas nas alíneas do n.º 3 do artigo 196.º do CPPT,...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3 apresenta um desvio à regra, do nº 2 para os casos de pagamentos de plano de recuperação no âmbito de processo de insolvência ou de processo especial de revitalização, ou em acordo sujeito ao regime extrajudicial de recuperação de empresas em execução ou em negociação ou cuja dificuldade seja notória e com consequência gravosas para o devedor. A lei nº 100/2017, de 28 de agosto, veio acrescentar à alínea a) do nº3, que para estes planos especiais poder haver lugar a dispensa da obrigação de substituição dos administradores ou gerentes, se tal for tido como adequado pela entidade competente para autorizar o plano.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Os nº 4 e nº 5 já foram abordados anteriormente e referem-se como podem ser autorizados e em que condições os pagamentos em prestações.</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A alteração decorrente da lei nº 100/2017, de 28 de Fevereiro, no que ao nº 6 do artigo 196º do CPPT diz respeito, não foi mais do que trazer para o Código de Procedimento, o PER e o SIREVE, clarificando o tipo de planos que podem ser abrangidos.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alteração do nº 7 é muito importante, uma vez que vem regular uma situação que por vezes no passado, nem sempre era consensual. Com a entrada em vigor deste número 7, passou a ser possível incluir dívidas que não estivessem inicialmente no acordo efetuado entre o devedor e a AT, mas cujo facto tributário, seja de uma data anterior à homologação ou acordo do plano. Assim nestes casos duas situações podem suceder, ou incluir a nova dívida no plano existente, que é o recomendável, ou caso não seja possível então elaborar-se um novo plano, para essa ou essas novas dívidas, observando sempre a regra</w:t>
      </w:r>
      <w:r w:rsidRPr="000C2B9C">
        <w:rPr>
          <w:rFonts w:ascii="Arial" w:eastAsia="Calibri" w:hAnsi="Arial" w:cs="Arial"/>
          <w:vertAlign w:val="superscript"/>
        </w:rPr>
        <w:footnoteReference w:id="46"/>
      </w:r>
      <w:r w:rsidRPr="000C2B9C">
        <w:rPr>
          <w:rFonts w:ascii="Arial" w:eastAsia="Calibri" w:hAnsi="Arial" w:cs="Arial"/>
        </w:rPr>
        <w:t xml:space="preserve"> de que a dívida exequenda tem de exceder as 500 unidades de conta no momento da autorização, não podendo então nenhuma delas ser inferior a 10 unidades da conta.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8 do artigo 196º do CPPT, não sofreu alteração,</w:t>
      </w:r>
      <w:r w:rsidRPr="000C2B9C">
        <w:rPr>
          <w:rFonts w:ascii="Arial" w:eastAsia="Calibri" w:hAnsi="Arial" w:cs="Arial"/>
          <w:vertAlign w:val="superscript"/>
        </w:rPr>
        <w:footnoteReference w:id="47"/>
      </w:r>
      <w:r w:rsidRPr="000C2B9C">
        <w:rPr>
          <w:rFonts w:ascii="Arial" w:eastAsia="Calibri" w:hAnsi="Arial" w:cs="Arial"/>
        </w:rPr>
        <w:t xml:space="preserve"> e merece apenas a atenção de que o valor a considerar para cálculo das prestações não contempla os juros de mora que continuarão a vencer-se até ao pagamento integral do processo</w:t>
      </w:r>
      <w:r w:rsidRPr="000C2B9C">
        <w:rPr>
          <w:rFonts w:ascii="Arial" w:eastAsia="Calibri" w:hAnsi="Arial" w:cs="Arial"/>
          <w:vertAlign w:val="superscript"/>
        </w:rPr>
        <w:footnoteReference w:id="48"/>
      </w:r>
      <w:r w:rsidRPr="000C2B9C">
        <w:rPr>
          <w:rFonts w:ascii="Arial" w:eastAsia="Calibri" w:hAnsi="Arial" w:cs="Arial"/>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nº 9 do artigo 196º do CPPT, também não sofreu qualquer alteração e permite que terceiros que assumam a dívida, possam também pagar em regime prestacional. Este é um mecanismo usado residualmente e que acontece em casos de empresas integradas num grupo empresarial, ou seja numa </w:t>
      </w:r>
      <w:r w:rsidRPr="000C2B9C">
        <w:rPr>
          <w:rFonts w:ascii="Arial" w:eastAsia="Calibri" w:hAnsi="Arial" w:cs="Arial"/>
          <w:i/>
        </w:rPr>
        <w:t>"holding"</w:t>
      </w:r>
      <w:r w:rsidRPr="000C2B9C">
        <w:rPr>
          <w:rFonts w:ascii="Arial" w:eastAsia="Calibri" w:hAnsi="Arial" w:cs="Arial"/>
        </w:rPr>
        <w:t>, ou de fiadores que renunciaram ao benefício da excussão prévia. Por consequência</w:t>
      </w:r>
      <w:r w:rsidR="004C5211">
        <w:rPr>
          <w:rFonts w:ascii="Arial" w:eastAsia="Calibri" w:hAnsi="Arial" w:cs="Arial"/>
        </w:rPr>
        <w:t>,</w:t>
      </w:r>
      <w:r w:rsidRPr="000C2B9C">
        <w:rPr>
          <w:rFonts w:ascii="Arial" w:eastAsia="Calibri" w:hAnsi="Arial" w:cs="Arial"/>
        </w:rPr>
        <w:t xml:space="preserve"> o nº 10 refere que para estes casos o assumir da dívida por parte de um terceiro, não desobriga o devedor originário do pagamento, passando este a ser responsável solidário, não obstante o processo poder seguir a sua tramitação contra o novo devedor.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11, refere que as garantias constituídas, para suspender o processo de execução fiscal, por parte do devedor originário, podem ser extintas, se entretanto forem constituídas novas garantias pelo terceiro que assumiu a dívida. (este número não sofreu alteração com exceção da renumeração).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nº 12 também não sofreu alteração, para além da renumeração e refere-se aos direitos de sub-rogação previstos no nº</w:t>
      </w:r>
      <w:r w:rsidR="004C5211">
        <w:rPr>
          <w:rFonts w:ascii="Arial" w:eastAsia="Calibri" w:hAnsi="Arial" w:cs="Arial"/>
        </w:rPr>
        <w:t xml:space="preserve"> </w:t>
      </w:r>
      <w:r w:rsidRPr="000C2B9C">
        <w:rPr>
          <w:rFonts w:ascii="Arial" w:eastAsia="Calibri" w:hAnsi="Arial" w:cs="Arial"/>
        </w:rPr>
        <w:t>1 do artigo 92º do CPPT, que dispõe que,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 A dívida paga pelo sub-rogado conserva as garantias, privilégios e processo de cobrança e vencerá juros pela taxa fixada na lei civil, se o sub-rogado o requerer".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Sobre isto refere Andreia Barbosa, </w:t>
      </w:r>
      <w:r w:rsidR="00663957" w:rsidRPr="00663957">
        <w:rPr>
          <w:rFonts w:ascii="Arial" w:eastAsia="Calibri" w:hAnsi="Arial" w:cs="Arial"/>
        </w:rPr>
        <w:t>(2017: 165)</w:t>
      </w:r>
      <w:r w:rsidR="00663957">
        <w:rPr>
          <w:rFonts w:ascii="Arial" w:eastAsia="Calibri" w:hAnsi="Arial" w:cs="Arial"/>
        </w:rPr>
        <w:t xml:space="preserve"> </w:t>
      </w:r>
      <w:r w:rsidRPr="000C2B9C">
        <w:rPr>
          <w:rFonts w:ascii="Arial" w:eastAsia="Calibri" w:hAnsi="Arial" w:cs="Arial"/>
        </w:rPr>
        <w:t>que a sub-rogação não depende diretamente da lei, mas sim de requerimento,</w:t>
      </w:r>
    </w:p>
    <w:p w:rsidR="000C2B9C" w:rsidRPr="004C5211" w:rsidRDefault="000C2B9C" w:rsidP="004C5211">
      <w:pPr>
        <w:spacing w:before="120" w:after="120" w:line="360" w:lineRule="auto"/>
        <w:ind w:left="567" w:right="567"/>
        <w:jc w:val="both"/>
        <w:rPr>
          <w:rFonts w:ascii="Arial" w:eastAsia="Calibri" w:hAnsi="Arial" w:cs="Arial"/>
          <w:i/>
          <w:sz w:val="20"/>
          <w:szCs w:val="20"/>
        </w:rPr>
      </w:pPr>
      <w:r w:rsidRPr="004C5211">
        <w:rPr>
          <w:rFonts w:ascii="Arial" w:eastAsia="Calibri" w:hAnsi="Arial" w:cs="Arial"/>
          <w:i/>
          <w:sz w:val="20"/>
          <w:szCs w:val="20"/>
        </w:rPr>
        <w:t>Ademais admitindo o legislador, no n.º</w:t>
      </w:r>
      <w:r w:rsidR="004C5211" w:rsidRPr="004C5211">
        <w:rPr>
          <w:rFonts w:ascii="Arial" w:eastAsia="Calibri" w:hAnsi="Arial" w:cs="Arial"/>
          <w:i/>
          <w:sz w:val="20"/>
          <w:szCs w:val="20"/>
        </w:rPr>
        <w:t xml:space="preserve"> </w:t>
      </w:r>
      <w:r w:rsidRPr="004C5211">
        <w:rPr>
          <w:rFonts w:ascii="Arial" w:eastAsia="Calibri" w:hAnsi="Arial" w:cs="Arial"/>
          <w:i/>
          <w:sz w:val="20"/>
          <w:szCs w:val="20"/>
        </w:rPr>
        <w:t>2, do artigo 41.º, da LGT, a sub-rogação do terceiro que tenha procedido ao cumprimento da obrigação principal do sujeito passivo, tal figura deverá ser admitida no caso de prestação de garantia por terceiro. Consequentemente, o terceiro que prestar garantia poderá ficar sub-rogado na posição da Administração Tributária, desde que a sub-rogação seja requerida. Assim, a sub-rogação nos direitos da Fazenda Pública não é automática, pelo que aquele que prestou a garantia poderá, no momento em que a execução deva prosseguir e quando a garantia prestada seja acionada para efetivação do pagamento, requerer a sub-rogação na posição do credor Estado.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No que ao artigo 196º do CPPT, merece consideração, resta ver o preceituado do nº13. Esta norma não permite, que quem usufrua de pagamento por sub-rogação, nos termos do artigo 92º do CPPT, possa aproveitar da forma dos pagamentos em prestações. </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5E075A">
      <w:pPr>
        <w:pStyle w:val="Ttulo1"/>
        <w:rPr>
          <w:rFonts w:eastAsia="Calibri"/>
        </w:rPr>
      </w:pPr>
      <w:r w:rsidRPr="000C2B9C">
        <w:rPr>
          <w:rFonts w:eastAsia="Calibri"/>
        </w:rPr>
        <w:t xml:space="preserve"> </w:t>
      </w:r>
      <w:bookmarkStart w:id="46" w:name="_Toc500109631"/>
      <w:r w:rsidRPr="000C2B9C">
        <w:rPr>
          <w:rFonts w:eastAsia="Calibri"/>
        </w:rPr>
        <w:t>Capitulo 5</w:t>
      </w:r>
      <w:bookmarkEnd w:id="46"/>
    </w:p>
    <w:p w:rsidR="000C2B9C" w:rsidRDefault="00022A2C" w:rsidP="005E075A">
      <w:pPr>
        <w:pStyle w:val="Ttulo1"/>
        <w:rPr>
          <w:rFonts w:eastAsia="Calibri"/>
        </w:rPr>
      </w:pPr>
      <w:bookmarkStart w:id="47" w:name="_Toc500109632"/>
      <w:r>
        <w:rPr>
          <w:rFonts w:eastAsia="Calibri"/>
        </w:rPr>
        <w:t xml:space="preserve">5.1 </w:t>
      </w:r>
      <w:r w:rsidR="000C2B9C" w:rsidRPr="000C2B9C">
        <w:rPr>
          <w:rFonts w:eastAsia="Calibri"/>
        </w:rPr>
        <w:t>A dispensa de apresentação de garantia</w:t>
      </w:r>
      <w:bookmarkEnd w:id="47"/>
    </w:p>
    <w:p w:rsidR="00AA63F1" w:rsidRPr="000C2B9C" w:rsidRDefault="00AA63F1" w:rsidP="000C2B9C">
      <w:pPr>
        <w:spacing w:before="120" w:after="120" w:line="360" w:lineRule="auto"/>
        <w:jc w:val="center"/>
        <w:rPr>
          <w:rFonts w:ascii="Arial" w:eastAsia="Calibri" w:hAnsi="Arial" w:cs="Arial"/>
          <w:b/>
          <w:sz w:val="28"/>
          <w:szCs w:val="28"/>
        </w:rPr>
      </w:pPr>
    </w:p>
    <w:p w:rsidR="000C2B9C" w:rsidRPr="005E075A" w:rsidRDefault="00022A2C" w:rsidP="005E075A">
      <w:pPr>
        <w:pStyle w:val="Ttulo2"/>
        <w:rPr>
          <w:rFonts w:eastAsia="Calibri"/>
        </w:rPr>
      </w:pPr>
      <w:bookmarkStart w:id="48" w:name="_Toc500109633"/>
      <w:r>
        <w:rPr>
          <w:rFonts w:eastAsia="Calibri"/>
        </w:rPr>
        <w:t xml:space="preserve">5.1.1 </w:t>
      </w:r>
      <w:r w:rsidR="000C2B9C" w:rsidRPr="005E075A">
        <w:rPr>
          <w:rFonts w:eastAsia="Calibri"/>
        </w:rPr>
        <w:t>Prejuízo irreparável ou insuficiência de bens</w:t>
      </w:r>
      <w:bookmarkEnd w:id="48"/>
    </w:p>
    <w:p w:rsidR="00AA63F1" w:rsidRDefault="00AA63F1" w:rsidP="000C2B9C">
      <w:pPr>
        <w:spacing w:before="120" w:after="120" w:line="360" w:lineRule="auto"/>
        <w:jc w:val="both"/>
        <w:rPr>
          <w:rFonts w:ascii="Arial" w:eastAsia="Calibri" w:hAnsi="Arial" w:cs="Arial"/>
        </w:rPr>
      </w:pPr>
    </w:p>
    <w:p w:rsidR="000C2B9C" w:rsidRPr="000C2B9C" w:rsidRDefault="00663957" w:rsidP="000C2B9C">
      <w:pPr>
        <w:spacing w:before="120" w:after="120" w:line="360" w:lineRule="auto"/>
        <w:jc w:val="both"/>
        <w:rPr>
          <w:rFonts w:ascii="Arial" w:eastAsia="Calibri" w:hAnsi="Arial" w:cs="Arial"/>
        </w:rPr>
      </w:pPr>
      <w:r>
        <w:rPr>
          <w:rFonts w:ascii="Arial" w:eastAsia="Calibri" w:hAnsi="Arial" w:cs="Arial"/>
        </w:rPr>
        <w:t>A</w:t>
      </w:r>
      <w:r w:rsidR="000C2B9C" w:rsidRPr="000C2B9C">
        <w:rPr>
          <w:rFonts w:ascii="Arial" w:eastAsia="Calibri" w:hAnsi="Arial" w:cs="Arial"/>
        </w:rPr>
        <w:t xml:space="preserve">s considerações que vamos fazer e que achamos que continuam a ser importantes para a consolidação e compreensão de toda a envolvência que está subjacente às garantias e principalmente no que concerne à suspensão do processo de execução fiscal, tiveram importantes alterações legislativas e que mais não foram do que </w:t>
      </w:r>
      <w:r>
        <w:rPr>
          <w:rFonts w:ascii="Arial" w:eastAsia="Calibri" w:hAnsi="Arial" w:cs="Arial"/>
        </w:rPr>
        <w:t>ir ao</w:t>
      </w:r>
      <w:r w:rsidR="000C2B9C" w:rsidRPr="000C2B9C">
        <w:rPr>
          <w:rFonts w:ascii="Arial" w:eastAsia="Calibri" w:hAnsi="Arial" w:cs="Arial"/>
        </w:rPr>
        <w:t xml:space="preserve"> encontro de alguma jurisprudência que já se vinha a produzir.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Até à entrada em vigor da Lei </w:t>
      </w:r>
      <w:r w:rsidR="00525398">
        <w:rPr>
          <w:rFonts w:ascii="Arial" w:eastAsia="Calibri" w:hAnsi="Arial" w:cs="Arial"/>
        </w:rPr>
        <w:t xml:space="preserve">nº </w:t>
      </w:r>
      <w:r w:rsidRPr="000C2B9C">
        <w:rPr>
          <w:rFonts w:ascii="Arial" w:eastAsia="Calibri" w:hAnsi="Arial" w:cs="Arial"/>
        </w:rPr>
        <w:t xml:space="preserve">42/2016, de 28 de dezembro LOE2017 (Lei do Orçamento do Estado para 2017), o número 4 do artigo 52º da LGT, tinha a seguinte redação: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"4 - A administração tributária pode, a requerimento do executado, isentá-lo da prestação de garantia nos casos de a sua prestação lhe causar prejuízo irreparável ou </w:t>
      </w:r>
      <w:r w:rsidRPr="000C2B9C">
        <w:rPr>
          <w:rFonts w:ascii="Arial" w:eastAsia="Calibri" w:hAnsi="Arial" w:cs="Arial"/>
          <w:i/>
        </w:rPr>
        <w:lastRenderedPageBreak/>
        <w:t xml:space="preserve">manifesta falta de meios económicos revelada pela insuficiência de bens penhoráveis para o pagamento da dívida exequenda e acrescido, </w:t>
      </w:r>
      <w:r w:rsidRPr="000C2B9C">
        <w:rPr>
          <w:rFonts w:ascii="Arial" w:eastAsia="Calibri" w:hAnsi="Arial" w:cs="Arial"/>
          <w:i/>
          <w:u w:val="single"/>
        </w:rPr>
        <w:t>desde que em qualquer dos casos a insuficiência ou inexistência de bens não seja da responsabilidade do executado</w:t>
      </w:r>
      <w:r w:rsidRPr="000C2B9C">
        <w:rPr>
          <w:rFonts w:ascii="Arial" w:eastAsia="Calibri" w:hAnsi="Arial" w:cs="Arial"/>
          <w:i/>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 a LOE2017, passou a ter a redação que reproduzimos: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"4 - A administração tributária pode, a requerimento do executado, isentá-lo da prestação de garantia nos casos de a sua prestação lhe causar prejuízo irreparável ou manifesta falta de meios económicos revelada pela insuficiência de bens penhoráveis para o pagamento da dívida exequenda e acrescido, </w:t>
      </w:r>
      <w:r w:rsidRPr="000C2B9C">
        <w:rPr>
          <w:rFonts w:ascii="Arial" w:eastAsia="Calibri" w:hAnsi="Arial" w:cs="Arial"/>
          <w:i/>
          <w:u w:val="single"/>
        </w:rPr>
        <w:t>desde que não existam fortes indícios de que a insuficiência ou inexistência de bens se deveu a atuação dolosa do interessado.</w:t>
      </w:r>
      <w:r w:rsidRPr="000C2B9C">
        <w:rPr>
          <w:rFonts w:ascii="Arial" w:eastAsia="Calibri" w:hAnsi="Arial" w:cs="Arial"/>
          <w:i/>
        </w:rPr>
        <w:t xml:space="preserve"> (Redação da Lei n.º 42/2016, de 28 de dezembro)"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Ao longo do capítulo iremos fazer menção ao ofício circulado 60077, de 29 de julho de 2010 e que reproduzimos como anexo 3, deste trabalho.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Para que possamos analisar o que está subjacente ao nosso sublinhado, ou seja à alteração legislativa, refira-se que até ao final de 2016 o ónus da prova pertencia ao devedor, ou seja era este que tinha de invocar o prejuízo irreparável, a falta de meios e principalmente o afastamento da sua culpa efetiva na situação em que se encontrava. Com a nova redação dada pela LOE2017, o que acontece é que o ónus da prova inverteu-se e é agora a Administração Tributária que tem de provar os fortes indícios da insuficiência devem-se a uma atuação dolosa do requerente.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Ora</w:t>
      </w:r>
      <w:r w:rsidR="00525398">
        <w:rPr>
          <w:rFonts w:ascii="Arial" w:eastAsia="Calibri" w:hAnsi="Arial" w:cs="Arial"/>
        </w:rPr>
        <w:t>,</w:t>
      </w:r>
      <w:r w:rsidRPr="000C2B9C">
        <w:rPr>
          <w:rFonts w:ascii="Arial" w:eastAsia="Calibri" w:hAnsi="Arial" w:cs="Arial"/>
        </w:rPr>
        <w:t xml:space="preserve"> com esta alteração um dos grandes problemas existentes e fonte de polémica e combate judicial, tinha precisamente a ver com a sistemática resistência da AT vir a conceder esta possibilidade aos devedores.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Vejamos alguns exemplos, como é o caso do Acórdão do Tribunal Central Administrativo Norte, processo número 00163/17.6BERG, de 29 de junho 2016,</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Os pressupostos da isenção de prestação de garantia, estão previstos no art.º 52.º, nº. 4, da LGT, fica dependente de dois pressupostos alternativos: ou a (i) existência de prejuízo irreparável decorrente da prestação da garantia ou (ii) a falta de meios económicos para a prestar. Porém, tal dispensa não depende apenas da verificação de um destes dois pressupostos, sendo necessário o preenchimento de um outro pressuposto cumulativo: que a insuficiência ou inexistência dos bens não seja da responsabilidade do executado que pretende a isenção.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III. Sendo o processo de execução fiscal, um processo de natureza judicial, as regras aplicáveis em matéria de ónus da prova são as previstas no disposto no artigo.º. 342.º, e 344.º Código Civil e no art.º 74.º, nº. 1, da LGT, e é sobre o executado, que pretende </w:t>
      </w:r>
      <w:r w:rsidRPr="000C2B9C">
        <w:rPr>
          <w:rFonts w:ascii="Arial" w:eastAsia="Calibri" w:hAnsi="Arial" w:cs="Arial"/>
          <w:i/>
        </w:rPr>
        <w:lastRenderedPageBreak/>
        <w:t>a dispensa de garantia, que recai o ónus de provar que se verificam as condições de que tal dispensa depende, pois trata-se de factos constitutivos do direito que pretende ver reconhecido.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IV. Apesar do artigo.º. 170.º do CPPT, aludir expressamente à prova documental tem a doutrina e a jurisprudência entendido que deve ser interpretado no sentido de não conter uma proibição absoluta, e em abstrato, do executado produzir prova testemunhal no incidente de isenção de prestação de garantia, sob pena de inconstitucionalidade, por violação do artigo 20.º, nº 1 da CRP, em conjugação com o princípio da proporcionalidade, o nº 3 do artigo 170.º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V. Tendo sido oferecida prova testemunhal para a demonstração da factualidade invocada no pedido de dispensa de prestação de garantia, com vista à comprovação dos requisitos de que depende a mesma, tendo o órgão da execução fiscal indeferido o pedido por falta de prova desses requisitos sem, contudo, proceder à sua produção, verifica-se a preterição de uma formalidade essencial à descoberta da verdade, que determina a anulação da decisão reclamada."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ponto I.</w:t>
      </w:r>
      <w:r w:rsidRPr="000C2B9C">
        <w:rPr>
          <w:rFonts w:ascii="Arial" w:eastAsia="Calibri" w:hAnsi="Arial" w:cs="Arial"/>
          <w:vertAlign w:val="superscript"/>
        </w:rPr>
        <w:footnoteReference w:id="49"/>
      </w:r>
      <w:r w:rsidRPr="000C2B9C">
        <w:rPr>
          <w:rFonts w:ascii="Arial" w:eastAsia="Calibri" w:hAnsi="Arial" w:cs="Arial"/>
        </w:rPr>
        <w:t xml:space="preserve"> do sumário, diz-se que são necessários dois pressupostos, em que um deles pode ser em alternativa, o prejuízo irreparável ou a insuficiência de meios para prestar a garantia e que um destes tem de se conjugar com a inexistência de culpa</w:t>
      </w:r>
      <w:r w:rsidRPr="000C2B9C">
        <w:rPr>
          <w:rFonts w:ascii="Arial" w:eastAsia="Calibri" w:hAnsi="Arial" w:cs="Arial"/>
          <w:vertAlign w:val="superscript"/>
        </w:rPr>
        <w:footnoteReference w:id="50"/>
      </w:r>
      <w:r w:rsidRPr="000C2B9C">
        <w:rPr>
          <w:rFonts w:ascii="Arial" w:eastAsia="Calibri" w:hAnsi="Arial" w:cs="Arial"/>
        </w:rPr>
        <w:t xml:space="preserve">. Como se pode verificar este exemplo de jurisprudência do TCA Norte, vem elencar com a alteração legislativa de que obriga a que haja um forte indício de ação dolosa. Por outro lado, interpretamos o acórdão no seu ponto V., no sentido de que existe uma tendência na jurisprudência, para a simplificação com a aceitação da prova testemunhal. Reforçamos aqui o que dissemos antes, que se prende com a falta de abertura da AT, que tinha, até final de 2016 para conceder a dispensa de garantia. Neste acórdão, mais do que o mérito processual, pretendemos destacar a forma como por vezes a AT, defere ou indefere os requerimentos. Defendemos mesmo que por vezes o mero indeferimento é uma forma de defesa do decisor, não ficar exposto à hipótese de estar a conceder uma moratória desnecessária, ou até a não acautelar a boa cobrança das dívidas tributárias. Consideramos que os critérios subjacentes à dispensa de garantia são de certa forma subjetivos. O prejuízo grave ou irreparável é algo que nem sempre é facilmente mensurável, por outro lado no caso da insuficiência de bens a penhorar e salvo raríssimas exceções a AT tem informação suficiente sobre essa realidade. E caso a AT, não tenha conhecimento de bens a penhorar, para a constituição de garantia, isso </w:t>
      </w:r>
      <w:r w:rsidRPr="000C2B9C">
        <w:rPr>
          <w:rFonts w:ascii="Arial" w:eastAsia="Calibri" w:hAnsi="Arial" w:cs="Arial"/>
        </w:rPr>
        <w:lastRenderedPageBreak/>
        <w:t>deverá ser um forte indício de que a dificuldade por parte do contribuinte em prestar garantia é real.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este propósito refere o Acórdão do Tribunal Central Administrativo Sul, processo número 925/16, de 25 de maio de 2017, sobre a prestação de garantia e o prejuízo irreparável,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w:t>
      </w:r>
      <w:r w:rsidRPr="000C2B9C">
        <w:rPr>
          <w:rFonts w:ascii="Arial" w:eastAsia="Calibri" w:hAnsi="Arial" w:cs="Arial"/>
          <w:i/>
        </w:rPr>
        <w:tab/>
        <w:t>A administração tributária pode, a requerimento do executado, isentá-lo da prestação de garantia nos casos de a sua prestação lhe causar prejuízo irreparável ou manifesta falta de meios económicos revelada pela insuficiência de bens penhoráveis para pagamento da dívida exequenda e acrescido, desde que em qualquer dos casos a insuficiência ou inexistência de bens não seja da responsabilidade do executado.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w:t>
      </w:r>
      <w:r w:rsidRPr="000C2B9C">
        <w:rPr>
          <w:rFonts w:ascii="Arial" w:eastAsia="Calibri" w:hAnsi="Arial" w:cs="Arial"/>
          <w:i/>
        </w:rPr>
        <w:tab/>
        <w:t>O prejuízo irreparável é comprovado através de um juízo de prognose sobre a probabilidade da eclosão do dano irreversível na actividade da executada decorrente da prestação de garantia.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3)</w:t>
      </w:r>
      <w:r w:rsidRPr="000C2B9C">
        <w:rPr>
          <w:rFonts w:ascii="Arial" w:eastAsia="Calibri" w:hAnsi="Arial" w:cs="Arial"/>
          <w:i/>
        </w:rPr>
        <w:tab/>
        <w:t xml:space="preserve">Existe prejuízo irreparável quando a executada demonstra que a prestação de garantia lhe causa risco de asfixia económica, num quadro de insuficiência de património e de falta de liquidez.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4) A prestação de garantia pode ser condição de asfixia económica quando cruzada com os demais elementos existentes nos autos. Tais elementos comprovam, no caso, o juízo de prognose sobre a probabilidade da eclosão do dano irreversível."</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Acrescentamos ainda, que, no cenário de crise dos últimos anos o acesso das empresas e dos cidadãos à banca – referimo-nos especificamente à constituição de garantias bancárias – esteve fortemente condicionado, para não dizer quase inativo. Como é do conhecimento geral para a prestação de uma garantia bancária, por parte da entidade financiadora é necessário que haja uma contrapartida por parte do cidadão ou empresa que recorre a esse produto financeiro. Neste caso</w:t>
      </w:r>
      <w:r w:rsidR="00525398">
        <w:rPr>
          <w:rFonts w:ascii="Arial" w:eastAsia="Calibri" w:hAnsi="Arial" w:cs="Arial"/>
        </w:rPr>
        <w:t>,</w:t>
      </w:r>
      <w:r w:rsidRPr="000C2B9C">
        <w:rPr>
          <w:rFonts w:ascii="Arial" w:eastAsia="Calibri" w:hAnsi="Arial" w:cs="Arial"/>
        </w:rPr>
        <w:t xml:space="preserve"> o contribuinte com necessidade de prestar uma garantia </w:t>
      </w:r>
      <w:r w:rsidR="00525398" w:rsidRPr="00525398">
        <w:rPr>
          <w:rFonts w:ascii="Arial" w:eastAsia="Calibri" w:hAnsi="Arial" w:cs="Arial"/>
        </w:rPr>
        <w:t>bancária para obter a suspensão do processo de execução fiscal</w:t>
      </w:r>
      <w:r w:rsidR="00525398">
        <w:rPr>
          <w:rFonts w:ascii="Arial" w:eastAsia="Calibri" w:hAnsi="Arial" w:cs="Arial"/>
        </w:rPr>
        <w:t>,</w:t>
      </w:r>
      <w:r w:rsidR="00525398" w:rsidRPr="00525398">
        <w:rPr>
          <w:rFonts w:ascii="Arial" w:eastAsia="Calibri" w:hAnsi="Arial" w:cs="Arial"/>
        </w:rPr>
        <w:t xml:space="preserve"> </w:t>
      </w:r>
      <w:r w:rsidRPr="000C2B9C">
        <w:rPr>
          <w:rFonts w:ascii="Arial" w:eastAsia="Calibri" w:hAnsi="Arial" w:cs="Arial"/>
        </w:rPr>
        <w:t>vê-se na contingência de</w:t>
      </w:r>
      <w:r w:rsidR="00525398">
        <w:rPr>
          <w:rFonts w:ascii="Arial" w:eastAsia="Calibri" w:hAnsi="Arial" w:cs="Arial"/>
        </w:rPr>
        <w:t xml:space="preserve"> ter </w:t>
      </w:r>
      <w:r w:rsidRPr="000C2B9C">
        <w:rPr>
          <w:rFonts w:ascii="Arial" w:eastAsia="Calibri" w:hAnsi="Arial" w:cs="Arial"/>
        </w:rPr>
        <w:t xml:space="preserve"> de garantir à entidade financiadora, algo </w:t>
      </w:r>
      <w:r w:rsidR="00525398">
        <w:rPr>
          <w:rFonts w:ascii="Arial" w:eastAsia="Calibri" w:hAnsi="Arial" w:cs="Arial"/>
        </w:rPr>
        <w:t>com o seu</w:t>
      </w:r>
      <w:r w:rsidRPr="000C2B9C">
        <w:rPr>
          <w:rFonts w:ascii="Arial" w:eastAsia="Calibri" w:hAnsi="Arial" w:cs="Arial"/>
        </w:rPr>
        <w:t xml:space="preserve"> património, entrando assim numa espiral de contrapartidas para diversos credores.</w:t>
      </w:r>
    </w:p>
    <w:p w:rsidR="00AA63F1" w:rsidRDefault="00AA63F1" w:rsidP="000C2B9C">
      <w:pPr>
        <w:spacing w:before="120" w:after="120" w:line="360" w:lineRule="auto"/>
        <w:jc w:val="both"/>
        <w:rPr>
          <w:rFonts w:ascii="Arial" w:eastAsia="Calibri" w:hAnsi="Arial" w:cs="Arial"/>
        </w:rPr>
      </w:pPr>
    </w:p>
    <w:p w:rsidR="000C2B9C" w:rsidRPr="000C2B9C" w:rsidRDefault="00022A2C" w:rsidP="005E075A">
      <w:pPr>
        <w:pStyle w:val="Ttulo2"/>
        <w:rPr>
          <w:rFonts w:eastAsia="Calibri"/>
        </w:rPr>
      </w:pPr>
      <w:bookmarkStart w:id="49" w:name="_Toc500109634"/>
      <w:r>
        <w:rPr>
          <w:rFonts w:eastAsia="Calibri"/>
        </w:rPr>
        <w:t xml:space="preserve">5.1.2 </w:t>
      </w:r>
      <w:r w:rsidR="000C2B9C" w:rsidRPr="000C2B9C">
        <w:rPr>
          <w:rFonts w:eastAsia="Calibri"/>
        </w:rPr>
        <w:t>Atuação dolosa do executado</w:t>
      </w:r>
      <w:bookmarkEnd w:id="49"/>
    </w:p>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Passamos agora a colocar a nossa análise na "culpa", ou atuação dolosa do interessado, como menciona a lei. Referem a este propósito Martins e Costa, </w:t>
      </w:r>
      <w:r w:rsidR="00F05BE7" w:rsidRPr="00F05BE7">
        <w:rPr>
          <w:rFonts w:ascii="Arial" w:eastAsia="Calibri" w:hAnsi="Arial" w:cs="Arial"/>
        </w:rPr>
        <w:t>(2016: 293)</w:t>
      </w:r>
      <w:r w:rsidR="00F05BE7">
        <w:rPr>
          <w:rFonts w:ascii="Arial" w:eastAsia="Calibri" w:hAnsi="Arial" w:cs="Arial"/>
        </w:rPr>
        <w:t xml:space="preserve"> </w:t>
      </w:r>
      <w:r w:rsidRPr="000C2B9C">
        <w:rPr>
          <w:rFonts w:ascii="Arial" w:eastAsia="Calibri" w:hAnsi="Arial" w:cs="Arial"/>
        </w:rPr>
        <w:t>o seguinte:</w:t>
      </w:r>
    </w:p>
    <w:p w:rsidR="000C2B9C" w:rsidRPr="000C2B9C" w:rsidRDefault="000C2B9C" w:rsidP="000C2B9C">
      <w:pPr>
        <w:spacing w:before="120" w:after="120" w:line="360" w:lineRule="auto"/>
        <w:ind w:right="567"/>
        <w:jc w:val="both"/>
        <w:rPr>
          <w:rFonts w:ascii="Arial" w:eastAsia="Calibri" w:hAnsi="Arial" w:cs="Arial"/>
          <w:i/>
          <w:sz w:val="20"/>
          <w:szCs w:val="20"/>
        </w:rPr>
      </w:pPr>
      <w:r w:rsidRPr="000C2B9C">
        <w:rPr>
          <w:rFonts w:ascii="Arial" w:eastAsia="Calibri" w:hAnsi="Arial" w:cs="Arial"/>
          <w:i/>
          <w:sz w:val="20"/>
          <w:szCs w:val="20"/>
        </w:rPr>
        <w:lastRenderedPageBreak/>
        <w:t>A execução fiscal ficará ainda suspensa sempre que o executado for isento de prestar garantia. Esta isenção (180)</w:t>
      </w:r>
      <w:r w:rsidRPr="000C2B9C">
        <w:rPr>
          <w:rFonts w:ascii="Arial" w:eastAsia="Calibri" w:hAnsi="Arial" w:cs="Arial"/>
          <w:i/>
          <w:sz w:val="20"/>
          <w:szCs w:val="20"/>
          <w:vertAlign w:val="superscript"/>
        </w:rPr>
        <w:footnoteReference w:id="51"/>
      </w:r>
      <w:r w:rsidRPr="000C2B9C">
        <w:rPr>
          <w:rFonts w:ascii="Arial" w:eastAsia="Calibri" w:hAnsi="Arial" w:cs="Arial"/>
          <w:i/>
          <w:sz w:val="20"/>
          <w:szCs w:val="20"/>
        </w:rPr>
        <w:t xml:space="preserve"> só poderá acontecer se se verificarem os pressupostos referidos no n.º 4 do artigo 52.º da LGT, cuja apreciação está dependente de pedido do interessado, mediante requerimento a apresentar nos termos do artigo 170.º do CPPT. Os pressupostos para efeitos de concessão de isenção de prestação de garantia consistem na circunstância da sua prestação poder causar prejuízo irreparável ou existir manifesta falta de meios económicos, revelada pela insuficiência de bens penhoráveis, desde que em qualquer dos casos a insuficiência ou inexistência dos bens não seja da responsabilidade do executado. Estar-se-á perante uma situação de responsabilidade do executado sempre que este, sendo conhecedor de que tem, ou vai ter, uma dívida por pagar decide alienar ou onerar o seu património para assim frustrar a cobrança dos créditos tributários.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É precisamente este ponto que é importante focar na alteração normativa. A alienação ou oneração de património é um dos casos em que é notória a responsabilidade do executado e na qual o fundamento de despacho que levará ao indeferimento estará suficientemente consolidado. A esse respeito no ponto 1.3., do ofício circulado 60077, separa a responsabilidade dos singulares e das empresas.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 caso de se tratar de pessoas singulares, deve considerar-se verificado este pressuposto se o executado demonstrar a existência de alguma causa de insuficiência ou inexistência de bens que não seja imputável de qualquer forma à sua conduta e se, além disso, não for feita qualquer prova pela Fazenda Pública de que a sua actuação contribuiu de alguma forma para a situação de inexistência ou insuficiência de bens penhoráveis.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 caso específico das pessoas colectivas, apenas se deve considerar verificado este pressuposto nos casos em que a insuficiência ou inexistência de património não possa resultar da actuação empresarial, ou seja, apenas quando a dissipação dos bens esteja na absoluta indisponibilidade da empresa ou da administração que a representava ou representa, como seja, por exemplo, o caso de catástrofe natural ou humana imprevisível.</w:t>
      </w:r>
    </w:p>
    <w:p w:rsidR="000C2B9C" w:rsidRPr="000C2B9C" w:rsidRDefault="000C2B9C" w:rsidP="000C2B9C">
      <w:pPr>
        <w:spacing w:before="120" w:after="120" w:line="360" w:lineRule="auto"/>
        <w:rPr>
          <w:rFonts w:ascii="Arial" w:eastAsia="Calibri" w:hAnsi="Arial" w:cs="Arial"/>
          <w:i/>
        </w:rPr>
      </w:pPr>
      <w:r w:rsidRPr="000C2B9C">
        <w:rPr>
          <w:rFonts w:ascii="Arial" w:eastAsia="Calibri" w:hAnsi="Arial" w:cs="Arial"/>
          <w:i/>
        </w:rPr>
        <w:t xml:space="preserve">Fora destes casos, existirá sempre uma responsabilidade da empresa pelo destino dado aos bens que fazem parte do património colectivo/empresarial, baseada na </w:t>
      </w:r>
      <w:r w:rsidRPr="000C2B9C">
        <w:rPr>
          <w:rFonts w:ascii="Arial" w:eastAsia="Calibri" w:hAnsi="Arial" w:cs="Arial"/>
          <w:i/>
        </w:rPr>
        <w:lastRenderedPageBreak/>
        <w:t>actuação gestionária dos seus administradores ou gerentes, pelo que, em tais situações, não se poderá considerar verificado este pressuposto de dispensa."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Sabendo-se que no nosso ordenamento jurídico a atuação dolosa tem de ser sempre provada, em tribunal a situação poderá não ser tão simples, como podemos verificar através do Acórdão do Tribunal Central Administrativo Norte, processo número 02822/12.0BEPRT, de 10 de maio de 2013,</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Constitui pressuposto da dispensa da garantia a que alude o artigo 52.º, n.º 4, da Lei Geral Tributária a demonstração, pelo executado, de que a inexistência ou insuficiência de bens não é da sua responsabilidade;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O executado é responsável pela inexistência ou insuficiência de bens para efeitos da parte final do n.º 4 citado quando não alegue ou não demonstre que essa insuficiência não deriva de atos de alienação, oneração, disposição ou dissipação de bens por ele praticados ou consentidos de forma dolosa;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Consideram-se dolosos os atos a que alude o número anterior praticados ou consentidos com o intuito de diminuir a garantia dos credores ou em que se preveja essa diminuição como consequência necessária ou eventual da sua atuação e se conforme com ela;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IV. A demonstração de que não houve atos de alienação, oneração, disposição ou dissipação de bens afasta a responsabilidade a que alude a parte final do n.º 4 do artigo 52.º da Lei Geral Tributária;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V. Estando alegado que não foram praticados os atos a que alude o número anterior e tendo sido oferecidos documentos destinados a comprovar essa alegação, cabe ao órgão administrativo competente avaliar em primeira mão o relevo desses documentos e valorar o respetivo teor, bem como o da demais documentação disponível, com vista à determinação da sua ocorrência."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diz ainda o Acórdão, no seu corpo,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 mais, o Tribunal recorrido limitou-se a consignar que sendo a quantia exequenda proveniente de I.V.A., tal «pressupõe que deveria existir capacidade económica».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Só que este raciocínio tem subjacente a ideia de que o imposto é devido e foi recebido em nome do Estado. E esse é um raciocínio que não pode estar subjacente à concessão ou denegação da dispensa da garantia porque a justificação para o seu requerimento é precisamente o facto da legalidade da liquidação dessas quantias estar a ser discutida em processo de impugnação judicial.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De todo o exposto decorre que nem a entidade reclamada nem o tribunal recorrido formularam o juízo sobre a responsabilidade da executada pela insuficiência de bens que era imposto pela norma em causa. E que não o fizeram por terem interpretado erradamente essa norma e dela extraído pressupostos que nela não estão contidos.</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poderá concluir por este acórdão a prova do dolo nem sempre é fácil e isso obriga o órgão de execução fiscal a ter de fundamentar muito bem e consistentemente a sua posição, sob pena de ver cair a sua tese e ficar obrigado a suspender o processo de execução fiscal sem ter uma garantia.</w:t>
      </w:r>
    </w:p>
    <w:p w:rsidR="00AA63F1" w:rsidRPr="000C2B9C" w:rsidRDefault="00AA63F1" w:rsidP="000C2B9C">
      <w:pPr>
        <w:spacing w:before="120" w:after="120" w:line="360" w:lineRule="auto"/>
        <w:jc w:val="both"/>
        <w:rPr>
          <w:rFonts w:ascii="Arial" w:eastAsia="Calibri" w:hAnsi="Arial" w:cs="Arial"/>
        </w:rPr>
      </w:pPr>
    </w:p>
    <w:p w:rsidR="000C2B9C" w:rsidRPr="000C2B9C" w:rsidRDefault="00022A2C" w:rsidP="005E075A">
      <w:pPr>
        <w:pStyle w:val="Ttulo2"/>
        <w:rPr>
          <w:rFonts w:eastAsia="Calibri"/>
        </w:rPr>
      </w:pPr>
      <w:bookmarkStart w:id="50" w:name="_Hlk495529383"/>
      <w:bookmarkStart w:id="51" w:name="_Toc500109635"/>
      <w:r>
        <w:rPr>
          <w:rFonts w:eastAsia="Calibri"/>
        </w:rPr>
        <w:t xml:space="preserve">5.1.3 </w:t>
      </w:r>
      <w:r w:rsidR="000C2B9C" w:rsidRPr="000C2B9C">
        <w:rPr>
          <w:rFonts w:eastAsia="Calibri"/>
        </w:rPr>
        <w:t>Prazo para a decisão e despacho</w:t>
      </w:r>
      <w:bookmarkEnd w:id="51"/>
      <w:r w:rsidR="000C2B9C" w:rsidRPr="000C2B9C">
        <w:rPr>
          <w:rFonts w:eastAsia="Calibri"/>
        </w:rPr>
        <w:t xml:space="preserve"> </w:t>
      </w:r>
    </w:p>
    <w:bookmarkEnd w:id="50"/>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Uma situação que origina algumas dúvidas, pelo facto de não existir conclusão expressa na lei e que tem a ver com o preceituado no número 4 do artigo 170º do CPPT – " </w:t>
      </w:r>
      <w:r w:rsidRPr="000C2B9C">
        <w:rPr>
          <w:rFonts w:ascii="Arial" w:eastAsia="Calibri" w:hAnsi="Arial" w:cs="Arial"/>
          <w:i/>
        </w:rPr>
        <w:t>O pedido de dispensa de garantia será resolvido no prazo de 10 dias após a sua apresentação</w:t>
      </w:r>
      <w:r w:rsidRPr="000C2B9C">
        <w:rPr>
          <w:rFonts w:ascii="Arial" w:eastAsia="Calibri" w:hAnsi="Arial" w:cs="Arial"/>
        </w:rPr>
        <w:t>." Estes 10 dias nem sempre são cumpridos, ora por impossibilidade de meios humanos, ora por mera impossibilidade técnica, que se prende por vezes com a complexidade de análise da situação. Mas a pergunta que se faz é a seguinte, findo os 10 dias sem que haja despacho de aceitação ou indeferimento o que fazer? Pode a AT praticar atos coercivos? A este prepósito vejamos o que nos diz o Acórdão do Tribunal Central Administrativo Norte processo número 03052/15, de 14 de julho de 2016,</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O pedido de dispensa de prestação de garantia tem o mesmo efeito que o pedido de prestação da garantia no que respeita ao prosseguimento da execução fiscal.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Se for efectuado o pedido de dispensa de prestação de garantia no prazo de 15 dias a que alude o nº 7 do artigo. 169º do CPPT, a AT só pode proceder à penhora depois de ter sido notificado ao executado o seu indeferimento.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entende-se que, enquanto não houver despacho de indeferimento devidamente notificado ao contribuinte, não é possível a penhora ou outros atos coercivos no processo de execução fiscal. Não obstante o contribuinte depois dos 10 dias que a norma prevê poder presumir o indeferimento tácito, vide Acórdão do Supremo Tribunal Administrativo, processo número 0411/15, de 31 de março de 2016, que versa sobre esta matéria, ainda que sobre a não decisão de uma reclamação graciosa: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 - A presunção de indeferimento tácito constitui uma ficção jurídica destinada a facultar ao lesado o acesso à via judicial perante a omissão do dever de decisão, que nem preclude a possibilidade de este vir a recorrer a intimação judicial para um </w:t>
      </w:r>
      <w:r w:rsidRPr="000C2B9C">
        <w:rPr>
          <w:rFonts w:ascii="Arial" w:eastAsia="Calibri" w:hAnsi="Arial" w:cs="Arial"/>
          <w:i/>
        </w:rPr>
        <w:lastRenderedPageBreak/>
        <w:t xml:space="preserve">comportamento, nem transfere para o campo da “discricionariedade administrativa” o dever legal de decidir a reclamação, que apenas se tem por excluído nos casos previstos no n.º 2 do artigo 56.º da LGT.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 O princípio da separação de poderes não se mostra violado quando o Tribunal, a requerimento do lesado, intima a Administração a cumprir um dever a que está legalmente obrigada e que esta voluntariamente não cumpre, no caso dos autos a decidir a reclamação graciosa que lhe foi apresentada em 31 de Março de 2005 e que, até à data, que se saiba, persiste por decidir, embora a Administração já tenha pretendido executar a garantia que a ela se encontra associada."</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 verificar excetuando os casos do nº 2 do artigo 56º da LGT, o dever de pronúncia é sempre obrigatório.</w:t>
      </w:r>
    </w:p>
    <w:p w:rsidR="00AA63F1" w:rsidRPr="000C2B9C" w:rsidRDefault="00AA63F1" w:rsidP="000C2B9C">
      <w:pPr>
        <w:spacing w:before="120" w:after="120" w:line="360" w:lineRule="auto"/>
        <w:jc w:val="both"/>
        <w:rPr>
          <w:rFonts w:ascii="Arial" w:eastAsia="Calibri" w:hAnsi="Arial" w:cs="Arial"/>
        </w:rPr>
      </w:pPr>
    </w:p>
    <w:p w:rsidR="000C2B9C" w:rsidRPr="000C2B9C" w:rsidRDefault="00022A2C" w:rsidP="005E075A">
      <w:pPr>
        <w:pStyle w:val="Ttulo2"/>
        <w:rPr>
          <w:rFonts w:eastAsia="Calibri"/>
        </w:rPr>
      </w:pPr>
      <w:bookmarkStart w:id="52" w:name="_Hlk495529433"/>
      <w:bookmarkStart w:id="53" w:name="_Toc500109636"/>
      <w:r>
        <w:rPr>
          <w:rFonts w:eastAsia="Calibri"/>
        </w:rPr>
        <w:t xml:space="preserve">5.1.4 </w:t>
      </w:r>
      <w:r w:rsidR="000C2B9C" w:rsidRPr="000C2B9C">
        <w:rPr>
          <w:rFonts w:eastAsia="Calibri"/>
        </w:rPr>
        <w:t>Dispensa parcial da garantia</w:t>
      </w:r>
      <w:bookmarkEnd w:id="53"/>
    </w:p>
    <w:bookmarkEnd w:id="52"/>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Saliente-se ainda que esta dispensa de garantia é válida por um ano, no que respeita ao contencioso tributário, nos termos do nº 5 conjugado com o nº</w:t>
      </w:r>
      <w:r w:rsidR="00C91C72">
        <w:rPr>
          <w:rFonts w:ascii="Arial" w:eastAsia="Calibri" w:hAnsi="Arial" w:cs="Arial"/>
        </w:rPr>
        <w:t xml:space="preserve"> </w:t>
      </w:r>
      <w:r w:rsidRPr="000C2B9C">
        <w:rPr>
          <w:rFonts w:ascii="Arial" w:eastAsia="Calibri" w:hAnsi="Arial" w:cs="Arial"/>
        </w:rPr>
        <w:t>4, ambos do artigo 52º da LGT. Nos termos do nº 6 do mesmo artigo, o executado se quiser, terá de requerer novo pedido, sem prejuízo da obrigação de notificação da administração tributária ao executado com pelo menos 30 dias da caducidade de tal isenção, conforme preceituado no nº</w:t>
      </w:r>
      <w:r w:rsidR="00C91C72">
        <w:rPr>
          <w:rFonts w:ascii="Arial" w:eastAsia="Calibri" w:hAnsi="Arial" w:cs="Arial"/>
        </w:rPr>
        <w:t xml:space="preserve"> </w:t>
      </w:r>
      <w:r w:rsidRPr="000C2B9C">
        <w:rPr>
          <w:rFonts w:ascii="Arial" w:eastAsia="Calibri" w:hAnsi="Arial" w:cs="Arial"/>
        </w:rPr>
        <w:t xml:space="preserve">5 do referido artigo.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Importante será destacar que a dispensa de garantia pode ser parcial. Isto é cumprindo os requisitos do nº</w:t>
      </w:r>
      <w:r w:rsidR="00C91C72">
        <w:rPr>
          <w:rFonts w:ascii="Arial" w:eastAsia="Calibri" w:hAnsi="Arial" w:cs="Arial"/>
        </w:rPr>
        <w:t xml:space="preserve"> </w:t>
      </w:r>
      <w:r w:rsidRPr="000C2B9C">
        <w:rPr>
          <w:rFonts w:ascii="Arial" w:eastAsia="Calibri" w:hAnsi="Arial" w:cs="Arial"/>
        </w:rPr>
        <w:t>4 do artigo 52º da LGT, pode haver insuficiência de bens para a garantia da totalidade, mas pode haver bens para garantir parte dessa mesma dívida, podendo então existir despacho de dispensa para o remanescente.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dispensa pode acontecer por duas razões, ou porque já existe penhora no processo de execução fiscal, aquando do pedido, veja-se o Acórdão do Supremo Tribunal Administrativo, processo número 0238/06, de 19 de Abril de 2006,</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dispensa da prestação de garantia, prevista nos artigos 52.º, n.º 4 da Lei Geral Tributária e 170.º do Código de Procedimento e Processo Tributário, não prejudica a penhora já anteriormente efectuada no processo de execução fiscal, em termos de concretização do pagamento coercivo da dívida exequenda."</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Ou então porque o executado oferece parte da garantia e solicita a dispensa para o remanescente. Nos casos em que a situação do executado é bem conhecida por parte </w:t>
      </w:r>
      <w:r w:rsidRPr="000C2B9C">
        <w:rPr>
          <w:rFonts w:ascii="Arial" w:eastAsia="Calibri" w:hAnsi="Arial" w:cs="Arial"/>
        </w:rPr>
        <w:lastRenderedPageBreak/>
        <w:t>da administração tributária, nomeadamente quando esta conhece os bens penhoráveis, ou até porque já os previamente penhorou, esta situação é perfeitamente possível.</w:t>
      </w:r>
    </w:p>
    <w:p w:rsidR="00AA63F1" w:rsidRPr="000C2B9C" w:rsidRDefault="00AA63F1" w:rsidP="000C2B9C">
      <w:pPr>
        <w:spacing w:before="120" w:after="120" w:line="360" w:lineRule="auto"/>
        <w:jc w:val="both"/>
        <w:rPr>
          <w:rFonts w:ascii="Arial" w:eastAsia="Calibri" w:hAnsi="Arial" w:cs="Arial"/>
        </w:rPr>
      </w:pPr>
    </w:p>
    <w:p w:rsidR="000C2B9C" w:rsidRPr="000C2B9C" w:rsidRDefault="00022A2C" w:rsidP="00022A2C">
      <w:pPr>
        <w:pStyle w:val="Ttulo2"/>
        <w:rPr>
          <w:rFonts w:eastAsia="Calibri"/>
        </w:rPr>
      </w:pPr>
      <w:bookmarkStart w:id="54" w:name="_Hlk495529485"/>
      <w:bookmarkStart w:id="55" w:name="_Toc500109637"/>
      <w:r>
        <w:rPr>
          <w:rFonts w:eastAsia="Calibri"/>
        </w:rPr>
        <w:t xml:space="preserve">5.1.5 </w:t>
      </w:r>
      <w:r w:rsidR="000C2B9C" w:rsidRPr="000C2B9C">
        <w:rPr>
          <w:rFonts w:eastAsia="Calibri"/>
        </w:rPr>
        <w:t>Caducidade da garantia</w:t>
      </w:r>
      <w:bookmarkEnd w:id="55"/>
    </w:p>
    <w:bookmarkEnd w:id="54"/>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183º-A do CPPT, tem uma história longa, anteriormente conhecido pela sua epígrafe de "caducidade da garantia" foi revogado pelo artigo 94º da Lei nº 53-A/2006, de 29 de dezembro</w:t>
      </w:r>
      <w:r w:rsidRPr="000C2B9C">
        <w:rPr>
          <w:rFonts w:ascii="Arial" w:eastAsia="Calibri" w:hAnsi="Arial" w:cs="Arial"/>
          <w:vertAlign w:val="superscript"/>
        </w:rPr>
        <w:footnoteReference w:id="52"/>
      </w:r>
      <w:r w:rsidRPr="000C2B9C">
        <w:rPr>
          <w:rFonts w:ascii="Arial" w:eastAsia="Calibri" w:hAnsi="Arial" w:cs="Arial"/>
        </w:rPr>
        <w:t>. Verificando-se uma revogação polémica, este artigo voltou para o CPPT, já com a epígrafe de "Caducidade da garantia em caso de reclamação graciosa", sobre essa polémica, reproduz-se o que dizem Martins e Costa:</w:t>
      </w:r>
    </w:p>
    <w:p w:rsidR="000C2B9C" w:rsidRPr="000C2B9C" w:rsidRDefault="000C2B9C" w:rsidP="000C2B9C">
      <w:pPr>
        <w:spacing w:before="120" w:after="120" w:line="360" w:lineRule="auto"/>
        <w:ind w:right="567"/>
        <w:jc w:val="both"/>
        <w:rPr>
          <w:rFonts w:ascii="Arial" w:eastAsia="Calibri" w:hAnsi="Arial" w:cs="Arial"/>
          <w:i/>
        </w:rPr>
      </w:pPr>
      <w:r w:rsidRPr="000C2B9C">
        <w:rPr>
          <w:rFonts w:ascii="Arial" w:eastAsia="Calibri" w:hAnsi="Arial" w:cs="Arial"/>
          <w:i/>
        </w:rPr>
        <w:t>No entanto e visto que a revogação do artigo 183.º-A do CPPT tinha consubstanciado uma redução de garantias dos contribuintes, foi desenvolvida muita pressão no sentido dos normativos daquele artigo serem repristinados. O legislador, através da Lei n.º 40/2008, de 11 de Agosto, com entrada em vigor a partir de 1 de Janeiro de 2009, decidiu reintroduzir o instituto da caducidade da garantia mas apenas restrito ao processo de reclamação graciosa. Assim actualmente, a garantia prestada para suspender o processo de execução fiscal caduca se a reclamação não estiver decidida no prazo de um ano a contar da data da sua interposição. Refira-se que a reclamação graciosa é uma forma de procedimento tributário cuja iniciativa pertence ao contribuinte e tem de ser interposta nos prazos consagrados na lei, em regra 120 dias após o termo do prazo de pagamento voluntário. Em face dos n.os 1 e 5 do artigo 57.º da LGT, a reclamação graciosa deve estar decidida no prazo de quatro meses contados a partir da entrada da petição no serviço competente da Administração Tributária, pelo que é possível afirmar que a hipótese de caducidade da garantia por ausência de decisão expressa da reclamação graciosa é muito reduzida. Sempre que se verifique a caducidade da garantia por reconhecimento expresso ou tácito, o órgão de execução fiscal tem de, no prazo de cinco dias, promover o cancelamento da respectiva garantia – n.º 5 do artigo 183.º-A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norma não nos oferece qualquer reparo, por considerarmos justa e equilibrada, uma vez que no caso da reclamação graciosa o procedimento é administrativo e depende só, da AT, pelo que penalizar o contribuinte por inércia da administração não faria qualquer sentido.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A novidade normativa introduzida com o Orçamento de Estado para 2017, artigo 230.º da Lei n.º 42/2016, de 28 de dezembro, prende-se com a inclusão no CPPT, do artigo 183º-B,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"Caducidade da garantia por decisão em 1.ª instância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1 - A garantia prestada para suspender o processo de execução fiscal caduca se na ação de impugnação judicial ou de oposição o garantido obtiver decisão integralmente favorável em 1.ª instância.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2 - O cancelamento da garantia cabe ao órgão de execução fiscal, oficiosamente, no prazo de 45 dias após a notificação da decisão a que se refere o número anterior. (Disposição transitória artigo 231.º da Lei n.º 42/2016, de 28/12 - No caso de sentenças proferidas até 31 de dezembro de 2016, o prazo é de 120 dias.)"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 norma vem também promover um certo equilíbrio e justiça, uma vez que em caso de decisão integralmente favorável e reforçamos, que só em caso da decisão de 1ª instância, ser totalmente procedente é que a norma tem efeito. Caso um contribuinte obtenha uma decisão completamente favorável, ainda que possa ser objeto de recurso para instância superior não tem de ser penalizado pelo recurso que a Fazenda deduza com toda a legitimidade e legalidade, mas cuja decisão em contrário será sempre mais difícil de obter. O que acontecia antes desta norma entrar em vigor é que, os contribuintes que obtinham em primeira instância uma decisão totalmente procedente tinham de manter a garantia prestada até à decisão do pleito, o que acarretava enormes custos e constrangimentos. Assim, neste momento, e com esta lei vigente se a Fazenda optar por recorrer de uma decisão que lhe tenha sido completamente desfavorável, terá de o fazer sem ter uma garantia vigente por parte do suposto devedor. Finalmente há que referir que estas duas caducidades de garantia quando acionadas mantêm a suspensão do processo de execução fiscal, como é perfeitamente entendível.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Finalmente uma breve referência para a revogação do nº</w:t>
      </w:r>
      <w:r w:rsidR="00C91C72">
        <w:rPr>
          <w:rFonts w:ascii="Arial" w:eastAsia="Calibri" w:hAnsi="Arial" w:cs="Arial"/>
        </w:rPr>
        <w:t xml:space="preserve"> </w:t>
      </w:r>
      <w:r w:rsidRPr="000C2B9C">
        <w:rPr>
          <w:rFonts w:ascii="Arial" w:eastAsia="Calibri" w:hAnsi="Arial" w:cs="Arial"/>
        </w:rPr>
        <w:t>5 do artigo 170º do CPPT, por via da Lei n.º 100/2017, de 28 de agosto, mas que só entrará em vigor em 1 de janeiro de 2018, aplicando-se no entanto aos processos pendentes. Esta norma regulava as competências de decisão sobre a dispensa de garantia, "</w:t>
      </w:r>
      <w:r w:rsidRPr="000C2B9C">
        <w:rPr>
          <w:rFonts w:ascii="Arial" w:eastAsia="Calibri" w:hAnsi="Arial" w:cs="Arial"/>
          <w:i/>
        </w:rPr>
        <w:t>A competência para decidir nos termos do presente artigo é do órgão da execução fiscal, exceto quando o valor da dívida exequenda for superior a 500 unidades de conta, caso em que essa competência é do órgão periférico regional, que pode proceder à sua delegação em funcionário qualificado.</w:t>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 partir de 1 de janeiro de 2018, a competência passa a ser do dirigente máximo do órgão periférico regional, que pode no entanto delegar essa mesma competência, por </w:t>
      </w:r>
      <w:r w:rsidRPr="000C2B9C">
        <w:rPr>
          <w:rFonts w:ascii="Arial" w:eastAsia="Calibri" w:hAnsi="Arial" w:cs="Arial"/>
        </w:rPr>
        <w:lastRenderedPageBreak/>
        <w:t>força da alteração ao nº</w:t>
      </w:r>
      <w:r w:rsidR="00C91C72">
        <w:rPr>
          <w:rFonts w:ascii="Arial" w:eastAsia="Calibri" w:hAnsi="Arial" w:cs="Arial"/>
        </w:rPr>
        <w:t xml:space="preserve"> </w:t>
      </w:r>
      <w:r w:rsidRPr="000C2B9C">
        <w:rPr>
          <w:rFonts w:ascii="Arial" w:eastAsia="Calibri" w:hAnsi="Arial" w:cs="Arial"/>
        </w:rPr>
        <w:t xml:space="preserve">5 do artigo 150º do CPPT, </w:t>
      </w:r>
      <w:r w:rsidRPr="000C2B9C">
        <w:rPr>
          <w:rFonts w:ascii="Arial" w:eastAsia="Calibri" w:hAnsi="Arial" w:cs="Arial"/>
          <w:i/>
        </w:rPr>
        <w:t>" O dirigente máximo do órgão periférico regional onde deva correr a execução fiscal pode delegar a competência na execução fiscal em qualquer órgão periférico local da sua área de competência territorial."</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 Concluindo, na nossa opinião a questão das garantias e da sua constituição versus a sua dispensa, torna-se mais essencial em planos longos. Evidentemente que o montante da dívida também é relevante na garantia prestada, uma vez que quanto maior é a dívida, maior é o risco, podendo-se fazer igual raciocínio para os planos de longo prazo. Este será sempre um problema de alta complexidade, uma vez que existem várias situações na relação credor/devedor. Alguns contribuintes têm dívidas avultadas, mas têm simultaneamente capacidade de as pagar (quanto mais não seja no longo prazo), e também de prestar garantia. Essas garantias podem ser (mais raramente) por acesso a financiamento bancário ou por existência de património (nomeadamente imobiliário). Nestes casos os pressupostos dos prejuízos irreparáveis não se verificam. Por outro lado temos contribuintes em que a capacidade económica, financeira e patrimonial já é bastante reduzida ou nula (veja-se habitualmente quem recorre aos PER ou SIREVE</w:t>
      </w:r>
      <w:r w:rsidRPr="000C2B9C">
        <w:rPr>
          <w:rFonts w:ascii="Arial" w:eastAsia="Calibri" w:hAnsi="Arial" w:cs="Arial"/>
          <w:vertAlign w:val="superscript"/>
        </w:rPr>
        <w:footnoteReference w:id="53"/>
      </w:r>
      <w:r w:rsidRPr="000C2B9C">
        <w:rPr>
          <w:rFonts w:ascii="Arial" w:eastAsia="Calibri" w:hAnsi="Arial" w:cs="Arial"/>
        </w:rPr>
        <w:t xml:space="preserve">), pelo que a prestação de qualquer garantia, já não é um mero formalismo de prejuízo irreparável, mas sim uma impossibilidade. Nestes casos o credor tributário não deve mais do que deferir o plano de pagamento em prestações e dispensar a garantia a prestar. </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5E075A">
      <w:pPr>
        <w:pStyle w:val="Ttulo1"/>
        <w:rPr>
          <w:rFonts w:eastAsia="Calibri"/>
        </w:rPr>
      </w:pPr>
      <w:bookmarkStart w:id="56" w:name="_Toc500109638"/>
      <w:r w:rsidRPr="000C2B9C">
        <w:rPr>
          <w:rFonts w:eastAsia="Calibri"/>
        </w:rPr>
        <w:t>Capitulo 6</w:t>
      </w:r>
      <w:bookmarkEnd w:id="56"/>
    </w:p>
    <w:p w:rsidR="000C2B9C" w:rsidRPr="000C2B9C" w:rsidRDefault="00E56AF6" w:rsidP="005E075A">
      <w:pPr>
        <w:pStyle w:val="Ttulo1"/>
        <w:rPr>
          <w:rFonts w:eastAsia="Calibri"/>
        </w:rPr>
      </w:pPr>
      <w:bookmarkStart w:id="57" w:name="_Toc500109639"/>
      <w:r>
        <w:rPr>
          <w:rFonts w:eastAsia="Calibri"/>
        </w:rPr>
        <w:t xml:space="preserve">6.1 </w:t>
      </w:r>
      <w:r w:rsidR="000C2B9C" w:rsidRPr="000C2B9C">
        <w:rPr>
          <w:rFonts w:eastAsia="Calibri"/>
        </w:rPr>
        <w:t>Estudo Comparativo</w:t>
      </w:r>
      <w:bookmarkEnd w:id="57"/>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Pretendemos neste capítulo dar a conhecer outras realidades em ordenamentos jurídicos diversos para assim podermos comparar e chegar a uma conclusão sobre a forma como lidam outros países com estas questões de garantias e pagamentos prestacionais.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Escolhemos dois para desenvolver o tema, que são a Espanha e o Brasil e fazemos ainda uma breve incursão na vertente prática do I.R.S.</w:t>
      </w:r>
      <w:r w:rsidRPr="000C2B9C">
        <w:rPr>
          <w:rFonts w:ascii="Arial" w:eastAsia="Calibri" w:hAnsi="Arial" w:cs="Arial"/>
          <w:vertAlign w:val="superscript"/>
        </w:rPr>
        <w:footnoteReference w:id="54"/>
      </w:r>
      <w:r w:rsidRPr="000C2B9C">
        <w:rPr>
          <w:rFonts w:ascii="Arial" w:eastAsia="Calibri" w:hAnsi="Arial" w:cs="Arial"/>
        </w:rPr>
        <w:t xml:space="preserve">, </w:t>
      </w:r>
      <w:bookmarkStart w:id="58" w:name="_Hlk499677525"/>
      <w:r w:rsidRPr="000C2B9C">
        <w:rPr>
          <w:rFonts w:ascii="Arial" w:eastAsia="Calibri" w:hAnsi="Arial" w:cs="Arial"/>
        </w:rPr>
        <w:t>dos Estados Unidos da América do Norte.</w:t>
      </w:r>
      <w:bookmarkEnd w:id="58"/>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Pretendemos aqui com este breve estudo dar uma visão de outras realidades, não pretendendo este estudo ser exaustivo, até porque não o poderia ser, mas sim evidenciar o que se faz de igual ou de diferente fora de Portugal.</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critério que teve por base a escolha deste três ordenamentos foi a de procurarmos países que fizessem parte, tal como Portugal, do </w:t>
      </w:r>
      <w:bookmarkStart w:id="59" w:name="_Hlk499677592"/>
      <w:r w:rsidRPr="000C2B9C">
        <w:rPr>
          <w:rFonts w:ascii="Arial" w:eastAsia="Calibri" w:hAnsi="Arial" w:cs="Arial"/>
        </w:rPr>
        <w:t>CIAT (Centro Inter-Americano de Administrações Tributárias).</w:t>
      </w:r>
    </w:p>
    <w:p w:rsidR="00AA63F1" w:rsidRPr="000C2B9C" w:rsidRDefault="00AA63F1" w:rsidP="000C2B9C">
      <w:pPr>
        <w:spacing w:before="120" w:after="120" w:line="360" w:lineRule="auto"/>
        <w:jc w:val="both"/>
        <w:rPr>
          <w:rFonts w:ascii="Arial" w:eastAsia="Calibri" w:hAnsi="Arial" w:cs="Arial"/>
        </w:rPr>
      </w:pPr>
    </w:p>
    <w:p w:rsidR="000C2B9C" w:rsidRPr="005E075A" w:rsidRDefault="00E56AF6" w:rsidP="005E075A">
      <w:pPr>
        <w:pStyle w:val="Ttulo2"/>
        <w:rPr>
          <w:rFonts w:eastAsia="Calibri"/>
        </w:rPr>
      </w:pPr>
      <w:bookmarkStart w:id="60" w:name="_Hlk494837689"/>
      <w:bookmarkStart w:id="61" w:name="_Toc500109640"/>
      <w:bookmarkEnd w:id="59"/>
      <w:r>
        <w:rPr>
          <w:rFonts w:eastAsia="Calibri"/>
        </w:rPr>
        <w:t xml:space="preserve">6.1.1 </w:t>
      </w:r>
      <w:r w:rsidR="000C2B9C" w:rsidRPr="005E075A">
        <w:rPr>
          <w:rFonts w:eastAsia="Calibri"/>
        </w:rPr>
        <w:t>O caso espanhol</w:t>
      </w:r>
      <w:bookmarkEnd w:id="61"/>
    </w:p>
    <w:bookmarkEnd w:id="60"/>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Nos termos da Lei Geral Tributária (LGT_E)</w:t>
      </w:r>
      <w:r w:rsidRPr="000C2B9C">
        <w:rPr>
          <w:rFonts w:ascii="Arial" w:eastAsia="Calibri" w:hAnsi="Arial" w:cs="Arial"/>
          <w:vertAlign w:val="superscript"/>
        </w:rPr>
        <w:footnoteReference w:id="55"/>
      </w:r>
      <w:r w:rsidRPr="000C2B9C">
        <w:rPr>
          <w:rFonts w:ascii="Arial" w:eastAsia="Calibri" w:hAnsi="Arial" w:cs="Arial"/>
        </w:rPr>
        <w:t>, do Reino de Espanha</w:t>
      </w:r>
      <w:r w:rsidRPr="000C2B9C">
        <w:rPr>
          <w:rFonts w:ascii="Arial" w:eastAsia="Calibri" w:hAnsi="Arial" w:cs="Arial"/>
          <w:vertAlign w:val="superscript"/>
        </w:rPr>
        <w:footnoteReference w:id="56"/>
      </w:r>
      <w:r w:rsidRPr="000C2B9C">
        <w:rPr>
          <w:rFonts w:ascii="Arial" w:eastAsia="Calibri" w:hAnsi="Arial" w:cs="Arial"/>
        </w:rPr>
        <w:t>, o devedor pode solicitar o pagamento em prestações das dívidas de natureza tributária, ou dívidas de outra natureza pública. (artigo 44 da LGT_E).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seguinte regula quem tem competência para o deferimento e instauração e regra geral é a Agencia Estatal de Administración Tributaria, que é a estrutura homóloga da Autoridade Tributária no nosso país. Em casos excecionais pode a gestão desses recursos ser atribuída a outros órgãos da administração geral do Estado, organismos autónomos ou outra entidade de direito público; Neste caso, serão processadas e resolvidos por esses órgãos ou entidades.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46</w:t>
      </w:r>
      <w:r w:rsidR="00C91C72">
        <w:rPr>
          <w:rFonts w:ascii="Arial" w:eastAsia="Calibri" w:hAnsi="Arial" w:cs="Arial"/>
        </w:rPr>
        <w:t>º</w:t>
      </w:r>
      <w:r w:rsidRPr="000C2B9C">
        <w:rPr>
          <w:rFonts w:ascii="Arial" w:eastAsia="Calibri" w:hAnsi="Arial" w:cs="Arial"/>
        </w:rPr>
        <w:t xml:space="preserve"> da LGT_E, regula as normas dos pedidos de pagamentos em prestações. No número 1, deste artigo, o que é importante para a nossa análise, é de que para além dos prazos específicos para apresentação do pedido de pagamento em prestações, o devedor pode apresentar esse mesmo pedido até à venda, à semelhança do que acontece com o nº 1 do artigo 196º do CPPT, na nossa legislação.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nº 2 do artigo 46 da LGT_E, expõe o que é necessário ao requerimento para o pedido de pagamento em prestações, do qual destacamos, a fundamentação e a garantia. A fundamentação exige que se explique as razões para o pedido de pagamento em prestações, no que diz respeito à garantia, existe uma hierarquia, onde primeiro vem os rendimentos e créditos e só depois</w:t>
      </w:r>
      <w:r w:rsidR="00C91C72">
        <w:rPr>
          <w:rFonts w:ascii="Arial" w:eastAsia="Calibri" w:hAnsi="Arial" w:cs="Arial"/>
        </w:rPr>
        <w:t>,</w:t>
      </w:r>
      <w:r w:rsidRPr="000C2B9C">
        <w:rPr>
          <w:rFonts w:ascii="Arial" w:eastAsia="Calibri" w:hAnsi="Arial" w:cs="Arial"/>
        </w:rPr>
        <w:t xml:space="preserve"> caso os primeiros sejam insuficientes, o penhor de </w:t>
      </w:r>
      <w:r w:rsidRPr="000C2B9C">
        <w:rPr>
          <w:rFonts w:ascii="Arial" w:eastAsia="Calibri" w:hAnsi="Arial" w:cs="Arial"/>
        </w:rPr>
        <w:lastRenderedPageBreak/>
        <w:t>bens é</w:t>
      </w:r>
      <w:r w:rsidR="00C91C72">
        <w:rPr>
          <w:rFonts w:ascii="Arial" w:eastAsia="Calibri" w:hAnsi="Arial" w:cs="Arial"/>
        </w:rPr>
        <w:t>,</w:t>
      </w:r>
      <w:r w:rsidRPr="000C2B9C">
        <w:rPr>
          <w:rFonts w:ascii="Arial" w:eastAsia="Calibri" w:hAnsi="Arial" w:cs="Arial"/>
        </w:rPr>
        <w:t xml:space="preserve"> então</w:t>
      </w:r>
      <w:r w:rsidR="00C91C72">
        <w:rPr>
          <w:rFonts w:ascii="Arial" w:eastAsia="Calibri" w:hAnsi="Arial" w:cs="Arial"/>
        </w:rPr>
        <w:t>,</w:t>
      </w:r>
      <w:r w:rsidRPr="000C2B9C">
        <w:rPr>
          <w:rFonts w:ascii="Arial" w:eastAsia="Calibri" w:hAnsi="Arial" w:cs="Arial"/>
        </w:rPr>
        <w:t xml:space="preserve"> aceite. No entanto</w:t>
      </w:r>
      <w:r w:rsidR="00C91C72">
        <w:rPr>
          <w:rFonts w:ascii="Arial" w:eastAsia="Calibri" w:hAnsi="Arial" w:cs="Arial"/>
        </w:rPr>
        <w:t>,</w:t>
      </w:r>
      <w:r w:rsidRPr="000C2B9C">
        <w:rPr>
          <w:rFonts w:ascii="Arial" w:eastAsia="Calibri" w:hAnsi="Arial" w:cs="Arial"/>
        </w:rPr>
        <w:t xml:space="preserve"> esta é a primeira fase que acompanha o pedido. Numa segunda fase poderá/deverá</w:t>
      </w:r>
      <w:r w:rsidRPr="000C2B9C">
        <w:rPr>
          <w:rFonts w:ascii="Arial" w:eastAsia="Calibri" w:hAnsi="Arial" w:cs="Arial"/>
          <w:vertAlign w:val="superscript"/>
        </w:rPr>
        <w:footnoteReference w:id="57"/>
      </w:r>
      <w:r w:rsidRPr="000C2B9C">
        <w:rPr>
          <w:rFonts w:ascii="Arial" w:eastAsia="Calibri" w:hAnsi="Arial" w:cs="Arial"/>
        </w:rPr>
        <w:t xml:space="preserve"> juntar ainda garantia bancária, caução ou seguro caução, à semelhança do nº 1 do artigo 199º do CPPT, na legislação portuguesa. Outra garantia são créditos que a entidade seja titular e que se vençam durante a vigência do plano prestacional, não obstante alguns condicionalismos</w:t>
      </w:r>
      <w:r w:rsidRPr="000C2B9C">
        <w:rPr>
          <w:rFonts w:ascii="Arial" w:eastAsia="Calibri" w:hAnsi="Arial" w:cs="Arial"/>
          <w:vertAlign w:val="superscript"/>
        </w:rPr>
        <w:footnoteReference w:id="58"/>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para determinar as condições que se consideram necessárias para assegurar o pagamento em numerário no mais curto espaço de tempo possível e garantir a dívida a pagar prestacionalmente, bem como o correto cumprimento das obrigações fiscais do requerente. Em particular, podem estabelecer-se condições que afetam o cumprimento dos pagamentos adiamento ou fracionamento que as autoridades tributárias</w:t>
      </w:r>
      <w:r w:rsidRPr="000C2B9C">
        <w:rPr>
          <w:rFonts w:ascii="Arial" w:eastAsia="Calibri" w:hAnsi="Arial" w:cs="Arial"/>
          <w:vertAlign w:val="superscript"/>
        </w:rPr>
        <w:footnoteReference w:id="59"/>
      </w:r>
      <w:r w:rsidRPr="000C2B9C">
        <w:rPr>
          <w:rFonts w:ascii="Arial" w:eastAsia="Calibri" w:hAnsi="Arial" w:cs="Arial"/>
        </w:rPr>
        <w:t xml:space="preserve"> devem estabelecer ou impor ao devedor, durante a vigência do acordo, na medida que não prejudique a viabilidade económica ou continuidade da atividade dos diversos agentes económicos. Para este fim, no caso de concessão de isenção total ou parcial, de garantias, desde o momento da decisão é desencadeada a aplicação dos créditos e débitos logo que possível para compensação para que cause os efeitos na redução da dívida, mesmo quando isso possa levar à antecipação da maturidade dos prazos e sem prejuízo para o novo cálculo dos juros de mora resultantes. Obriga ainda ao cumprimento integral de todas as obrigações fiscais, durante a vigência do plano prestacional. Quando solicitado o pagamento em prestações e nele sejam incluídas dívidas ainda em pagamento voluntário e dívidas em pagamento coercivo, ou seja em execução fiscal, estas últimas são pagas em primeiro lugar, e só posteriormente as primeiras.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Quando a garantia para os pagamentos prestacionais, não seja uma garantia bancária, caução ou seguro caução é exigido ao devedor uma declaração de responsabilidade e justificação documental pela qual está incapacitado de obter o financiamento junto das instituições financeiras, uma avaliação dos seus ativos e que esses bens se sujeitem a uma avaliação por um perito avaliador independente e ainda diversos elementos contabilísticos, tais como um balanço e demonstração do resultado do último fecho, relatório financeiro do ano e de auditoria, se existir, no caso de empresários ou profissionais obrigados a terem contabilidade organizada.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Quando seja solicitada a dispensa total ou parcial da garantia, para além do que é exigido para quem não apresenta garantia bancária, caução ou seguro caução, acresce, </w:t>
      </w:r>
      <w:r w:rsidRPr="000C2B9C">
        <w:rPr>
          <w:rFonts w:ascii="Arial" w:eastAsia="Calibri" w:hAnsi="Arial" w:cs="Arial"/>
        </w:rPr>
        <w:lastRenderedPageBreak/>
        <w:t>uma declaração de responsabilidade de que não possui mais bens do que os que estão a ser oferecidos para garantia. Contabilisticamente terá de apresentar balanço e demonstração de resultados dos últimos três anos. Por último</w:t>
      </w:r>
      <w:r w:rsidR="00C91C72">
        <w:rPr>
          <w:rFonts w:ascii="Arial" w:eastAsia="Calibri" w:hAnsi="Arial" w:cs="Arial"/>
        </w:rPr>
        <w:t>,</w:t>
      </w:r>
      <w:r w:rsidRPr="000C2B9C">
        <w:rPr>
          <w:rFonts w:ascii="Arial" w:eastAsia="Calibri" w:hAnsi="Arial" w:cs="Arial"/>
        </w:rPr>
        <w:t xml:space="preserve"> </w:t>
      </w:r>
      <w:r w:rsidR="00C91C72">
        <w:rPr>
          <w:rFonts w:ascii="Arial" w:eastAsia="Calibri" w:hAnsi="Arial" w:cs="Arial"/>
        </w:rPr>
        <w:t>o</w:t>
      </w:r>
      <w:r w:rsidRPr="000C2B9C">
        <w:rPr>
          <w:rFonts w:ascii="Arial" w:eastAsia="Calibri" w:hAnsi="Arial" w:cs="Arial"/>
        </w:rPr>
        <w:t xml:space="preserve"> plano de viabilidade de quaisquer outras informações que justifiquem a possibilidade de cumprir o plano prestacional solicitado.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Se o pedido não preencher os requisitos estabelecidos no regulamento e não for acompanhado dos documentos solicitados anteriormente, a autoridade competente para a tramitação do plano prestacional exigirá ao requerente que, no prazo de 10 dias após a notificação da exigência, sane a falta ou forneça os documentos que a situação exige, sob pena do pedido ser arquivado sem mais formalidade.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48º da LGT_E refere-se às garantias para pagamento em prestações.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Sempre que o requerente é uma pessoa ou agente integrante da administração pública a garantia não é exigida. A garantia vai cobrir o montante da dívida no período de pagamento voluntário, os juros de mora e 25 por cento da soma da quantia exequenda e dos juros de mora</w:t>
      </w:r>
      <w:r w:rsidRPr="000C2B9C">
        <w:rPr>
          <w:rFonts w:ascii="Arial" w:eastAsia="Calibri" w:hAnsi="Arial" w:cs="Arial"/>
          <w:vertAlign w:val="superscript"/>
        </w:rPr>
        <w:footnoteReference w:id="60"/>
      </w:r>
      <w:r w:rsidRPr="000C2B9C">
        <w:rPr>
          <w:rFonts w:ascii="Arial" w:eastAsia="Calibri" w:hAnsi="Arial" w:cs="Arial"/>
        </w:rPr>
        <w:t>. No mesmo sentido que a lei portuguesa prescreve. A lei espanhola determina que a entidade competente para autorizar os pagamentos prestacionais é a mesma que avalia a suficiência da garantia</w:t>
      </w:r>
      <w:r w:rsidRPr="000C2B9C">
        <w:rPr>
          <w:rFonts w:ascii="Arial" w:eastAsia="Calibri" w:hAnsi="Arial" w:cs="Arial"/>
          <w:vertAlign w:val="superscript"/>
        </w:rPr>
        <w:footnoteReference w:id="61"/>
      </w:r>
      <w:r w:rsidRPr="000C2B9C">
        <w:rPr>
          <w:rFonts w:ascii="Arial" w:eastAsia="Calibri" w:hAnsi="Arial" w:cs="Arial"/>
        </w:rPr>
        <w:t xml:space="preserve">. Em consonância com o nº 7 do artigo 199º do CPPT, em Espanha exige-se um acréscimo de 6 meses e não de 3 meses, para além do términus do plano de pagamento em prestações.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Algo curioso, que o artigo 49</w:t>
      </w:r>
      <w:r w:rsidR="00C808E6">
        <w:rPr>
          <w:rFonts w:ascii="Arial" w:eastAsia="Calibri" w:hAnsi="Arial" w:cs="Arial"/>
        </w:rPr>
        <w:t>º</w:t>
      </w:r>
      <w:r w:rsidRPr="000C2B9C">
        <w:rPr>
          <w:rFonts w:ascii="Arial" w:eastAsia="Calibri" w:hAnsi="Arial" w:cs="Arial"/>
        </w:rPr>
        <w:t xml:space="preserve"> da LGT-E, nos mostra, e que diverge das normas portuguesas</w:t>
      </w:r>
      <w:r w:rsidR="00C808E6">
        <w:rPr>
          <w:rFonts w:ascii="Arial" w:eastAsia="Calibri" w:hAnsi="Arial" w:cs="Arial"/>
        </w:rPr>
        <w:t>,</w:t>
      </w:r>
      <w:r w:rsidRPr="000C2B9C">
        <w:rPr>
          <w:rFonts w:ascii="Arial" w:eastAsia="Calibri" w:hAnsi="Arial" w:cs="Arial"/>
        </w:rPr>
        <w:t xml:space="preserve"> prende-se com o fa</w:t>
      </w:r>
      <w:r w:rsidR="00C808E6">
        <w:rPr>
          <w:rFonts w:ascii="Arial" w:eastAsia="Calibri" w:hAnsi="Arial" w:cs="Arial"/>
        </w:rPr>
        <w:t>c</w:t>
      </w:r>
      <w:r w:rsidRPr="000C2B9C">
        <w:rPr>
          <w:rFonts w:ascii="Arial" w:eastAsia="Calibri" w:hAnsi="Arial" w:cs="Arial"/>
        </w:rPr>
        <w:t>to de quando a garantia a prestar pelo devedor, seja demasiado onerosa, este pode requerer à Administração Tributária a sua substituição por medidas cautelares, que podem ser a concessão de créditos futuros ou a penhora de bens.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É interessante também o disposto no artigo 51</w:t>
      </w:r>
      <w:r w:rsidR="00C808E6">
        <w:rPr>
          <w:rFonts w:ascii="Arial" w:eastAsia="Calibri" w:hAnsi="Arial" w:cs="Arial"/>
        </w:rPr>
        <w:t>º</w:t>
      </w:r>
      <w:r w:rsidRPr="000C2B9C">
        <w:rPr>
          <w:rFonts w:ascii="Arial" w:eastAsia="Calibri" w:hAnsi="Arial" w:cs="Arial"/>
        </w:rPr>
        <w:t>, ainda da LGT_E, e que reside no fato de quando existe um pedido de pagamento em prestações</w:t>
      </w:r>
      <w:r w:rsidR="00C808E6">
        <w:rPr>
          <w:rFonts w:ascii="Arial" w:eastAsia="Calibri" w:hAnsi="Arial" w:cs="Arial"/>
        </w:rPr>
        <w:t>,</w:t>
      </w:r>
      <w:r w:rsidRPr="000C2B9C">
        <w:rPr>
          <w:rFonts w:ascii="Arial" w:eastAsia="Calibri" w:hAnsi="Arial" w:cs="Arial"/>
        </w:rPr>
        <w:t xml:space="preserve"> se a análise da garantia ou da sua dispensa for demasiado complexa, é iniciado um plano prestacional provisório que se manterá até à decisão da garantia.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artigo 53</w:t>
      </w:r>
      <w:r w:rsidR="00C808E6">
        <w:rPr>
          <w:rFonts w:ascii="Arial" w:eastAsia="Calibri" w:hAnsi="Arial" w:cs="Arial"/>
        </w:rPr>
        <w:t>º</w:t>
      </w:r>
      <w:r w:rsidRPr="000C2B9C">
        <w:rPr>
          <w:rFonts w:ascii="Arial" w:eastAsia="Calibri" w:hAnsi="Arial" w:cs="Arial"/>
        </w:rPr>
        <w:t xml:space="preserve"> da LGT_E, versa sobre o atraso ou falta de pagamento dos planos prestacionais, neste caso devem ser calculados juros, sobre a dívida remanescente, entre o prazo de pagamento e a nova data de tempo concedido, se o adiamento foi </w:t>
      </w:r>
      <w:r w:rsidRPr="000C2B9C">
        <w:rPr>
          <w:rFonts w:ascii="Arial" w:eastAsia="Calibri" w:hAnsi="Arial" w:cs="Arial"/>
        </w:rPr>
        <w:lastRenderedPageBreak/>
        <w:t xml:space="preserve">solicitado no período do processo de execução fiscal, a base para o cálculo dos juros não incluirá a sobretaxa do período. Os juros acumulados serão pagos juntamente com o pagamento em falta. </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podemos verificar o regime de Espanha não difere substancialmente do</w:t>
      </w:r>
      <w:r w:rsidR="00C808E6">
        <w:rPr>
          <w:rFonts w:ascii="Arial" w:eastAsia="Calibri" w:hAnsi="Arial" w:cs="Arial"/>
        </w:rPr>
        <w:t xml:space="preserve"> regime</w:t>
      </w:r>
      <w:r w:rsidRPr="000C2B9C">
        <w:rPr>
          <w:rFonts w:ascii="Arial" w:eastAsia="Calibri" w:hAnsi="Arial" w:cs="Arial"/>
        </w:rPr>
        <w:t xml:space="preserve"> vigente em Portugal, ainda que</w:t>
      </w:r>
      <w:r w:rsidR="00C808E6">
        <w:rPr>
          <w:rFonts w:ascii="Arial" w:eastAsia="Calibri" w:hAnsi="Arial" w:cs="Arial"/>
        </w:rPr>
        <w:t>,</w:t>
      </w:r>
      <w:r w:rsidRPr="000C2B9C">
        <w:rPr>
          <w:rFonts w:ascii="Arial" w:eastAsia="Calibri" w:hAnsi="Arial" w:cs="Arial"/>
        </w:rPr>
        <w:t xml:space="preserve"> como podemos analisar</w:t>
      </w:r>
      <w:r w:rsidR="00C808E6">
        <w:rPr>
          <w:rFonts w:ascii="Arial" w:eastAsia="Calibri" w:hAnsi="Arial" w:cs="Arial"/>
        </w:rPr>
        <w:t>,</w:t>
      </w:r>
      <w:r w:rsidRPr="000C2B9C">
        <w:rPr>
          <w:rFonts w:ascii="Arial" w:eastAsia="Calibri" w:hAnsi="Arial" w:cs="Arial"/>
        </w:rPr>
        <w:t xml:space="preserve"> existam pequenas diferenças que são muito interessantes de comparar.</w:t>
      </w:r>
    </w:p>
    <w:p w:rsidR="00AA63F1" w:rsidRPr="000C2B9C" w:rsidRDefault="00AA63F1" w:rsidP="000C2B9C">
      <w:pPr>
        <w:spacing w:before="120" w:after="120" w:line="360" w:lineRule="auto"/>
        <w:jc w:val="both"/>
        <w:rPr>
          <w:rFonts w:ascii="Arial" w:eastAsia="Calibri" w:hAnsi="Arial" w:cs="Arial"/>
        </w:rPr>
      </w:pPr>
    </w:p>
    <w:p w:rsidR="000C2B9C" w:rsidRPr="000C2B9C" w:rsidRDefault="00E56AF6" w:rsidP="005E075A">
      <w:pPr>
        <w:pStyle w:val="Ttulo2"/>
        <w:rPr>
          <w:rFonts w:eastAsia="Calibri"/>
        </w:rPr>
      </w:pPr>
      <w:bookmarkStart w:id="62" w:name="_Hlk495046143"/>
      <w:bookmarkStart w:id="63" w:name="_Toc500109641"/>
      <w:r>
        <w:rPr>
          <w:rFonts w:eastAsia="Calibri"/>
        </w:rPr>
        <w:t xml:space="preserve">6.1.2 </w:t>
      </w:r>
      <w:r w:rsidR="000C2B9C" w:rsidRPr="000C2B9C">
        <w:rPr>
          <w:rFonts w:eastAsia="Calibri"/>
        </w:rPr>
        <w:t>O Brasil, uma perspetiva diferente</w:t>
      </w:r>
      <w:bookmarkEnd w:id="62"/>
      <w:r w:rsidR="000C2B9C" w:rsidRPr="000C2B9C">
        <w:rPr>
          <w:rFonts w:eastAsia="Calibri"/>
        </w:rPr>
        <w:t>.</w:t>
      </w:r>
      <w:bookmarkEnd w:id="63"/>
    </w:p>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que nos propomos neste subcapítulo á a análise do sistema de pagamentos prestacional do fisco brasileiro. Quando falamos numa perspetiva diferente, prende-se que nesta comparação a abordagem em termos comparativos será diversa da que fizemos com o sistema espanhol. Desde já porque o sistema do país vizinho é muito semelhante ao português, o mesmo já não poderemos dizer do brasileiro.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parcelamento, expressão usada no brasil para os pagamentos em prestações, é um procedimento que suspende a imediata cobrança do crédito tributário e do qual o devedor se disponibiliza a pagar ao fisco, mas de forma faseada. Este mecanismo conduz a uma suspensão temporária do crédito tributário por contraste com o pagamento que leva necessariamente à extinção.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"O </w:t>
      </w:r>
      <w:bookmarkStart w:id="64" w:name="_Hlk499677770"/>
      <w:r w:rsidRPr="000C2B9C">
        <w:rPr>
          <w:rFonts w:ascii="Arial" w:eastAsia="Calibri" w:hAnsi="Arial" w:cs="Arial"/>
          <w:i/>
        </w:rPr>
        <w:t xml:space="preserve">CTN - Código Tributário Nacional </w:t>
      </w:r>
      <w:bookmarkEnd w:id="64"/>
      <w:r w:rsidRPr="000C2B9C">
        <w:rPr>
          <w:rFonts w:ascii="Arial" w:eastAsia="Calibri" w:hAnsi="Arial" w:cs="Arial"/>
          <w:i/>
        </w:rPr>
        <w:t>- é a Lei norteadora, no Brasil, da aplicabilidade dos tributos, extensão, alcance, limites, direitos e deveres dos contribuintes, atuação dos agentes fiscalizadores e demais normas tributárias.</w:t>
      </w:r>
      <w:r w:rsidRPr="000C2B9C">
        <w:rPr>
          <w:rFonts w:ascii="Arial" w:eastAsia="Calibri" w:hAnsi="Arial" w:cs="Arial"/>
          <w:i/>
          <w:vertAlign w:val="superscript"/>
        </w:rPr>
        <w:footnoteReference w:id="62"/>
      </w:r>
      <w:r w:rsidRPr="000C2B9C">
        <w:rPr>
          <w:rFonts w:ascii="Arial" w:eastAsia="Calibri" w:hAnsi="Arial" w:cs="Arial"/>
          <w:i/>
        </w:rPr>
        <w:t xml:space="preserve">"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CTN, prevê no artigo 206º que nos casos em que os tributos estejam a ser pagos em prestações o devedor possa obter uma certidão de situação tributária regularizada.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Artigo 205º e 206º do CTN:</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A lei poderá exigir que a prova da quitação de determinado tributo, quando exigível, seja feita por certidão negativa, expedida à vista de requerimento do interessado, que contenha todas as informações necessárias à identificação de sua pessoa, domicílio fiscal e ramo de negócio ou atividade e indique o período a que se refere o pedido."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"Parágrafo único. A certidão negativa será sempre expedida nos termos em que tenha sido requerida e será fornecida dentro de 10 (dez) dias da data da entrada do requerimento na repartição."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"Tem os mesmos efeitos previstos no artigo anterior a certidão de que conste a existência de créditos não vencidos, em curso de cobrança executiva em que tenha sido efetivada a penhora, ou cuja exigibilidade esteja suspensa."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Focamos este aspeto, porque como se pode constatar a suspensão do processo de execução fiscal, para pagamentos prestacionais, tal como no ordenamento jurídico português, desde que aceite, permite a obtenção de uma certidão de situação tributária regularizada.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direito tributário brasileiro a moratória é possível, mediante certos limites legais, ainda que o artigo 151º do CTN, faça distinção entre moratória e parcelamento, o STJ (Superior Tribunal de Justiça brasileiro), defende que o "parcelamento reveste-se da natureza de uma moratória, e vários autores brasileiros (</w:t>
      </w:r>
      <w:bookmarkStart w:id="65" w:name="_Hlk494992707"/>
      <w:r w:rsidRPr="000C2B9C">
        <w:rPr>
          <w:rFonts w:ascii="Arial" w:eastAsia="Calibri" w:hAnsi="Arial" w:cs="Arial"/>
        </w:rPr>
        <w:t>Machado, apud Sabbag, 2017</w:t>
      </w:r>
      <w:bookmarkEnd w:id="65"/>
      <w:r w:rsidRPr="000C2B9C">
        <w:rPr>
          <w:rFonts w:ascii="Arial" w:eastAsia="Calibri" w:hAnsi="Arial" w:cs="Arial"/>
        </w:rPr>
        <w:t>; e Amaro, apud Sabbag, 2017</w:t>
      </w:r>
      <w:r w:rsidRPr="000C2B9C">
        <w:rPr>
          <w:rFonts w:ascii="Arial" w:eastAsia="Calibri" w:hAnsi="Arial" w:cs="Arial"/>
          <w:vertAlign w:val="superscript"/>
        </w:rPr>
        <w:footnoteReference w:id="63"/>
      </w:r>
      <w:r w:rsidRPr="000C2B9C">
        <w:rPr>
          <w:rFonts w:ascii="Arial" w:eastAsia="Calibri" w:hAnsi="Arial" w:cs="Arial"/>
          <w:vertAlign w:val="superscript"/>
        </w:rPr>
        <w:footnoteReference w:id="64"/>
      </w:r>
      <w:r w:rsidRPr="000C2B9C">
        <w:rPr>
          <w:rFonts w:ascii="Arial" w:eastAsia="Calibri" w:hAnsi="Arial" w:cs="Arial"/>
        </w:rPr>
        <w:t xml:space="preserve"> defendem até que a distinção do artigo 151º do CTN, é desnecessária.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"Art. 151. Suspendem a exigibilidade do crédito tributário: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I - moratória;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II - o depósito do seu montante integral;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III - as reclamações e os recursos, nos termos das leis reguladoras do processo tributário administrativo;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IV - a concessão de medida liminar em mandado de segurança.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V – a concessão de medida liminar ou de tutela antecipada, em outras espécies de ação judicial; (Incluído pela LC</w:t>
      </w:r>
      <w:r w:rsidRPr="000C2B9C">
        <w:rPr>
          <w:rFonts w:ascii="Arial" w:eastAsia="Calibri" w:hAnsi="Arial" w:cs="Arial"/>
          <w:i/>
          <w:vertAlign w:val="superscript"/>
        </w:rPr>
        <w:footnoteReference w:id="65"/>
      </w:r>
      <w:r w:rsidRPr="000C2B9C">
        <w:rPr>
          <w:rFonts w:ascii="Arial" w:eastAsia="Calibri" w:hAnsi="Arial" w:cs="Arial"/>
          <w:i/>
        </w:rPr>
        <w:t xml:space="preserve"> nº 104, de 10.1.2001)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VI – o parcelamento. (Incluído pela LC nº 104, de 10.1.2001)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Parágrafo único. O disposto neste artigo não dispensa o cumprimento das obrigações assessórios dependentes da obrigação principal cujo crédito seja suspenso, ou delas consequentes."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rPr>
        <w:lastRenderedPageBreak/>
        <w:t xml:space="preserve">Mas Sabbag, afirma o contrário, </w:t>
      </w:r>
      <w:r w:rsidRPr="000C2B9C">
        <w:rPr>
          <w:rFonts w:ascii="Arial" w:eastAsia="Calibri" w:hAnsi="Arial" w:cs="Arial"/>
          <w:i/>
        </w:rPr>
        <w:t xml:space="preserve">"A nosso ver, os institutos jurídicos da moratória e do parcelamento, que outrora se aproximavam – e até se confundiam -, desfrutam na atualidade de total autonomia." </w:t>
      </w:r>
    </w:p>
    <w:p w:rsidR="000C2B9C" w:rsidRPr="000C2B9C" w:rsidRDefault="00CF725F" w:rsidP="000C2B9C">
      <w:pPr>
        <w:spacing w:before="120" w:after="120" w:line="360" w:lineRule="auto"/>
        <w:jc w:val="both"/>
        <w:rPr>
          <w:rFonts w:ascii="Arial" w:eastAsia="Calibri" w:hAnsi="Arial" w:cs="Arial"/>
        </w:rPr>
      </w:pPr>
      <w:r w:rsidRPr="00CF725F">
        <w:rPr>
          <w:rFonts w:ascii="Arial" w:eastAsia="Calibri" w:hAnsi="Arial" w:cs="Arial"/>
        </w:rPr>
        <w:t>Sabbag,E. (2017). Manual de direito tributário. São Paulo: Saraiva.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que respeita ainda aos pagamentos em prestações, por ser um tema abordado no capítulo 4 do presente trabalho e porque também a nossa investigação sobre a discussão no Brasil leva a conclusões bastante interessantes, passamos agora a analisar o que se passa com os programas de recuperação judicial, equivalentes aos nossos Processos Especiais de Revitalização.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Importa primeiro, reproduzir o artigo 155-A do CTN, para que se possa acompanhar a discussão entre os especialistas tributários brasileiros e compreender toda a problemática aqui subjacente: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"Art. 155-A. O parcelamento será concedido na forma e condição estabelecidas em lei específica. (Incluído pela LC nº 104, de 10.1.2001)</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 1o Salvo disposição de lei em contrário, o parcelamento do crédito tributário não exclui a incidência de juros e multas. (Incluído pela LC nº 104, de 10.1.2001)</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 2o Aplicam-se, subsidiariamente, ao parcelamento as disposições desta Lei, relativas à moratória (Incluído pela LC nº 104, de 10.1.2001)</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 3o Lei específica disporá sobre as condições de parcelamento dos créditos tributários do devedor em recuperação judicial. (Incluído pela LC nº 118, de 2005)</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 4o A inexistência da lei específica a que se refere o § 3o deste artigo importa na aplicação das leis gerais de parcelamento do ente da Federação ao devedor em recuperação judicial, não podendo, neste caso, ser o prazo de parcelamento inferior ao concedido pela lei federal específica. (Incluído pela LC nº 118, de 2005)"</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Sabbag começa por observar as críticas de Hugo Brito Machado, às disposições do artigo 155-A do CTN.</w:t>
      </w:r>
    </w:p>
    <w:p w:rsidR="000C2B9C" w:rsidRPr="000C2B9C" w:rsidRDefault="000C2B9C" w:rsidP="000C2B9C">
      <w:pPr>
        <w:spacing w:before="120" w:after="120" w:line="360" w:lineRule="auto"/>
        <w:ind w:right="567"/>
        <w:jc w:val="both"/>
        <w:rPr>
          <w:rFonts w:ascii="Arial" w:eastAsia="Calibri" w:hAnsi="Arial" w:cs="Arial"/>
          <w:sz w:val="20"/>
          <w:szCs w:val="20"/>
        </w:rPr>
      </w:pPr>
      <w:r w:rsidRPr="000C2B9C">
        <w:rPr>
          <w:rFonts w:ascii="Arial" w:eastAsia="Calibri" w:hAnsi="Arial" w:cs="Arial"/>
          <w:sz w:val="20"/>
          <w:szCs w:val="20"/>
        </w:rPr>
        <w:t xml:space="preserve">Na cabeça deste artigo, está dito que o parcelamento será concedido na forma e condições estabelecidas em lei específica. No § 1º está dito que, salvo disposição de lei em contrário, o parcelamento do crédito tributário não exclui a incidência de juros e multas. E no § 2º foi estabelecido que se aplicam subsidiariamente ao parcelamento as disposições do CTN relativas à moratória (...). Como se vê, disposições dizendo o óbvio, inteiramente inúteis. Parece, todavia, que a inserção de tais normas no Código deveu-se ao propósito de reduzir </w:t>
      </w:r>
      <w:r w:rsidRPr="000C2B9C">
        <w:rPr>
          <w:rFonts w:ascii="Arial" w:eastAsia="Calibri" w:hAnsi="Arial" w:cs="Arial"/>
          <w:sz w:val="20"/>
          <w:szCs w:val="20"/>
        </w:rPr>
        <w:lastRenderedPageBreak/>
        <w:t>o alcance do artigo. 138 do CTN</w:t>
      </w:r>
      <w:r w:rsidRPr="000C2B9C">
        <w:rPr>
          <w:rFonts w:ascii="Arial" w:eastAsia="Calibri" w:hAnsi="Arial" w:cs="Arial"/>
          <w:sz w:val="20"/>
          <w:szCs w:val="20"/>
          <w:vertAlign w:val="superscript"/>
        </w:rPr>
        <w:footnoteReference w:id="66"/>
      </w:r>
      <w:r w:rsidRPr="000C2B9C">
        <w:rPr>
          <w:rFonts w:ascii="Arial" w:eastAsia="Calibri" w:hAnsi="Arial" w:cs="Arial"/>
          <w:sz w:val="20"/>
          <w:szCs w:val="20"/>
        </w:rPr>
        <w:t xml:space="preserve">, que assegura a exclusão da responsabilidade por infrações diante de denúncia espontânea. Os burocratas da Receita Federal bem poderiam ter colocado no projeto do qual resultou a LC 104/2001 o acréscimo de um parágrafo no artigo. 138, dizendo claramente que a denúncia espontânea não se aplica em caso de parcelamento do valor do crédito tributário dela resultante. Ocorre que uma disposição clara nesse sentido poderia não ser aprovada pelo Congresso Nacional. Assim, preferiram a via oblíqua. Dizendo que o parcelamento não exclui juros e multas, alcançaram o objetivo de afastar o efeito de denúncia espontânea, quanto à exclusão da multa, toda vez que o interessado obtiver parcelamento.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Machado, apud Sabbag, 2017</w:t>
      </w:r>
      <w:r w:rsidRPr="000C2B9C">
        <w:rPr>
          <w:rFonts w:ascii="Arial" w:eastAsia="Calibri" w:hAnsi="Arial" w:cs="Arial"/>
          <w:vertAlign w:val="superscript"/>
        </w:rPr>
        <w:footnoteReference w:id="67"/>
      </w:r>
    </w:p>
    <w:p w:rsidR="00CF725F" w:rsidRDefault="000C2B9C" w:rsidP="000C2B9C">
      <w:pPr>
        <w:spacing w:before="120" w:after="120" w:line="360" w:lineRule="auto"/>
        <w:jc w:val="both"/>
        <w:rPr>
          <w:rFonts w:ascii="Arial" w:eastAsia="Calibri" w:hAnsi="Arial" w:cs="Arial"/>
          <w:i/>
        </w:rPr>
      </w:pPr>
      <w:r w:rsidRPr="000C2B9C">
        <w:rPr>
          <w:rFonts w:ascii="Arial" w:eastAsia="Calibri" w:hAnsi="Arial" w:cs="Arial"/>
        </w:rPr>
        <w:t>Defende Sabbag que as alterações à lei e ao CTN eram de grande necessidade devido à entrada no ordenamento jurídico brasileiro de uma nova lei sobre falências, e refere sobretudo os parágrafos 3 e 4 da lei nº 155-A. Mais refere que a nova lei sobre falências "</w:t>
      </w:r>
      <w:r w:rsidRPr="000C2B9C">
        <w:rPr>
          <w:rFonts w:ascii="Arial" w:eastAsia="Calibri" w:hAnsi="Arial" w:cs="Arial"/>
          <w:i/>
        </w:rPr>
        <w:t xml:space="preserve">estabelece que lei específica ordinária de cada ente federado disporá sobre as condições de parcelamento dos créditos tributários do devedor em recuperação judicial."  </w:t>
      </w:r>
    </w:p>
    <w:p w:rsidR="000C2B9C" w:rsidRPr="000C2B9C" w:rsidRDefault="00CF725F" w:rsidP="000C2B9C">
      <w:pPr>
        <w:spacing w:before="120" w:after="120" w:line="360" w:lineRule="auto"/>
        <w:jc w:val="both"/>
        <w:rPr>
          <w:rFonts w:ascii="Arial" w:eastAsia="Calibri" w:hAnsi="Arial" w:cs="Arial"/>
        </w:rPr>
      </w:pPr>
      <w:r w:rsidRPr="00CF725F">
        <w:rPr>
          <w:rFonts w:ascii="Arial" w:eastAsia="Calibri" w:hAnsi="Arial" w:cs="Arial"/>
        </w:rPr>
        <w:t>Sabbag,E. (2017). Manual de direito tributário. São Paulo: Saraiva.</w:t>
      </w:r>
      <w:r w:rsidR="000C2B9C" w:rsidRPr="000C2B9C">
        <w:rPr>
          <w:rFonts w:ascii="Arial" w:eastAsia="Calibri" w:hAnsi="Arial" w:cs="Arial"/>
        </w:rPr>
        <w:t>Coloca-se aqui a questão da lei específica e da sua ausência.</w:t>
      </w:r>
    </w:p>
    <w:p w:rsidR="000C2B9C" w:rsidRPr="000C2B9C" w:rsidRDefault="000C2B9C" w:rsidP="000C2B9C">
      <w:pPr>
        <w:spacing w:before="120" w:after="120" w:line="360" w:lineRule="auto"/>
        <w:ind w:right="567"/>
        <w:jc w:val="both"/>
        <w:rPr>
          <w:rFonts w:ascii="Arial" w:eastAsia="Calibri" w:hAnsi="Arial" w:cs="Arial"/>
          <w:i/>
        </w:rPr>
      </w:pPr>
      <w:r w:rsidRPr="000C2B9C">
        <w:rPr>
          <w:rFonts w:ascii="Arial" w:eastAsia="Calibri" w:hAnsi="Arial" w:cs="Arial"/>
          <w:i/>
        </w:rPr>
        <w:t>Entretanto, o CTN não estabelece regra para o caso de inexistir essa lei federal específica. Entendemos que, nesse caso, o mais lógico será a aplicação da lei de parcelamento dos créditos tributários federais em geral, atualmente, a Lei nº 10.522/2002 (lei de parcelamento geral), sem prejuízo também das leis de parcelamento especial, como aquelas que sobrevieram com os rótulos "REFIS '1'; refis '2' (o PAES); REFIS '3' (o PAEX); e, até o presente momento, o REFIS '4' (o Refis da Crise)". Como se sabe, o REFIS é um programa que impõe ao contribuinte o pagamento das dívidas fiscais por meio de parcelamento, ou seja, o débito tributário é amortizado pelo adimplemento mensal.</w:t>
      </w:r>
    </w:p>
    <w:p w:rsidR="00CF725F" w:rsidRDefault="00CF725F" w:rsidP="000C2B9C">
      <w:pPr>
        <w:spacing w:before="120" w:after="120" w:line="360" w:lineRule="auto"/>
        <w:jc w:val="both"/>
        <w:rPr>
          <w:rFonts w:ascii="Arial" w:eastAsia="Calibri" w:hAnsi="Arial" w:cs="Arial"/>
        </w:rPr>
      </w:pPr>
      <w:r w:rsidRPr="00CF725F">
        <w:rPr>
          <w:rFonts w:ascii="Arial" w:eastAsia="Calibri" w:hAnsi="Arial" w:cs="Arial"/>
        </w:rPr>
        <w:t>Sabbag,E. (2017). Manual de direito tributário. São Paulo: Saraiva.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Como se pode verificar, para além da lei tributária brasileira em caso de omissão aplicar, subsidiariamente a lei geral, pode nestes casos ainda ser de aplicação subsidiária </w:t>
      </w:r>
      <w:r w:rsidRPr="000C2B9C">
        <w:rPr>
          <w:rFonts w:ascii="Arial" w:eastAsia="Calibri" w:hAnsi="Arial" w:cs="Arial"/>
        </w:rPr>
        <w:lastRenderedPageBreak/>
        <w:t xml:space="preserve">planos especiais de pagamento em prestações, tais como no nosso ordenamento jurídico o PER.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Interessante também será de assinalar, por analogia, do que tem acontecido em Portugal, com sucessivas leis que permitem o pagamento em prestações, com condições mais favoráveis e com maiores maturidades, relativamente à lei geral, ou leis especiais, prende-se com o seguinte: No Brasil o STJ (Superior Tribunal de Justiça brasileiro), entendeu que é ilegal a norma que não permite a passagem de um programa (e dão o exemplo do REFIS), para um outro programa, também de pagamentos em prestações que seja mais vantajoso (e dão o exemplo do PAES). Ora</w:t>
      </w:r>
      <w:r w:rsidR="00C808E6">
        <w:rPr>
          <w:rFonts w:ascii="Arial" w:eastAsia="Calibri" w:hAnsi="Arial" w:cs="Arial"/>
        </w:rPr>
        <w:t>,</w:t>
      </w:r>
      <w:r w:rsidRPr="000C2B9C">
        <w:rPr>
          <w:rFonts w:ascii="Arial" w:eastAsia="Calibri" w:hAnsi="Arial" w:cs="Arial"/>
        </w:rPr>
        <w:t xml:space="preserve"> o que acontece no Brasil, à semelhança de Portugal, é que os contribuintes em falta ou em condições mais difíceis, acabam por beneficiar, por múltiplas vezes, de regimes mais favoráveis, para pagamento das suas dívidas, em relação aos regimes regra, distorcendo assim, na nossa opinião, a concorrência, ou pelo menos, colocando em causa o princípio da igualdade. Não querendo com isto de forma alguma, criticar a jurisprudência ou atuação das autoridades tributárias e das políticas governamentais que cada um país adota, mas também não podendo deixar passar, de forma inequívoca, uma realidade existente.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Ainda que com sentido um pouco diferente do que acabamos de afirmar, uma vez que neste caso o tribunal refere-se a pagamentos em prestações de quantias muito reduzidas, reproduzimos aqui porque pensamos vir em linha, com o anteriormente exposto, no que concerne às desigualdades impostas aos contribuintes, por via de leis sucessivas de "perdão fiscal", reproduzimos o informativo n. 542, de 27 de junho de 2014, do </w:t>
      </w:r>
      <w:bookmarkStart w:id="66" w:name="_Hlk495045018"/>
      <w:r w:rsidRPr="000C2B9C">
        <w:rPr>
          <w:rFonts w:ascii="Arial" w:eastAsia="Calibri" w:hAnsi="Arial" w:cs="Arial"/>
        </w:rPr>
        <w:t>STJ (Superior Tribunal de Justiça brasileiro)</w:t>
      </w:r>
      <w:bookmarkEnd w:id="66"/>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"Nesse passo, ao se admitir a existência de uma parcela que não é capaz de quitar sequer os encargos do débito, não se está diante de parcelamento ou de moratória, mas de uma remissão, pois o valor do débito jamais será quitado. Entretanto, a remissão deve vir expressa em lei, e não travestida de parcelamento, consoante exigência do artigo. 150, § 6º, da CF</w:t>
      </w:r>
      <w:r w:rsidRPr="000C2B9C">
        <w:rPr>
          <w:rFonts w:ascii="Arial" w:eastAsia="Calibri" w:hAnsi="Arial" w:cs="Arial"/>
          <w:i/>
          <w:vertAlign w:val="superscript"/>
        </w:rPr>
        <w:footnoteReference w:id="68"/>
      </w:r>
      <w:r w:rsidRPr="000C2B9C">
        <w:rPr>
          <w:rFonts w:ascii="Arial" w:eastAsia="Calibri" w:hAnsi="Arial" w:cs="Arial"/>
          <w:i/>
        </w:rPr>
        <w:t>. Ademais a fragmentação do débito fiscal em parcelas ínfimas estimularia a evasão fiscal, pois a pessoa jurídica devedora estaria suscetível a ter a sua receita e as suas atividades esvaziadas por seus controladores, os quais pari</w:t>
      </w:r>
      <w:r w:rsidRPr="000C2B9C">
        <w:rPr>
          <w:rFonts w:ascii="Arial" w:eastAsia="Calibri" w:hAnsi="Arial" w:cs="Arial"/>
          <w:i/>
          <w:vertAlign w:val="superscript"/>
        </w:rPr>
        <w:footnoteReference w:id="69"/>
      </w:r>
      <w:r w:rsidRPr="000C2B9C">
        <w:rPr>
          <w:rFonts w:ascii="Arial" w:eastAsia="Calibri" w:hAnsi="Arial" w:cs="Arial"/>
          <w:i/>
        </w:rPr>
        <w:t xml:space="preserve"> passu estariam encorajados a constituir nova pessoa jurídica, que assumiria a receita e as atividades desenvolvidas por aqueloutra incluída no REFIS. Esse procedimento de manter a pessoa jurídica antiga endividada pra com o Fisco, pagando eternamente parcelas irrisórias, e nova pessoa jurídica desenvolvendo as mesmas atividades outrora </w:t>
      </w:r>
      <w:r w:rsidRPr="000C2B9C">
        <w:rPr>
          <w:rFonts w:ascii="Arial" w:eastAsia="Calibri" w:hAnsi="Arial" w:cs="Arial"/>
          <w:i/>
        </w:rPr>
        <w:lastRenderedPageBreak/>
        <w:t>desenvolvidas pela antiga, constitui simulação vedada expressamente pelo CTN. (...) Por tudo isso, não há como sustentar um programa de parcelamento que permita o aumento da dívida ao invés de sua amortização, em verdadeiro descompasso com o ordenamento jurídico, que não tolera a conduta criminosa, a evasão fiscal e a perenidade da dívida tributária para com o Fisco"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 ler na informação do STJ (Superior Tribunal de Justiça brasileiro), este tipo de medidas políticas para facilitar o parcelamento das dívidas fiscais, pode levar a situações que confiram até crime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Concluindo, apesar do ordenamento jurídico brasileiro ter algumas especificidades, que não existem no seu homólogo português, parece-nos que nesta matéria específica de pagamentos prestacionais (regimes regra e regimes especiais), é mais, aquilo que nos aproxima, do que o que nos separa.</w:t>
      </w:r>
    </w:p>
    <w:p w:rsidR="000C2B9C" w:rsidRPr="000C2B9C" w:rsidRDefault="000C2B9C" w:rsidP="000C2B9C">
      <w:pPr>
        <w:spacing w:before="120" w:after="120" w:line="360" w:lineRule="auto"/>
        <w:jc w:val="both"/>
        <w:rPr>
          <w:rFonts w:ascii="Arial" w:eastAsia="Calibri" w:hAnsi="Arial" w:cs="Arial"/>
        </w:rPr>
      </w:pPr>
    </w:p>
    <w:p w:rsidR="000C2B9C" w:rsidRPr="005E075A" w:rsidRDefault="00E56AF6" w:rsidP="005E075A">
      <w:pPr>
        <w:pStyle w:val="Ttulo2"/>
        <w:rPr>
          <w:rFonts w:eastAsia="Calibri"/>
        </w:rPr>
      </w:pPr>
      <w:bookmarkStart w:id="68" w:name="_Toc500109642"/>
      <w:r>
        <w:rPr>
          <w:rFonts w:eastAsia="Calibri"/>
        </w:rPr>
        <w:t xml:space="preserve">6.1.3 </w:t>
      </w:r>
      <w:r w:rsidR="000C2B9C" w:rsidRPr="005E075A">
        <w:rPr>
          <w:rFonts w:eastAsia="Calibri"/>
        </w:rPr>
        <w:t xml:space="preserve">Outras realidades de diferentes ordenamentos jurídicos. Os pagamentos em prestações </w:t>
      </w:r>
      <w:r w:rsidR="000C2B9C" w:rsidRPr="005E075A">
        <w:rPr>
          <w:rFonts w:eastAsia="Calibri"/>
          <w:i/>
        </w:rPr>
        <w:t>on-line</w:t>
      </w:r>
      <w:r w:rsidR="000C2B9C" w:rsidRPr="005E075A">
        <w:rPr>
          <w:rFonts w:eastAsia="Calibri"/>
        </w:rPr>
        <w:t xml:space="preserve"> nos EUA.</w:t>
      </w:r>
      <w:bookmarkEnd w:id="68"/>
    </w:p>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Durante o presente estudo</w:t>
      </w:r>
      <w:r w:rsidR="007B3444">
        <w:rPr>
          <w:rFonts w:ascii="Arial" w:eastAsia="Calibri" w:hAnsi="Arial" w:cs="Arial"/>
        </w:rPr>
        <w:t>,</w:t>
      </w:r>
      <w:r w:rsidRPr="000C2B9C">
        <w:rPr>
          <w:rFonts w:ascii="Arial" w:eastAsia="Calibri" w:hAnsi="Arial" w:cs="Arial"/>
        </w:rPr>
        <w:t xml:space="preserve"> estudámos ainda realidades distintas da nossa e </w:t>
      </w:r>
      <w:r w:rsidR="002649C1">
        <w:rPr>
          <w:rFonts w:ascii="Arial" w:eastAsia="Calibri" w:hAnsi="Arial" w:cs="Arial"/>
        </w:rPr>
        <w:t xml:space="preserve">também </w:t>
      </w:r>
      <w:r w:rsidRPr="000C2B9C">
        <w:rPr>
          <w:rFonts w:ascii="Arial" w:eastAsia="Calibri" w:hAnsi="Arial" w:cs="Arial"/>
        </w:rPr>
        <w:t xml:space="preserve">das duas apresentadas neste capítulo. Referimo-nos aos casos australiano e dos Estados Unidos da América do Norte, que têm algumas semelhanças na forma como as autoridades fiscais lidam com os contribuintes. Apresentamos assim o caso norte-americano, em que nos baseámos no </w:t>
      </w:r>
      <w:r w:rsidRPr="000C2B9C">
        <w:rPr>
          <w:rFonts w:ascii="Arial" w:eastAsia="Calibri" w:hAnsi="Arial" w:cs="Arial"/>
          <w:i/>
        </w:rPr>
        <w:t>site</w:t>
      </w:r>
      <w:r w:rsidRPr="000C2B9C">
        <w:rPr>
          <w:rFonts w:ascii="Arial" w:eastAsia="Calibri" w:hAnsi="Arial" w:cs="Arial"/>
        </w:rPr>
        <w:t xml:space="preserve"> do Internal Revenue Service (IRS) e no que se designa de contratos de pagamento on-line. Entendemos ser um contributo </w:t>
      </w:r>
      <w:r w:rsidR="007B3444" w:rsidRPr="007B3444">
        <w:rPr>
          <w:rFonts w:ascii="Arial" w:eastAsia="Calibri" w:hAnsi="Arial" w:cs="Arial"/>
        </w:rPr>
        <w:t xml:space="preserve">positivo </w:t>
      </w:r>
      <w:r w:rsidRPr="000C2B9C">
        <w:rPr>
          <w:rFonts w:ascii="Arial" w:eastAsia="Calibri" w:hAnsi="Arial" w:cs="Arial"/>
        </w:rPr>
        <w:t xml:space="preserve">para este </w:t>
      </w:r>
      <w:r w:rsidR="007B3444">
        <w:rPr>
          <w:rFonts w:ascii="Arial" w:eastAsia="Calibri" w:hAnsi="Arial" w:cs="Arial"/>
        </w:rPr>
        <w:t>estudo de investigação</w:t>
      </w:r>
      <w:r w:rsidRPr="000C2B9C">
        <w:rPr>
          <w:rFonts w:ascii="Arial" w:eastAsia="Calibri" w:hAnsi="Arial" w:cs="Arial"/>
        </w:rPr>
        <w:t xml:space="preserve">, no sentido de que a realidade existente nos EUA, é diversa das anteriormente </w:t>
      </w:r>
      <w:r w:rsidR="007B3444">
        <w:rPr>
          <w:rFonts w:ascii="Arial" w:eastAsia="Calibri" w:hAnsi="Arial" w:cs="Arial"/>
        </w:rPr>
        <w:t>analisada</w:t>
      </w:r>
      <w:r w:rsidRPr="000C2B9C">
        <w:rPr>
          <w:rFonts w:ascii="Arial" w:eastAsia="Calibri" w:hAnsi="Arial" w:cs="Arial"/>
        </w:rPr>
        <w:t>s e aponta-nos outos possíveis caminhos.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Para as famílias e empresas que não </w:t>
      </w:r>
      <w:r w:rsidR="007B3444">
        <w:rPr>
          <w:rFonts w:ascii="Arial" w:eastAsia="Calibri" w:hAnsi="Arial" w:cs="Arial"/>
        </w:rPr>
        <w:t>tenham</w:t>
      </w:r>
      <w:r w:rsidRPr="000C2B9C">
        <w:rPr>
          <w:rFonts w:ascii="Arial" w:eastAsia="Calibri" w:hAnsi="Arial" w:cs="Arial"/>
        </w:rPr>
        <w:t xml:space="preserve"> condições de solver as suas dívidas no imediato</w:t>
      </w:r>
      <w:r w:rsidR="007B3444">
        <w:rPr>
          <w:rFonts w:ascii="Arial" w:eastAsia="Calibri" w:hAnsi="Arial" w:cs="Arial"/>
        </w:rPr>
        <w:t>,</w:t>
      </w:r>
      <w:r w:rsidRPr="000C2B9C">
        <w:rPr>
          <w:rFonts w:ascii="Arial" w:eastAsia="Calibri" w:hAnsi="Arial" w:cs="Arial"/>
        </w:rPr>
        <w:t xml:space="preserve"> o IRS norte-americano, permite os pagamentos em prestações, através de um acordo. Nos casos em que os contribuintes façam o pagamento na íntegra, quando os prazos normais de pagamento já foram ultrapassados, as coimas podem ser reduzidas ou eliminadas, bem como os juros de mora, evitando assim a taxa de contrato, associada aos acordos de pagamentos em prestações. Sempre que um contribuinte </w:t>
      </w:r>
      <w:r w:rsidR="007B3444">
        <w:rPr>
          <w:rFonts w:ascii="Arial" w:eastAsia="Calibri" w:hAnsi="Arial" w:cs="Arial"/>
        </w:rPr>
        <w:t>requer</w:t>
      </w:r>
      <w:r w:rsidRPr="000C2B9C">
        <w:rPr>
          <w:rFonts w:ascii="Arial" w:eastAsia="Calibri" w:hAnsi="Arial" w:cs="Arial"/>
        </w:rPr>
        <w:t xml:space="preserve"> um pagamento em prestações, imediatamente fica associada uma taxa de </w:t>
      </w:r>
      <w:r w:rsidRPr="000C2B9C">
        <w:rPr>
          <w:rFonts w:ascii="Arial" w:eastAsia="Calibri" w:hAnsi="Arial" w:cs="Arial"/>
        </w:rPr>
        <w:lastRenderedPageBreak/>
        <w:t>contrato, que se poderá traduzir para uma linguagem fiscal portuguesa como custas do processo</w:t>
      </w:r>
      <w:r w:rsidRPr="000C2B9C">
        <w:rPr>
          <w:rFonts w:ascii="Arial" w:eastAsia="Calibri" w:hAnsi="Arial" w:cs="Arial"/>
          <w:vertAlign w:val="superscript"/>
        </w:rPr>
        <w:footnoteReference w:id="70"/>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Importante a reter é de que, antes de um qualquer contribuinte solicitar um acordo para um contrato de pagamento em prestações tem de apresentar todas as declarações fiscais necessárias.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Curioso e porque é tão distinto do que acontece no caso português</w:t>
      </w:r>
      <w:r w:rsidRPr="000C2B9C">
        <w:rPr>
          <w:rFonts w:ascii="Arial" w:eastAsia="Calibri" w:hAnsi="Arial" w:cs="Arial"/>
          <w:vertAlign w:val="superscript"/>
        </w:rPr>
        <w:footnoteReference w:id="71"/>
      </w:r>
      <w:r w:rsidRPr="000C2B9C">
        <w:rPr>
          <w:rFonts w:ascii="Arial" w:eastAsia="Calibri" w:hAnsi="Arial" w:cs="Arial"/>
        </w:rPr>
        <w:t>, para se poder solicitar um contrato de pagamento on-line, os contribuintes singulares não podem exceder os US$ 50.000 e as empresas os US$25.000, este valor incluiu coimas e juros e demais acrescidos.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 pequenas empresas com funcionários podem inscrever-se no Trust Fund Express. Este fundo não exige análise financeira ou demonstração financeira.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Caso os contribuintes entrem em incumprimento, pode existir uma taxa para regressarem ao acordo, independentemente das taxas e juros continuarem a vencer até que a dívida seja integralmente paga.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De salientar ainda, porque é interessante de analisar o seguinte, o IRS norte-americano adverte para em caso de dificuldade maior, para o cumprimento do acordo de pagamento em prestações, por parte do contribuinte devedor, este deve entrar em contato </w:t>
      </w:r>
      <w:r w:rsidR="00E30D1C" w:rsidRPr="00E30D1C">
        <w:rPr>
          <w:rFonts w:ascii="Arial" w:eastAsia="Calibri" w:hAnsi="Arial" w:cs="Arial"/>
        </w:rPr>
        <w:t xml:space="preserve">de imediato </w:t>
      </w:r>
      <w:r w:rsidRPr="000C2B9C">
        <w:rPr>
          <w:rFonts w:ascii="Arial" w:eastAsia="Calibri" w:hAnsi="Arial" w:cs="Arial"/>
        </w:rPr>
        <w:t>com aquele organismo. Geralmente não são tomadas medidas de cobrança coerciva nos seguintes casos:</w:t>
      </w:r>
      <w:r w:rsidR="00E30D1C">
        <w:rPr>
          <w:rFonts w:ascii="Arial" w:eastAsia="Calibri" w:hAnsi="Arial" w:cs="Arial"/>
        </w:rPr>
        <w:t xml:space="preserve"> </w:t>
      </w:r>
    </w:p>
    <w:p w:rsidR="000C2B9C" w:rsidRPr="000C2B9C" w:rsidRDefault="000C2B9C" w:rsidP="000C2B9C">
      <w:pPr>
        <w:numPr>
          <w:ilvl w:val="0"/>
          <w:numId w:val="28"/>
        </w:numPr>
        <w:spacing w:before="120" w:after="120" w:line="360" w:lineRule="auto"/>
        <w:contextualSpacing/>
        <w:jc w:val="both"/>
        <w:rPr>
          <w:rFonts w:ascii="Arial" w:eastAsia="Calibri" w:hAnsi="Arial" w:cs="Arial"/>
        </w:rPr>
      </w:pPr>
      <w:r w:rsidRPr="000C2B9C">
        <w:rPr>
          <w:rFonts w:ascii="Arial" w:eastAsia="Calibri" w:hAnsi="Arial" w:cs="Arial"/>
        </w:rPr>
        <w:t>Quando o acordo de pagamento em prestações está a ser analisado;</w:t>
      </w:r>
    </w:p>
    <w:p w:rsidR="000C2B9C" w:rsidRPr="000C2B9C" w:rsidRDefault="000C2B9C" w:rsidP="000C2B9C">
      <w:pPr>
        <w:numPr>
          <w:ilvl w:val="0"/>
          <w:numId w:val="28"/>
        </w:numPr>
        <w:spacing w:before="120" w:after="120" w:line="360" w:lineRule="auto"/>
        <w:contextualSpacing/>
        <w:jc w:val="both"/>
        <w:rPr>
          <w:rFonts w:ascii="Arial" w:eastAsia="Calibri" w:hAnsi="Arial" w:cs="Arial"/>
        </w:rPr>
      </w:pPr>
      <w:r w:rsidRPr="000C2B9C">
        <w:rPr>
          <w:rFonts w:ascii="Arial" w:eastAsia="Calibri" w:hAnsi="Arial" w:cs="Arial"/>
        </w:rPr>
        <w:t xml:space="preserve">Durante o período em que o </w:t>
      </w:r>
      <w:bookmarkStart w:id="69" w:name="_Hlk498773168"/>
      <w:r w:rsidRPr="000C2B9C">
        <w:rPr>
          <w:rFonts w:ascii="Arial" w:eastAsia="Calibri" w:hAnsi="Arial" w:cs="Arial"/>
        </w:rPr>
        <w:t xml:space="preserve">acordo de pagamento em prestações </w:t>
      </w:r>
      <w:bookmarkEnd w:id="69"/>
      <w:r w:rsidRPr="000C2B9C">
        <w:rPr>
          <w:rFonts w:ascii="Arial" w:eastAsia="Calibri" w:hAnsi="Arial" w:cs="Arial"/>
        </w:rPr>
        <w:t>está em vigor;</w:t>
      </w:r>
    </w:p>
    <w:p w:rsidR="000C2B9C" w:rsidRPr="000C2B9C" w:rsidRDefault="000C2B9C" w:rsidP="000C2B9C">
      <w:pPr>
        <w:numPr>
          <w:ilvl w:val="0"/>
          <w:numId w:val="28"/>
        </w:numPr>
        <w:spacing w:before="120" w:after="120" w:line="360" w:lineRule="auto"/>
        <w:contextualSpacing/>
        <w:jc w:val="both"/>
        <w:rPr>
          <w:rFonts w:ascii="Arial" w:eastAsia="Calibri" w:hAnsi="Arial" w:cs="Arial"/>
        </w:rPr>
      </w:pPr>
      <w:r w:rsidRPr="000C2B9C">
        <w:rPr>
          <w:rFonts w:ascii="Arial" w:eastAsia="Calibri" w:hAnsi="Arial" w:cs="Arial"/>
        </w:rPr>
        <w:t>Nos primeiros trinta dias após um acordo ser rejeitado;</w:t>
      </w:r>
    </w:p>
    <w:p w:rsidR="000C2B9C" w:rsidRPr="000C2B9C" w:rsidRDefault="000C2B9C" w:rsidP="000C2B9C">
      <w:pPr>
        <w:numPr>
          <w:ilvl w:val="0"/>
          <w:numId w:val="28"/>
        </w:numPr>
        <w:spacing w:before="120" w:after="120" w:line="360" w:lineRule="auto"/>
        <w:contextualSpacing/>
        <w:jc w:val="both"/>
        <w:rPr>
          <w:rFonts w:ascii="Arial" w:eastAsia="Calibri" w:hAnsi="Arial" w:cs="Arial"/>
        </w:rPr>
      </w:pPr>
      <w:r w:rsidRPr="000C2B9C">
        <w:rPr>
          <w:rFonts w:ascii="Arial" w:eastAsia="Calibri" w:hAnsi="Arial" w:cs="Arial"/>
        </w:rPr>
        <w:t>Durante o período em que o IRS avalia o apelo de um acordo de pagamento em prestações, rejeitado ou rescindido.</w:t>
      </w:r>
    </w:p>
    <w:p w:rsidR="000C2B9C" w:rsidRPr="000C2B9C" w:rsidRDefault="000C2B9C" w:rsidP="000C2B9C">
      <w:pPr>
        <w:spacing w:before="120" w:after="120" w:line="360" w:lineRule="auto"/>
        <w:jc w:val="both"/>
        <w:rPr>
          <w:rFonts w:ascii="Arial" w:eastAsia="Calibri" w:hAnsi="Arial" w:cs="Arial"/>
        </w:rPr>
      </w:pP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Por fim, podemos concluir que nesta breve análise ao regime de pagamentos em prestações </w:t>
      </w:r>
      <w:r w:rsidRPr="000C2B9C">
        <w:rPr>
          <w:rFonts w:ascii="Arial" w:eastAsia="Calibri" w:hAnsi="Arial" w:cs="Arial"/>
          <w:i/>
        </w:rPr>
        <w:t>on-line</w:t>
      </w:r>
      <w:r w:rsidRPr="000C2B9C">
        <w:rPr>
          <w:rFonts w:ascii="Arial" w:eastAsia="Calibri" w:hAnsi="Arial" w:cs="Arial"/>
        </w:rPr>
        <w:t>, concedido pelo IRS norte-americano, existe uma flexibilidade maior por parte daquela instituição face ao que se pratica na europa</w:t>
      </w:r>
      <w:r w:rsidR="00E30D1C">
        <w:rPr>
          <w:rFonts w:ascii="Arial" w:eastAsia="Calibri" w:hAnsi="Arial" w:cs="Arial"/>
        </w:rPr>
        <w:t>,</w:t>
      </w:r>
      <w:r w:rsidRPr="000C2B9C">
        <w:rPr>
          <w:rFonts w:ascii="Arial" w:eastAsia="Calibri" w:hAnsi="Arial" w:cs="Arial"/>
        </w:rPr>
        <w:t xml:space="preserve"> em geral</w:t>
      </w:r>
      <w:r w:rsidR="00E30D1C">
        <w:rPr>
          <w:rFonts w:ascii="Arial" w:eastAsia="Calibri" w:hAnsi="Arial" w:cs="Arial"/>
        </w:rPr>
        <w:t>,</w:t>
      </w:r>
      <w:r w:rsidRPr="000C2B9C">
        <w:rPr>
          <w:rFonts w:ascii="Arial" w:eastAsia="Calibri" w:hAnsi="Arial" w:cs="Arial"/>
        </w:rPr>
        <w:t xml:space="preserve"> e em Portugal</w:t>
      </w:r>
      <w:r w:rsidR="00E30D1C">
        <w:rPr>
          <w:rFonts w:ascii="Arial" w:eastAsia="Calibri" w:hAnsi="Arial" w:cs="Arial"/>
        </w:rPr>
        <w:t xml:space="preserve">, </w:t>
      </w:r>
      <w:r w:rsidRPr="000C2B9C">
        <w:rPr>
          <w:rFonts w:ascii="Arial" w:eastAsia="Calibri" w:hAnsi="Arial" w:cs="Arial"/>
        </w:rPr>
        <w:t xml:space="preserve">em particular. Queremos com isto dizer que a administração tributária dos Estados Unidos da América dispõe de uma margem de manobra mais alargada nos acordos para </w:t>
      </w:r>
      <w:r w:rsidRPr="000C2B9C">
        <w:rPr>
          <w:rFonts w:ascii="Arial" w:eastAsia="Calibri" w:hAnsi="Arial" w:cs="Arial"/>
        </w:rPr>
        <w:lastRenderedPageBreak/>
        <w:t xml:space="preserve">pagamentos prestacionais com os seus contribuintes </w:t>
      </w:r>
      <w:r w:rsidR="00E30D1C">
        <w:rPr>
          <w:rFonts w:ascii="Arial" w:eastAsia="Calibri" w:hAnsi="Arial" w:cs="Arial"/>
        </w:rPr>
        <w:t>comparativamente</w:t>
      </w:r>
      <w:r w:rsidRPr="000C2B9C">
        <w:rPr>
          <w:rFonts w:ascii="Arial" w:eastAsia="Calibri" w:hAnsi="Arial" w:cs="Arial"/>
        </w:rPr>
        <w:t xml:space="preserve"> à nossa realidade.</w:t>
      </w:r>
    </w:p>
    <w:p w:rsidR="00AA63F1" w:rsidRPr="000C2B9C"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5E075A">
      <w:pPr>
        <w:pStyle w:val="Ttulo1"/>
        <w:rPr>
          <w:rFonts w:eastAsia="Calibri"/>
        </w:rPr>
      </w:pPr>
      <w:bookmarkStart w:id="70" w:name="_Toc500109643"/>
      <w:r w:rsidRPr="000C2B9C">
        <w:rPr>
          <w:rFonts w:eastAsia="Calibri"/>
        </w:rPr>
        <w:t>Capitulo 7</w:t>
      </w:r>
      <w:bookmarkEnd w:id="70"/>
    </w:p>
    <w:p w:rsidR="000C2B9C" w:rsidRPr="000C2B9C" w:rsidRDefault="00E56AF6" w:rsidP="005E075A">
      <w:pPr>
        <w:pStyle w:val="Ttulo1"/>
        <w:rPr>
          <w:rFonts w:eastAsia="Calibri"/>
        </w:rPr>
      </w:pPr>
      <w:bookmarkStart w:id="71" w:name="_Toc500109644"/>
      <w:r>
        <w:rPr>
          <w:rFonts w:eastAsia="Calibri"/>
        </w:rPr>
        <w:t xml:space="preserve">7.1 </w:t>
      </w:r>
      <w:r w:rsidR="000C2B9C" w:rsidRPr="000C2B9C">
        <w:rPr>
          <w:rFonts w:eastAsia="Calibri"/>
        </w:rPr>
        <w:t>O reforço da garantia</w:t>
      </w:r>
      <w:bookmarkEnd w:id="71"/>
    </w:p>
    <w:p w:rsidR="000C2B9C" w:rsidRPr="000C2B9C" w:rsidRDefault="000C2B9C" w:rsidP="000C2B9C">
      <w:pPr>
        <w:spacing w:before="120" w:after="120" w:line="360" w:lineRule="auto"/>
        <w:jc w:val="both"/>
        <w:rPr>
          <w:rFonts w:ascii="Arial" w:eastAsia="Calibri" w:hAnsi="Arial" w:cs="Arial"/>
        </w:rPr>
      </w:pPr>
    </w:p>
    <w:p w:rsidR="000C2B9C" w:rsidRPr="005E075A" w:rsidRDefault="00E56AF6" w:rsidP="005E075A">
      <w:pPr>
        <w:pStyle w:val="Ttulo2"/>
        <w:rPr>
          <w:rFonts w:eastAsia="Calibri"/>
        </w:rPr>
      </w:pPr>
      <w:bookmarkStart w:id="72" w:name="_Toc500109645"/>
      <w:r>
        <w:rPr>
          <w:rFonts w:eastAsia="Calibri"/>
        </w:rPr>
        <w:t xml:space="preserve">7.1.1 </w:t>
      </w:r>
      <w:r w:rsidR="000C2B9C" w:rsidRPr="005E075A">
        <w:rPr>
          <w:rFonts w:eastAsia="Calibri"/>
        </w:rPr>
        <w:t>Enquadramento</w:t>
      </w:r>
      <w:bookmarkEnd w:id="72"/>
    </w:p>
    <w:p w:rsidR="000C2B9C" w:rsidRPr="000C2B9C" w:rsidRDefault="000C2B9C" w:rsidP="000C2B9C">
      <w:pPr>
        <w:spacing w:before="360" w:after="240" w:line="360" w:lineRule="auto"/>
        <w:rPr>
          <w:rFonts w:ascii="Arial" w:eastAsia="Calibri" w:hAnsi="Arial" w:cs="Arial"/>
        </w:rPr>
      </w:pPr>
      <w:r w:rsidRPr="000C2B9C">
        <w:rPr>
          <w:rFonts w:ascii="Arial" w:eastAsia="Calibri" w:hAnsi="Arial" w:cs="Arial"/>
        </w:rPr>
        <w:t>Neste capítulo pretendemos analisar uma situação, que apesar de definida na lei, não existe um alcance prático determinado, não havendo nada nem na legislação, nem na jurisprudência, nem nas instruções administrativas, que responda objetivamente e de forma científica à questão que de seguida vamos formular.</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rPr>
        <w:t xml:space="preserve">Referimo-nos ao reforço das garantias, conforme previsto no nº 5 do artigo 199º do CPPT, </w:t>
      </w:r>
      <w:r w:rsidRPr="000C2B9C">
        <w:rPr>
          <w:rFonts w:ascii="Arial" w:eastAsia="Calibri" w:hAnsi="Arial" w:cs="Arial"/>
          <w:i/>
        </w:rPr>
        <w:t>"</w:t>
      </w:r>
      <w:r w:rsidRPr="000C2B9C">
        <w:rPr>
          <w:rFonts w:ascii="Arial" w:eastAsia="Calibri" w:hAnsi="Arial" w:cs="Arial"/>
        </w:rPr>
        <w:t xml:space="preserve"> </w:t>
      </w:r>
      <w:r w:rsidRPr="000C2B9C">
        <w:rPr>
          <w:rFonts w:ascii="Arial" w:eastAsia="Calibri" w:hAnsi="Arial" w:cs="Arial"/>
          <w:i/>
        </w:rPr>
        <w:t xml:space="preserve">No caso de a garantia apresentada se tornar insuficiente, a mesma deve ser reforçada nos termos das normas previstas neste artigo." </w:t>
      </w:r>
    </w:p>
    <w:p w:rsidR="000C2B9C" w:rsidRPr="000C2B9C" w:rsidRDefault="000C2B9C" w:rsidP="000C2B9C">
      <w:pPr>
        <w:spacing w:before="360" w:after="240" w:line="360" w:lineRule="auto"/>
        <w:jc w:val="both"/>
        <w:rPr>
          <w:rFonts w:ascii="Arial" w:eastAsia="Calibri" w:hAnsi="Arial" w:cs="Arial"/>
        </w:rPr>
      </w:pPr>
      <w:r w:rsidRPr="000C2B9C">
        <w:rPr>
          <w:rFonts w:ascii="Arial" w:eastAsia="Calibri" w:hAnsi="Arial" w:cs="Arial"/>
        </w:rPr>
        <w:t>Esta norma foi introduzida no CPPT, com o Orçamento de Estado para 2012, através da Lei n.º 64-B/2011, de 30 de Dezembro), e até esta data, pelo que pudemos investigar (ainda que seja sempre muito difícil conhecer todos os casos existentes), não foi aplicada de forma consistente. Mais à frente daremos um exemplo de um caso concreto conhecido e que como veremos é de difícil aplicação geral. Por outro lado</w:t>
      </w:r>
      <w:r w:rsidR="002649C1">
        <w:rPr>
          <w:rFonts w:ascii="Arial" w:eastAsia="Calibri" w:hAnsi="Arial" w:cs="Arial"/>
        </w:rPr>
        <w:t>,</w:t>
      </w:r>
      <w:r w:rsidRPr="000C2B9C">
        <w:rPr>
          <w:rFonts w:ascii="Arial" w:eastAsia="Calibri" w:hAnsi="Arial" w:cs="Arial"/>
        </w:rPr>
        <w:t xml:space="preserve"> devemos aqui realçar que este é um problema que se prende fundamentalmente com os processos de execução fiscal suspensos por apresentação de contencioso, pelo simples facto de que estamos perante casos em que, não é possível prever o horizonte temporal de resolução desse mesmo contencioso, podendo os processos perdurarem no tempo, para além daquilo que seria desejável. Não quer isto dizer que nos casos de pagamentos em prestações o mesmo não possa suceder, embora aqui, apenas e só em sequência de uma desvalorização da garantia, por força do preceituado no nº 7 do artigo 199º e que fixa de uma forma, diríamos que matemática, o cálculo das garantias para pagamentos em prestações, não havendo assim uma dúvida tão "agudizada" em relação à nossa questão. </w:t>
      </w:r>
    </w:p>
    <w:p w:rsidR="000C2B9C" w:rsidRPr="000C2B9C" w:rsidRDefault="000C2B9C" w:rsidP="000C2B9C">
      <w:pPr>
        <w:spacing w:before="360" w:after="240" w:line="360" w:lineRule="auto"/>
        <w:jc w:val="both"/>
        <w:rPr>
          <w:rFonts w:ascii="Arial" w:eastAsia="Calibri" w:hAnsi="Arial" w:cs="Arial"/>
          <w:b/>
        </w:rPr>
      </w:pPr>
      <w:r w:rsidRPr="000C2B9C">
        <w:rPr>
          <w:rFonts w:ascii="Arial" w:eastAsia="Calibri" w:hAnsi="Arial" w:cs="Arial"/>
          <w:b/>
        </w:rPr>
        <w:lastRenderedPageBreak/>
        <w:t xml:space="preserve">Qual o problema que a lei apresenta e pelo qual não há uma resposta concreta e científica! No caso </w:t>
      </w:r>
      <w:bookmarkStart w:id="73" w:name="_Hlk495249970"/>
      <w:r w:rsidRPr="000C2B9C">
        <w:rPr>
          <w:rFonts w:ascii="Arial" w:eastAsia="Calibri" w:hAnsi="Arial" w:cs="Arial"/>
          <w:b/>
        </w:rPr>
        <w:t>de a garantia apresentada se tornar insuficiente, a mesma deve ser reforçada em quanto?</w:t>
      </w:r>
      <w:bookmarkEnd w:id="73"/>
    </w:p>
    <w:p w:rsidR="000C2B9C" w:rsidRPr="000C2B9C" w:rsidRDefault="000C2B9C" w:rsidP="000C2B9C">
      <w:pPr>
        <w:spacing w:before="360" w:after="240" w:line="360" w:lineRule="auto"/>
        <w:jc w:val="both"/>
        <w:rPr>
          <w:rFonts w:ascii="Arial" w:eastAsia="Calibri" w:hAnsi="Arial" w:cs="Arial"/>
        </w:rPr>
      </w:pPr>
      <w:r w:rsidRPr="000C2B9C">
        <w:rPr>
          <w:rFonts w:ascii="Arial" w:eastAsia="Calibri" w:hAnsi="Arial" w:cs="Arial"/>
        </w:rPr>
        <w:t>Elencamos aqui o texto da lei do artigo 199º do CPPT, uma vez que, iremos verificar que vários números desta norma estão relacionados e pretendemos ainda referir-nos também ao nº 11 do mesmo artigo, que versa sobre a redução da garantia, sendo que, de agora em diante sempre que fizermos uma menção ao número, sem artigo e diploma estaremos a referir, ao artigo 199º do CPPT.</w:t>
      </w:r>
    </w:p>
    <w:p w:rsidR="000C2B9C" w:rsidRPr="000C2B9C" w:rsidRDefault="000C2B9C" w:rsidP="000C2B9C">
      <w:pPr>
        <w:spacing w:before="360" w:after="240" w:line="360" w:lineRule="auto"/>
        <w:jc w:val="center"/>
        <w:rPr>
          <w:rFonts w:ascii="Arial" w:eastAsia="Calibri" w:hAnsi="Arial" w:cs="Arial"/>
          <w:i/>
        </w:rPr>
      </w:pPr>
      <w:r w:rsidRPr="000C2B9C">
        <w:rPr>
          <w:rFonts w:ascii="Arial" w:eastAsia="Calibri" w:hAnsi="Arial" w:cs="Arial"/>
          <w:i/>
        </w:rPr>
        <w:t>"Garantias</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1 - Caso não se encontre já constituída garantia, com o pedido deverá o executado oferecer garantia idónea, a qual consistirá em garantia bancária, caução, seguro-caução ou qualquer meio susceptível de assegurar os créditos do exequente.</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2 - A garantia idónea referida no número anterior poderá consistir, ainda, a requerimento do executado e mediante concordância da administração tributária, em penhor ou hipoteca voluntária, aplicando-se o disposto no artigo 195.º, com as necessárias adaptações.</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3 - Se o executado considerar existirem os pressupostos da isenção da prestação de garantia, deverá invocá-los e prová-los na petição.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4 - Vale como garantia, para os efeitos do n.º 1, a penhora já feita sobre os bens necessários para assegurar o pagamento da dívida exequenda e acrescido ou a efectuar em bens nomeados para o efeito pelo executado no prazo referido no n.º 7.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5 - No caso de a garantia apresentada se tornar insuficiente, a mesma deve ser reforçada nos termos das normas previstas neste artigo.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 xml:space="preserve">6 - A garantia é prestada pelo valor da dívida exequenda, juros de mora contados até ao termo do prazo de pagamento voluntário ou à data do pedido, quando posterior, com o limite de cinco anos, e custas na totalidade, acrescida de 25 % da soma daqueles </w:t>
      </w:r>
      <w:r w:rsidRPr="000C2B9C">
        <w:rPr>
          <w:rFonts w:ascii="Arial" w:eastAsia="Calibri" w:hAnsi="Arial" w:cs="Arial"/>
          <w:i/>
        </w:rPr>
        <w:lastRenderedPageBreak/>
        <w:t>valores, sem prejuízo do disposto no n.º 13 do artigo 169.º. (Redação da Lei n.º 66-B/2012, de 31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7 - As garantias referidas no n.º 1 serão constituídas para cobrir todo o período de tempo que foi concedido para efectuar o pagamento, acrescido de três meses, e serão apresentadas no prazo de 15 dias a contar da notificação que autorizar as prestações, salvo no caso de garantia que pela sua natureza justifique a ampliação do prazo até 30 dias, prorrogáveis por mais 30, em caso de circunstâncias excepcionais. (Anterior 6 -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8 - A falta de prestação de garantia idónea dentro do prazo referido no número anterior, ou a inexistência de autorização para dispensa da mesma, no mesmo prazo, origina a prossecução dos termos normais do processo de execução, nomeadamente para penhora dos bens ou direitos considerados suficientes, nos termos e para os efeitos do n.º 4.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9 - É competente para apreciar as garantias a prestar nos termos do presente artigo a entidade competente para autorizar o pagamento em prestações. (Anterior 8 -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10 - Em caso de diminuição significativa do valor dos bens que constituem a garantia, o órgão da execução fiscal ordena ao executado que a reforce ou preste nova garantia idónea no prazo de 15 dias, com a cominação prevista no n.º 8 deste artigo.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11 - A garantia poderá ser reduzida, oficiosamente ou a requerimento dos contribuintes, à medida que os pagamentos forem efectuados e se tornar manifesta a desproporção entre o montante daquela e a dívida restante. (Anterior 10 - Redacção dada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12 - As garantias bancárias, caução e seguros-caução previstas neste artigo são constituídas a favor da administração tributária por via electrónica, nos termos a definir por portaria do Ministro das Finanças. (Aditado pela Lei n.º 64-B/2011, de 30 de Dezembro)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 xml:space="preserve">13 - Os pagamentos em prestações ao abrigo de plano de recuperação no âmbito de processo de insolvência ou de processo especial de revitalização ou em acordo sujeito </w:t>
      </w:r>
      <w:r w:rsidRPr="000C2B9C">
        <w:rPr>
          <w:rFonts w:ascii="Arial" w:eastAsia="Calibri" w:hAnsi="Arial" w:cs="Arial"/>
          <w:i/>
        </w:rPr>
        <w:lastRenderedPageBreak/>
        <w:t>ao regime extrajudicial de recuperação de empresas em execução ou em negociação que decorra do plano ou do acordo não dependem da prestação de quaisquer garantias adicionais. (Aditado pela Lei n.º 100/2017, de 28 de agosto)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14 - As garantias constituídas à data de autorização dos pagamentos em prestações referidos no número anterior mantêm-se até ao limite máximo da quantia exequenda, sendo reduzidas anualmente no dobro do montante efetivamente pago em prestações ao abrigo daqueles planos de pagamentos, desde que não se verifique, consoante os casos, a existência de novas dívidas fiscais em cobrança coerciva cuja execução não esteja legalmente suspensa ou cujos prazos de reclamação ou impugnação estejam a decorrer. (Aditado pela Lei n.º 100/2017, de 28 de agosto)</w:t>
      </w:r>
    </w:p>
    <w:p w:rsidR="000C2B9C" w:rsidRPr="000C2B9C" w:rsidRDefault="000C2B9C" w:rsidP="000C2B9C">
      <w:pPr>
        <w:spacing w:before="360" w:after="240" w:line="360" w:lineRule="auto"/>
        <w:jc w:val="both"/>
        <w:rPr>
          <w:rFonts w:ascii="Arial" w:eastAsia="Calibri" w:hAnsi="Arial" w:cs="Arial"/>
          <w:i/>
        </w:rPr>
      </w:pPr>
      <w:r w:rsidRPr="000C2B9C">
        <w:rPr>
          <w:rFonts w:ascii="Arial" w:eastAsia="Calibri" w:hAnsi="Arial" w:cs="Arial"/>
          <w:i/>
        </w:rPr>
        <w:t>15 - Os n.os 13 e 14 são correspondentemente aplicáveis, com as necessárias adaptações, aos planos de pagamentos em prestações aprovados ao abrigo do n.º 7 do artigo 196.º (Aditado pela Lei n.º 100/2017, de 28 de agosto)"</w:t>
      </w:r>
    </w:p>
    <w:p w:rsidR="000C2B9C" w:rsidRPr="000C2B9C" w:rsidRDefault="000C2B9C" w:rsidP="000C2B9C">
      <w:pPr>
        <w:spacing w:before="360" w:after="240" w:line="360" w:lineRule="auto"/>
        <w:jc w:val="both"/>
        <w:rPr>
          <w:rFonts w:ascii="Arial" w:eastAsia="Calibri" w:hAnsi="Arial" w:cs="Arial"/>
        </w:rPr>
      </w:pPr>
      <w:r w:rsidRPr="000C2B9C">
        <w:rPr>
          <w:rFonts w:ascii="Arial" w:eastAsia="Calibri" w:hAnsi="Arial" w:cs="Arial"/>
        </w:rPr>
        <w:t>Analisemos de seguida o que existe nas instruções administrativas e na jurisprudência dos tribunais, para sustentar a preposição exposta e que nos propomos a discutir.</w:t>
      </w:r>
    </w:p>
    <w:p w:rsidR="000C2B9C" w:rsidRPr="000C2B9C" w:rsidRDefault="00E56AF6" w:rsidP="005E075A">
      <w:pPr>
        <w:pStyle w:val="Ttulo2"/>
        <w:rPr>
          <w:rFonts w:eastAsia="Calibri"/>
        </w:rPr>
      </w:pPr>
      <w:bookmarkStart w:id="74" w:name="_Hlk495529776"/>
      <w:bookmarkStart w:id="75" w:name="_Toc500109646"/>
      <w:r>
        <w:rPr>
          <w:rFonts w:eastAsia="Calibri"/>
        </w:rPr>
        <w:t xml:space="preserve">7.1.2 </w:t>
      </w:r>
      <w:r w:rsidR="000C2B9C" w:rsidRPr="000C2B9C">
        <w:rPr>
          <w:rFonts w:eastAsia="Calibri"/>
        </w:rPr>
        <w:t>As instruções administrativas</w:t>
      </w:r>
      <w:bookmarkEnd w:id="75"/>
    </w:p>
    <w:bookmarkEnd w:id="74"/>
    <w:p w:rsidR="00AA63F1" w:rsidRDefault="00AA63F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início desta problemática começa com as alterações impostas pela Lei do Orçamento de Estado, para 2012, Lei n.0 64-B/2011, de 30 de Dezembro e que altera o paradigma até então vigente, e que definia um horizonte temporal para a contagem dos juros de mora e com a entrada em vigor da nova lei alarga a contagem dos juros de mora a todo o tempo, vejamos a posição da </w:t>
      </w:r>
      <w:bookmarkStart w:id="76" w:name="_Hlk499678065"/>
      <w:r w:rsidRPr="000C2B9C">
        <w:rPr>
          <w:rFonts w:ascii="Arial" w:eastAsia="Calibri" w:hAnsi="Arial" w:cs="Arial"/>
        </w:rPr>
        <w:t>DSGCT (Direção de Serviços de Gestão dos Créditos Tributários)</w:t>
      </w:r>
      <w:bookmarkEnd w:id="76"/>
      <w:r w:rsidRPr="000C2B9C">
        <w:rPr>
          <w:rFonts w:ascii="Arial" w:eastAsia="Calibri" w:hAnsi="Arial" w:cs="Arial"/>
        </w:rPr>
        <w:t>, através do Ofício Circulado 60.086, de 5 de março de 2012, e que vincula todos os órgãos da Autoridade Tributária: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"O artigo 149º da Lei nº 64-B/2011, de 30 de Dezembro, Lei do Orçamento do Estado para 2012 (LOE 2012), veio introduzir alterações importantes no regime jurídico dos juros de mora das dívidas tributárias.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O presente Ofício-Circulado visa sistematizar e uniformizar os procedimentos dos Serviços da Autoridade Tributária e Aduaneira (AT) relativamente às alterações introduzidas nesta matéria.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Neste sentido, foi sancionado por despacho do Sr. Director-Geral de 2012/03/01 a divulgação do seguinte entendimento: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 xml:space="preserve">A partir de 1 de Janeiro de 2012, data da entrada em vigor desta Lei, os juros de mora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aplicados, à execução fiscal de tributos deixaram de estar sujeitos ao prazo máximo de contagem de três anos (ou de oito anos, nos casos em que a dívida tributária seja paga em prestações).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Nos termos da nova redacção do nº 2 do artigo. 44º da Lei Geral Tributária (LGT), os juros de mora aplicáveis às dívidas tributárias passam a ser integralmente devidos, desde o dia em que se verificou a falta de pagamento voluntário até à data do pagamento da dívida.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respeito da aplicação das leis no tempo, consagra o nº 1 do artigo. 12</w:t>
      </w:r>
      <w:r w:rsidR="002649C1">
        <w:rPr>
          <w:rFonts w:ascii="Arial" w:eastAsia="Calibri" w:hAnsi="Arial" w:cs="Arial"/>
          <w:i/>
        </w:rPr>
        <w:t>º</w:t>
      </w:r>
      <w:r w:rsidRPr="000C2B9C">
        <w:rPr>
          <w:rFonts w:ascii="Arial" w:eastAsia="Calibri" w:hAnsi="Arial" w:cs="Arial"/>
          <w:i/>
        </w:rPr>
        <w:t xml:space="preserve"> do Código Civil (CC), aplicável por força do artigo. 2º da LGT, o princípio geral de que a lei nova só dispõe para o futuro, prevendo na segunda parte do nº 2 que se a lei dispõe directamente sobre o conteúdo das relações jurídicas, abstraindo dos factos que lhe deram origem, ela abrange as próprias relações já constituídas, que subsistam à data da sua entrada em vigor.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Em sede das disposições transitórias no âmbito da LGT, consagrou-se no nº 2 do artigo. 151º da LOE 2012 que a nova redacção do nº 2 do artigo 44º da LGT tem aplicação imediata em todos os processos de execução fiscal que se encontrem pendentes à data da entrada em vigor da presente lei, estipulando-se no nº 4 da mesma disposição legal que os juros devidos sem qualquer limitação temporal só se aplicam ao período decorrido a partir da entrada em vigor da presente lei.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Por razões que se prendem com a protecção da certeza e segurança jurídicas e das legítimas expectativas dos executados, nos processos de execução fiscal em que, à data de 31/12/2011, se mostre decorrido o prazo máximo de contagem de juros de mora (ao abrigo da anterior redacção da norma), a contagem do prazo de juros sem limitação temporal inicia-se em 01/01/2012.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Daqui resulta que a contagem dos juros de mora pelos serviços da AT deverá efectuar-se de acordo com as seguintes regras: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nos processos de execução fiscal pendentes, em que, até à data de 31/12/2011 , </w:t>
      </w:r>
      <w:r w:rsidRPr="000C2B9C">
        <w:rPr>
          <w:rFonts w:ascii="Arial" w:eastAsia="Calibri" w:hAnsi="Arial" w:cs="Arial"/>
          <w:b/>
          <w:i/>
          <w:u w:val="single"/>
        </w:rPr>
        <w:t>ainda não tenha decorrido</w:t>
      </w:r>
      <w:r w:rsidRPr="000C2B9C">
        <w:rPr>
          <w:rFonts w:ascii="Arial" w:eastAsia="Calibri" w:hAnsi="Arial" w:cs="Arial"/>
          <w:i/>
        </w:rPr>
        <w:t xml:space="preserve"> o prazo máximo de 3 anos ou outro prazo máximo legalmente previsto, contam-se juros de mora desde o termo do prazo para pagamento voluntário da dívida até à data de pagamento;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nos processos de execução fiscal pendentes em que, até à data de 31/12/201 1, </w:t>
      </w:r>
      <w:r w:rsidRPr="000C2B9C">
        <w:rPr>
          <w:rFonts w:ascii="Arial" w:eastAsia="Calibri" w:hAnsi="Arial" w:cs="Arial"/>
          <w:b/>
          <w:i/>
          <w:u w:val="single"/>
        </w:rPr>
        <w:t>já tenha decorrido</w:t>
      </w:r>
      <w:r w:rsidRPr="000C2B9C">
        <w:rPr>
          <w:rFonts w:ascii="Arial" w:eastAsia="Calibri" w:hAnsi="Arial" w:cs="Arial"/>
          <w:i/>
        </w:rPr>
        <w:t xml:space="preserve"> o prazo máximo de 3 anos ou outro prazo máximo legalmente previsto, ao montante de juros apurado até àquela data (com a consideração do limite máximo, </w:t>
      </w:r>
      <w:r w:rsidRPr="000C2B9C">
        <w:rPr>
          <w:rFonts w:ascii="Arial" w:eastAsia="Calibri" w:hAnsi="Arial" w:cs="Arial"/>
          <w:i/>
        </w:rPr>
        <w:lastRenderedPageBreak/>
        <w:t xml:space="preserve">então em vigor) acrescerão juros de mora, contados desde 01/01/2012 (data de entrada em vigor das alterações da LOE) até à data de pagamento."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refere o início do Ofício Circulado a alteração da lei veio aplicar aos processos de execução fiscal a inexistência de um limite temporal, que anteriormente se fixava em três anos (oito anos dos casos em que existia pagamentos em prestações). Como já referimos no início do presente capítulo, é aqui que a problemática, por nós levantada se centra. Como se pode verificar, anteriormente com a fixação de limites para o cálculo dos juros de mora esta questão não se colocava, isto porque também na maior parte dos casos (dizemos a maior parte dos casos, porque existem processos de execução fiscal, que têm ou vêm a ter no decurso da sua tramitação, avultadas custas processuais</w:t>
      </w:r>
      <w:r w:rsidRPr="000C2B9C">
        <w:rPr>
          <w:rFonts w:ascii="Arial" w:eastAsia="Calibri" w:hAnsi="Arial" w:cs="Arial"/>
          <w:vertAlign w:val="superscript"/>
        </w:rPr>
        <w:footnoteReference w:id="72"/>
      </w:r>
      <w:r w:rsidRPr="000C2B9C">
        <w:rPr>
          <w:rFonts w:ascii="Arial" w:eastAsia="Calibri" w:hAnsi="Arial" w:cs="Arial"/>
        </w:rPr>
        <w:t>), os 25% previstos do número 6, são suficientes para garantir os processos de execução fiscal até 5 anos.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Para que se entenda de um ponto de vista mais matemático, se aplicarmos uma taxa de 5% ao ano, chegamos a um acréscimo de 25% ao fim de 5 anos. Como a taxa em vigor em 2017, é de 4,966%, encontramo-nos neste limiar. Acrescente-se que as taxas de juro legais entre 2014 e 2016, estiveram sempre na casa dos 5%, sendo que em 2013, vigorava uma taxa de 6.112%.</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Vejamos no quadro seguinte um exemplo, simples, mas que ilustra o que foi anteriormente referido.</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Default="000C2B9C"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Default="001E087F" w:rsidP="000C2B9C">
      <w:pPr>
        <w:spacing w:before="120" w:after="120" w:line="360" w:lineRule="auto"/>
        <w:jc w:val="both"/>
        <w:rPr>
          <w:rFonts w:ascii="Arial" w:eastAsia="Calibri" w:hAnsi="Arial" w:cs="Arial"/>
        </w:rPr>
      </w:pPr>
    </w:p>
    <w:p w:rsidR="001E087F" w:rsidRPr="000C2B9C" w:rsidRDefault="001E087F" w:rsidP="000C2B9C">
      <w:pPr>
        <w:spacing w:before="120" w:after="120" w:line="360" w:lineRule="auto"/>
        <w:jc w:val="both"/>
        <w:rPr>
          <w:rFonts w:ascii="Arial" w:eastAsia="Calibri" w:hAnsi="Arial" w:cs="Arial"/>
        </w:rPr>
      </w:pPr>
    </w:p>
    <w:p w:rsidR="000C2B9C" w:rsidRPr="000C2B9C" w:rsidRDefault="000C2B9C" w:rsidP="001E087F">
      <w:pPr>
        <w:spacing w:before="120" w:after="120" w:line="360" w:lineRule="auto"/>
        <w:ind w:firstLine="708"/>
        <w:jc w:val="both"/>
        <w:rPr>
          <w:rFonts w:ascii="Arial" w:eastAsia="Calibri" w:hAnsi="Arial" w:cs="Arial"/>
        </w:rPr>
      </w:pPr>
      <w:r w:rsidRPr="000C2B9C">
        <w:rPr>
          <w:rFonts w:ascii="Arial" w:eastAsia="Calibri" w:hAnsi="Arial" w:cs="Arial"/>
        </w:rPr>
        <w:lastRenderedPageBreak/>
        <w:t>Quadro II</w:t>
      </w:r>
    </w:p>
    <w:tbl>
      <w:tblPr>
        <w:tblW w:w="8363" w:type="dxa"/>
        <w:tblInd w:w="421" w:type="dxa"/>
        <w:tblCellMar>
          <w:left w:w="70" w:type="dxa"/>
          <w:right w:w="70" w:type="dxa"/>
        </w:tblCellMar>
        <w:tblLook w:val="04A0" w:firstRow="1" w:lastRow="0" w:firstColumn="1" w:lastColumn="0" w:noHBand="0" w:noVBand="1"/>
      </w:tblPr>
      <w:tblGrid>
        <w:gridCol w:w="539"/>
        <w:gridCol w:w="1780"/>
        <w:gridCol w:w="2500"/>
        <w:gridCol w:w="3544"/>
      </w:tblGrid>
      <w:tr w:rsidR="000C2B9C" w:rsidRPr="000C2B9C" w:rsidTr="00BA02BA">
        <w:trPr>
          <w:trHeight w:val="600"/>
        </w:trPr>
        <w:tc>
          <w:tcPr>
            <w:tcW w:w="539"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1780" w:type="dxa"/>
            <w:tcBorders>
              <w:top w:val="single" w:sz="4" w:space="0" w:color="auto"/>
              <w:left w:val="nil"/>
              <w:bottom w:val="single" w:sz="4" w:space="0" w:color="auto"/>
              <w:right w:val="single" w:sz="4" w:space="0" w:color="auto"/>
            </w:tcBorders>
            <w:shd w:val="clear" w:color="auto" w:fill="auto"/>
            <w:vAlign w:val="bottom"/>
            <w:hideMark/>
          </w:tcPr>
          <w:p w:rsidR="000C2B9C" w:rsidRPr="000C2B9C" w:rsidRDefault="000C2B9C" w:rsidP="000C2B9C">
            <w:pPr>
              <w:spacing w:after="0" w:line="240" w:lineRule="auto"/>
              <w:jc w:val="center"/>
              <w:rPr>
                <w:rFonts w:ascii="Calibri" w:eastAsia="Times New Roman" w:hAnsi="Calibri" w:cs="Calibri"/>
                <w:color w:val="000000"/>
                <w:lang w:eastAsia="pt-PT"/>
              </w:rPr>
            </w:pPr>
            <w:r w:rsidRPr="000C2B9C">
              <w:rPr>
                <w:rFonts w:ascii="Calibri" w:eastAsia="Times New Roman" w:hAnsi="Calibri" w:cs="Calibri"/>
                <w:color w:val="000000"/>
                <w:lang w:eastAsia="pt-PT"/>
              </w:rPr>
              <w:t xml:space="preserve">Valor para Cálculo </w:t>
            </w:r>
            <w:r w:rsidRPr="000C2B9C">
              <w:rPr>
                <w:rFonts w:ascii="Calibri" w:eastAsia="Times New Roman" w:hAnsi="Calibri" w:cs="Calibri"/>
                <w:color w:val="000000"/>
                <w:lang w:eastAsia="pt-PT"/>
              </w:rPr>
              <w:br/>
              <w:t xml:space="preserve">da Garantia </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0C2B9C" w:rsidRPr="000C2B9C" w:rsidRDefault="000C2B9C" w:rsidP="000C2B9C">
            <w:pPr>
              <w:spacing w:after="0" w:line="240" w:lineRule="auto"/>
              <w:jc w:val="center"/>
              <w:rPr>
                <w:rFonts w:ascii="Calibri" w:eastAsia="Times New Roman" w:hAnsi="Calibri" w:cs="Calibri"/>
                <w:color w:val="000000"/>
                <w:lang w:eastAsia="pt-PT"/>
              </w:rPr>
            </w:pPr>
            <w:r w:rsidRPr="000C2B9C">
              <w:rPr>
                <w:rFonts w:ascii="Calibri" w:eastAsia="Times New Roman" w:hAnsi="Calibri" w:cs="Calibri"/>
                <w:color w:val="000000"/>
                <w:lang w:eastAsia="pt-PT"/>
              </w:rPr>
              <w:t xml:space="preserve">Acréscimo </w:t>
            </w:r>
            <w:r w:rsidRPr="000C2B9C">
              <w:rPr>
                <w:rFonts w:ascii="Calibri" w:eastAsia="Times New Roman" w:hAnsi="Calibri" w:cs="Calibri"/>
                <w:color w:val="000000"/>
                <w:lang w:eastAsia="pt-PT"/>
              </w:rPr>
              <w:br/>
              <w:t>nº 6 artigoº 199º CPPT</w:t>
            </w:r>
          </w:p>
        </w:tc>
        <w:tc>
          <w:tcPr>
            <w:tcW w:w="3544" w:type="dxa"/>
            <w:tcBorders>
              <w:top w:val="single" w:sz="4" w:space="0" w:color="auto"/>
              <w:left w:val="nil"/>
              <w:bottom w:val="single" w:sz="4" w:space="0" w:color="auto"/>
              <w:right w:val="single" w:sz="4" w:space="0" w:color="auto"/>
            </w:tcBorders>
            <w:shd w:val="clear" w:color="auto" w:fill="auto"/>
            <w:vAlign w:val="bottom"/>
            <w:hideMark/>
          </w:tcPr>
          <w:p w:rsidR="000C2B9C" w:rsidRPr="000C2B9C" w:rsidRDefault="000C2B9C" w:rsidP="000C2B9C">
            <w:pPr>
              <w:spacing w:after="0" w:line="240" w:lineRule="auto"/>
              <w:jc w:val="center"/>
              <w:rPr>
                <w:rFonts w:ascii="Calibri" w:eastAsia="Times New Roman" w:hAnsi="Calibri" w:cs="Calibri"/>
                <w:color w:val="000000"/>
                <w:lang w:eastAsia="pt-PT"/>
              </w:rPr>
            </w:pPr>
            <w:r w:rsidRPr="000C2B9C">
              <w:rPr>
                <w:rFonts w:ascii="Calibri" w:eastAsia="Times New Roman" w:hAnsi="Calibri" w:cs="Calibri"/>
                <w:color w:val="000000"/>
                <w:lang w:eastAsia="pt-PT"/>
              </w:rPr>
              <w:t xml:space="preserve">Valor dos juros </w:t>
            </w:r>
            <w:r w:rsidRPr="000C2B9C">
              <w:rPr>
                <w:rFonts w:ascii="Calibri" w:eastAsia="Times New Roman" w:hAnsi="Calibri" w:cs="Calibri"/>
                <w:color w:val="000000"/>
                <w:lang w:eastAsia="pt-PT"/>
              </w:rPr>
              <w:br/>
              <w:t>vencidos anualmente</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250,00 €</w:t>
            </w:r>
          </w:p>
        </w:tc>
        <w:tc>
          <w:tcPr>
            <w:tcW w:w="3544"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1º ano</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50,00 €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2º ano</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50,00 €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3º ano</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50,00 €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4º ano</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50,00 €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5º ano</w:t>
            </w:r>
          </w:p>
        </w:tc>
        <w:tc>
          <w:tcPr>
            <w:tcW w:w="1780"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1 000,00 €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50,00 €</w:t>
            </w:r>
          </w:p>
        </w:tc>
      </w:tr>
      <w:tr w:rsidR="000C2B9C" w:rsidRPr="000C2B9C" w:rsidTr="00BA02BA">
        <w:trPr>
          <w:trHeight w:val="300"/>
        </w:trPr>
        <w:tc>
          <w:tcPr>
            <w:tcW w:w="539" w:type="dxa"/>
            <w:tcBorders>
              <w:top w:val="nil"/>
              <w:left w:val="single" w:sz="4" w:space="0" w:color="auto"/>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178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2500" w:type="dxa"/>
            <w:tcBorders>
              <w:top w:val="nil"/>
              <w:left w:val="nil"/>
              <w:bottom w:val="single" w:sz="4" w:space="0" w:color="auto"/>
              <w:right w:val="single" w:sz="4" w:space="0" w:color="auto"/>
            </w:tcBorders>
            <w:shd w:val="clear" w:color="000000" w:fill="D9D9D9"/>
            <w:noWrap/>
            <w:vAlign w:val="bottom"/>
            <w:hideMark/>
          </w:tcPr>
          <w:p w:rsidR="000C2B9C" w:rsidRPr="000C2B9C" w:rsidRDefault="000C2B9C" w:rsidP="000C2B9C">
            <w:pPr>
              <w:spacing w:after="0" w:line="240" w:lineRule="auto"/>
              <w:rPr>
                <w:rFonts w:ascii="Calibri" w:eastAsia="Times New Roman" w:hAnsi="Calibri" w:cs="Calibri"/>
                <w:color w:val="000000"/>
                <w:lang w:eastAsia="pt-PT"/>
              </w:rPr>
            </w:pPr>
            <w:r w:rsidRPr="000C2B9C">
              <w:rPr>
                <w:rFonts w:ascii="Calibri" w:eastAsia="Times New Roman" w:hAnsi="Calibri" w:cs="Calibri"/>
                <w:color w:val="000000"/>
                <w:lang w:eastAsia="pt-PT"/>
              </w:rPr>
              <w:t> </w:t>
            </w:r>
          </w:p>
        </w:tc>
        <w:tc>
          <w:tcPr>
            <w:tcW w:w="3544" w:type="dxa"/>
            <w:tcBorders>
              <w:top w:val="nil"/>
              <w:left w:val="nil"/>
              <w:bottom w:val="single" w:sz="4" w:space="0" w:color="auto"/>
              <w:right w:val="single" w:sz="4" w:space="0" w:color="auto"/>
            </w:tcBorders>
            <w:shd w:val="clear" w:color="auto" w:fill="auto"/>
            <w:noWrap/>
            <w:vAlign w:val="bottom"/>
            <w:hideMark/>
          </w:tcPr>
          <w:p w:rsidR="000C2B9C" w:rsidRPr="000C2B9C" w:rsidRDefault="000C2B9C" w:rsidP="000C2B9C">
            <w:pPr>
              <w:spacing w:after="0" w:line="240" w:lineRule="auto"/>
              <w:jc w:val="right"/>
              <w:rPr>
                <w:rFonts w:ascii="Calibri" w:eastAsia="Times New Roman" w:hAnsi="Calibri" w:cs="Calibri"/>
                <w:color w:val="000000"/>
                <w:lang w:eastAsia="pt-PT"/>
              </w:rPr>
            </w:pPr>
            <w:r w:rsidRPr="000C2B9C">
              <w:rPr>
                <w:rFonts w:ascii="Calibri" w:eastAsia="Times New Roman" w:hAnsi="Calibri" w:cs="Calibri"/>
                <w:color w:val="000000"/>
                <w:lang w:eastAsia="pt-PT"/>
              </w:rPr>
              <w:t>250,00 €</w:t>
            </w:r>
            <w:r w:rsidRPr="000C2B9C">
              <w:rPr>
                <w:rFonts w:ascii="Calibri" w:eastAsia="Times New Roman" w:hAnsi="Calibri" w:cs="Calibri"/>
                <w:color w:val="000000"/>
                <w:vertAlign w:val="superscript"/>
                <w:lang w:eastAsia="pt-PT"/>
              </w:rPr>
              <w:footnoteReference w:id="73"/>
            </w:r>
          </w:p>
        </w:tc>
      </w:tr>
    </w:tbl>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 este exemplo, constatamos que, só os processos de execução fiscal que se mantenham suspensos com garantia por mais de cinco anos, poderão estar abrangidos pela questão que colocamos no início. Mais com as alterações introduzidas pela lei nº 100/2017, de 28 de agosto, os planos longos de pagamentos em prestações (ou seja todos aqueles que tenha maturidades superiores a cinco anos), não ficam abrangidos por esta situação, por força das disposições do número 13, porque já não necessitam da prestação de garantia, ou por força do número 14, porque as garantias constituídas vão sendo libertadas ao longo do tempo.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Analisemos agora o nº 3 do Ofício Circulado nº 60.090, de 15 de maio de 2012, fundamentalmente no que concerne à suficiência da garantia.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"3. PRESTAÇÃO/REFORÇO DA GARANTIA FORA DO PRAZO LEGAL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O referido anteriormente não prejudica o dever de manutenção da idoneidade da garantia ao longo do tempo, nomeadamente no que respeita ao seu valor, à medida que se vão sucedendo diversos meios de reacção, até que seja proferida a decisão definitiva do pedido efectuado.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 garantia deve ser prestada sem qualquer prazo de validade, durante o prazo de 15 dias após apresentação do meio de reacção (n.' 7 do artigo. 169.' do CPPT), e manter-se até à verificação do caso decidido ou resolvido.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 suficiência da garantia deve ser verificada pelo órgão competente a todo o tempo. Caso o órgão de execução fiscal constate que a garantia prestada é insuficiente, deve </w:t>
      </w:r>
      <w:r w:rsidRPr="000C2B9C">
        <w:rPr>
          <w:rFonts w:ascii="Arial" w:eastAsia="Calibri" w:hAnsi="Arial" w:cs="Arial"/>
          <w:i/>
        </w:rPr>
        <w:lastRenderedPageBreak/>
        <w:t xml:space="preserve">ser ordenada a notificação do executado dessa insuficiência e da obrigação de reforço ou prestação de nova garantia idónea no prazo de 15 dias (prazo previsto no nº 8 do artigo. 169º e nº 10 do artigo. 199º, ambos do CPPT). Se o executado não proceder ao reforço, nem prestar nova garantia deve proceder-se ao levantamento da correspondente suspensão processual e à prossecução dos termos normais do processo.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prestação inicial de garantia, e o reforço/prestação de nova garantia, deverão ser efectuados dentro dos prazos previstos nestas normas, mas sem prejuízo da admissão da prestação de garantia após o decurso dos mesmos, desde que ainda se encontre pendente, algum dos meios de reacção previstos no 1 do artigo 169º do CPPT, e desde que o valor da garantia se encontre devidamente actualizado, nos termos da alínea iv</w:t>
      </w:r>
      <w:r w:rsidRPr="000C2B9C">
        <w:rPr>
          <w:rFonts w:ascii="Arial" w:eastAsia="Calibri" w:hAnsi="Arial" w:cs="Arial"/>
          <w:i/>
          <w:vertAlign w:val="superscript"/>
        </w:rPr>
        <w:footnoteReference w:id="74"/>
      </w:r>
      <w:r w:rsidRPr="000C2B9C">
        <w:rPr>
          <w:rFonts w:ascii="Arial" w:eastAsia="Calibri" w:hAnsi="Arial" w:cs="Arial"/>
          <w:i/>
        </w:rPr>
        <w:t xml:space="preserve">) do ponto 1 deste oficio.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garantia deve corresponder sempre a uma segurança do órgão de execução fiscal de que efectuará a cobrança da divida, mesmo no caso de incumprimento do devedor e independentemente da vontade deste, pelo que impende permanentemente sobre os Serviços um dever de vigilância da sua validade, vigência e idoneidade, notificando o executado para proceder ao seu reforço, sempre que necessário."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Este último parágrafo é para nós o mais importante, ainda que não resolva o nosso problema. Quando a Administração Tributária, afirma, e no nosso entender bem, que, a garantia deve corresponder a uma segurança do credor público, é precisamente esse ponto de equilíbrio que procuramos no nosso estudo. À semelhança do que acontece com os credores privados, o Estado, tem de assegurar de que tem possibilidades de cobrar as dívidas, mesmo que essas estejam a ser discutidas judicialmente. Mais uma vez a questão que se coloca, é se a garantia apresentada se tornar insuficiente, a mesma deve ser reforçada em quanto?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Como se pode verificar, a instrução administrativa que tem por fim dar indicações aos órgãos da AT, que têm poder para decidir sobre estas matérias, não é conclusiva, na nossa opinião, porque diz claramente que em caso de insuficiência de garantia tem de ser reforçada essa mesma garantia, indica o prazo e as normas que o determinam, mas quanto ao valor do reforço remete para o número 7. Ora esta indicação do nº 7 sendo </w:t>
      </w:r>
      <w:r w:rsidRPr="000C2B9C">
        <w:rPr>
          <w:rFonts w:ascii="Arial" w:eastAsia="Calibri" w:hAnsi="Arial" w:cs="Arial"/>
        </w:rPr>
        <w:lastRenderedPageBreak/>
        <w:t>compreensível na constituição da garantia, parece-nos algo injusta (talvez até desproporcional), no momento do reforço. E não somos só nós que o dizemos, alguma jurisprudência também o afirma, como veremos mais adiante.</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Até este momento continuamos com a nossa questão de fundo, se a garantia apresentada se tornar insuficiente, a mesma deve ser reforçada em quanto?</w:t>
      </w:r>
    </w:p>
    <w:p w:rsidR="00AA63F1" w:rsidRPr="000C2B9C" w:rsidRDefault="00AA63F1" w:rsidP="000C2B9C">
      <w:pPr>
        <w:spacing w:before="120" w:after="120" w:line="360" w:lineRule="auto"/>
        <w:jc w:val="both"/>
        <w:rPr>
          <w:rFonts w:ascii="Arial" w:eastAsia="Calibri" w:hAnsi="Arial" w:cs="Arial"/>
        </w:rPr>
      </w:pPr>
    </w:p>
    <w:p w:rsidR="000C2B9C" w:rsidRPr="005E075A" w:rsidRDefault="00E56AF6" w:rsidP="005E075A">
      <w:pPr>
        <w:pStyle w:val="Ttulo2"/>
        <w:rPr>
          <w:rFonts w:eastAsia="Calibri"/>
        </w:rPr>
      </w:pPr>
      <w:bookmarkStart w:id="77" w:name="_Hlk495529822"/>
      <w:bookmarkStart w:id="78" w:name="_Toc500109647"/>
      <w:r>
        <w:rPr>
          <w:rFonts w:eastAsia="Calibri"/>
        </w:rPr>
        <w:t xml:space="preserve">7.1.3 </w:t>
      </w:r>
      <w:r w:rsidR="000C2B9C" w:rsidRPr="005E075A">
        <w:rPr>
          <w:rFonts w:eastAsia="Calibri"/>
        </w:rPr>
        <w:t>Jurisprudência</w:t>
      </w:r>
      <w:bookmarkEnd w:id="78"/>
    </w:p>
    <w:bookmarkEnd w:id="77"/>
    <w:p w:rsidR="002649C1" w:rsidRDefault="002649C1"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Afirmamos e reforçamos a ideia de que uma aplicação do número 7 direta, para um reforço de garantia, é manifestamente desproporcional. O facto de a lei não estabelecer parâmetros de base matemática e ser apenas abstrata não facilita a ação, nem da AT, nem dos tribunais e consequentemente a segurança dos contribuintes devedores. Repare-se que quando falamos em base matemática, não estamos propriamente a criar no pensamento uma ideia inovadora ou impossível. Como podemos constatar e à semelhança do que aconteceu com o Decreto-</w:t>
      </w:r>
      <w:r w:rsidR="002649C1">
        <w:rPr>
          <w:rFonts w:ascii="Arial" w:eastAsia="Calibri" w:hAnsi="Arial" w:cs="Arial"/>
        </w:rPr>
        <w:t>L</w:t>
      </w:r>
      <w:r w:rsidRPr="000C2B9C">
        <w:rPr>
          <w:rFonts w:ascii="Arial" w:eastAsia="Calibri" w:hAnsi="Arial" w:cs="Arial"/>
        </w:rPr>
        <w:t>ei n.º 67/2016, de 3 de novembro, o número 14 vem estabelecer uma fórmula matemática para a libertação da garantia em planos de pagamento em prestações longos. É precisamente qualquer norma que de uma forma inequívoca indique como se estabelece o reforço da garantia. O mesmo se passa com o número 11, que se refere ao momento para redução de garantia, aquele em que se torne manifestamente desproporcional. E perguntamos nós, que valor é esse? Quando é que se torna desproporcional?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Evidentemente entramos em linha de conta, com questões de bom senso, do qual estamos à partida de acordo, mas que são de difícil mensuração. Obviamente que podem ser estabelecidos critérios para a questão da desproporcionalidade, que serão aceites à luz do direito e do bom senso, mas que do ponto de vista matemático carecem de consistência.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Analisemos por exemplo o proferido no acórdão do STA, processo nº 0226/17, de 15 de março de 2017 e nas suas considerações sobre o reforço da garantia: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As alterações ao art.º 44.º da Lei Geral Tributária introduzidas pela Lei 64-B/2011, de 30 de Dezembro, vieram estabelecer que: «Os juros de mora aplicáveis às dívidas tributárias são devidos até à data do pagamento da dívida». Tal disposição legal, atento o disposto no art.º 151º, nº 2, da mesma lei, tem aplicação imediata em todos os processos de execução fiscal que se encontrem pendentes à data da sua entrada em vigor.</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 xml:space="preserve"> II - Não houve qualquer alteração legislativa relativa à prestação de garantias para suspender a execução fiscal. Trata-se de questão inerente ao pagamento da prestação tributária definindo o seu valor total, </w:t>
      </w:r>
      <w:bookmarkStart w:id="79" w:name="_Hlk495252262"/>
      <w:r w:rsidRPr="000C2B9C">
        <w:rPr>
          <w:rFonts w:ascii="Arial" w:eastAsia="Calibri" w:hAnsi="Arial" w:cs="Arial"/>
          <w:i/>
        </w:rPr>
        <w:t>sem que o legislador haja efectuado qualquer ligação entre o valor da prestação tributária acrescido da indemnização pela mora na sua arrecadação e o valor da garantia a prestar para suspender</w:t>
      </w:r>
      <w:bookmarkEnd w:id="79"/>
      <w:r w:rsidRPr="000C2B9C">
        <w:rPr>
          <w:rFonts w:ascii="Arial" w:eastAsia="Calibri" w:hAnsi="Arial" w:cs="Arial"/>
          <w:i/>
        </w:rPr>
        <w:t xml:space="preserve">, ou impedir a instauração da execução para a sua cobrança coerciva enquanto se discute judicialmente a legalidade da liquidação.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III - Ao contrário do que ocorre em situações em que o executado foi isentado de prestar garantia, em que a isenção é válida, apenas por um ano, art.º 52.º n.º 5 da Lei Geral Tributária, a garantia uma vez prestada e considerada suficiente para determinar a suspensão da cobrança da dívida exequenda, mantem-se válida e eficaz, nos termos do disposto no n.º 2 do artigo 183.º do CPPT, até ao trânsito em julgado de decisão que vier a ser proferida no processo onde se discute a legalidade do acto de liquidação. IV - O reforço da garantia prestada, só pode ser exigido no caso de a garantia se tornar manifestamente insuficiente para o pagamento da dívida e acrescido, art.º 52.º, n.º 3 da Lei Geral Tributária 169.º, n. 8, e 199.º, n.º 5 do Código de Processo e Procedimento Tributário;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V - O art.º 199.º, n.º 6, cujo texto é determinante para cálculo do valor da garantia a prestar não sofreu qualquer alteração pela determinação de que os juros de mora se vencem até à data em que for efectuado pagamento, nem expressa nem implicitamente.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VI - O acréscimo de 25% referidos no art.º 199.º do Código de Processo e Procedimento Tributário é uma forma abstracta de o estado se ver compensado dos juros de mora que se vão vencer enquanto se aguarda a decisão definitiva do pleito onde se discute a legalidade do acto de liquidação. </w:t>
      </w:r>
      <w:bookmarkStart w:id="80" w:name="_Hlk495253766"/>
      <w:r w:rsidRPr="000C2B9C">
        <w:rPr>
          <w:rFonts w:ascii="Arial" w:eastAsia="Calibri" w:hAnsi="Arial" w:cs="Arial"/>
          <w:i/>
        </w:rPr>
        <w:t>É naturalmente uma solução de compromisso e não uma contabilização do que é devido exactamente, ponderando o risco</w:t>
      </w:r>
      <w:bookmarkEnd w:id="80"/>
      <w:r w:rsidRPr="000C2B9C">
        <w:rPr>
          <w:rFonts w:ascii="Arial" w:eastAsia="Calibri" w:hAnsi="Arial" w:cs="Arial"/>
          <w:i/>
        </w:rPr>
        <w:t xml:space="preserve"> para o estado e para o contribuinte de virem a decair na demanda.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VII - Não se tendo demonstrado, no caso concreto, que os bens oferecidos em garantia sofreram manifesta depreciação de molde a não garantirem o valor que a Administração Tributária, em devido tempo, fixou como necessário para a garantia adequada a suspender os termos da execução, a determinação de que seja reforçada a garantia por os juros de mora aplicáveis às dívidas tributárias terem passado a ser devidos até à data do pagamento da dívida, carece de fundamento legal."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podemos verificar o acórdão começa por se pronunciar sobre a alteração legislativa que permite a contagem dos juros de mora a todo o tempo. Seguidamente afirma que "</w:t>
      </w:r>
      <w:r w:rsidRPr="000C2B9C">
        <w:rPr>
          <w:rFonts w:ascii="Arial" w:eastAsia="Calibri" w:hAnsi="Arial" w:cs="Arial"/>
          <w:i/>
        </w:rPr>
        <w:t xml:space="preserve">sem que o legislador haja efectuado qualquer ligação entre o valor da </w:t>
      </w:r>
      <w:r w:rsidRPr="000C2B9C">
        <w:rPr>
          <w:rFonts w:ascii="Arial" w:eastAsia="Calibri" w:hAnsi="Arial" w:cs="Arial"/>
          <w:i/>
        </w:rPr>
        <w:lastRenderedPageBreak/>
        <w:t xml:space="preserve">prestação tributária acrescido da indemnização pela mora na sua arrecadação e o valor da garantia a prestar para suspender" </w:t>
      </w:r>
      <w:r w:rsidRPr="000C2B9C">
        <w:rPr>
          <w:rFonts w:ascii="Arial" w:eastAsia="Calibri" w:hAnsi="Arial" w:cs="Arial"/>
        </w:rPr>
        <w:t xml:space="preserve">o que demonstra que não existe nenhuma noção de causa e efeito entre a prestação de garantia para efeitos suspensivos e o seu cálculo. Depois o acórdão reforça a questão da garantia se manter atá à decisão do pleito conforme disposto no número 1 do artigo 169º do CPPT. Considera o tribunal através deste acórdão que " </w:t>
      </w:r>
      <w:r w:rsidRPr="000C2B9C">
        <w:rPr>
          <w:rFonts w:ascii="Arial" w:eastAsia="Calibri" w:hAnsi="Arial" w:cs="Arial"/>
          <w:i/>
        </w:rPr>
        <w:t xml:space="preserve">O reforço da garantia prestada, só pode ser exigido no caso de a garantia se tornar manifestamente insuficiente para o pagamento da dívida e acrescido, art.º 52.º, n.º 3 da Lei Geral Tributária 169.º, n. 8, e 199.º, n.º 5 do Código de Processo e Procedimento Tributário" </w:t>
      </w:r>
      <w:r w:rsidRPr="000C2B9C">
        <w:rPr>
          <w:rFonts w:ascii="Arial" w:eastAsia="Calibri" w:hAnsi="Arial" w:cs="Arial"/>
        </w:rPr>
        <w:t>, como se pode verificar uma vez mais apela-se à insuficiência da garantia, mas não se quantifica. Mais, o próprio acórdão refere-se ao disposto no número 6 e ao acréscimo de 25% como "</w:t>
      </w:r>
      <w:r w:rsidRPr="000C2B9C">
        <w:rPr>
          <w:rFonts w:ascii="Arial" w:eastAsia="Calibri" w:hAnsi="Arial" w:cs="Arial"/>
          <w:i/>
        </w:rPr>
        <w:t xml:space="preserve">(...) uma forma abstracta de o </w:t>
      </w:r>
      <w:r w:rsidR="002649C1">
        <w:rPr>
          <w:rFonts w:ascii="Arial" w:eastAsia="Calibri" w:hAnsi="Arial" w:cs="Arial"/>
          <w:i/>
        </w:rPr>
        <w:t>E</w:t>
      </w:r>
      <w:r w:rsidRPr="000C2B9C">
        <w:rPr>
          <w:rFonts w:ascii="Arial" w:eastAsia="Calibri" w:hAnsi="Arial" w:cs="Arial"/>
          <w:i/>
        </w:rPr>
        <w:t xml:space="preserve">stado se ver compensado dos juros de mora que se vão vencer enquanto se aguarda a decisão definitiva do pleito (...)" </w:t>
      </w:r>
      <w:r w:rsidRPr="000C2B9C">
        <w:rPr>
          <w:rFonts w:ascii="Arial" w:eastAsia="Calibri" w:hAnsi="Arial" w:cs="Arial"/>
        </w:rPr>
        <w:t xml:space="preserve">e acrescenta ainda " </w:t>
      </w:r>
      <w:r w:rsidRPr="000C2B9C">
        <w:rPr>
          <w:rFonts w:ascii="Arial" w:eastAsia="Calibri" w:hAnsi="Arial" w:cs="Arial"/>
          <w:i/>
        </w:rPr>
        <w:t>É naturalmente uma solução de compromisso e não uma contabilização do que é devido exactamente, ponderando o risco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 facilmente verificar, o que vem proferido, neste acórdão vem ao encontro uma vez mais da nossa questão, reforçar em quanto? Quando o tribunal reconhece, e do qual concordamos inteiramente, que se trata de uma forma abstrata de compensação do credor público e que é uma solução de compromisso, reforça a nossa causa, no sentido de haver uma lacuna na lei, que não permite uma aferição objetiva para o cálculo do reforço da garantia, apelando-se sempre a conceitos indeterminados.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O acórdão tirado no processo nº 08689/15, de 21 de maio de 2015, do Tribunal Central Administrativo Sul, traz conclusões muito interessantes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Está ínsito no nº 1 do artigo. 169º do CPPT, ao estabelecer conexão entre a garantia ou penhora suficientes para assegurar o pagamento da dívida exequenda e a suspensão da execução, que nos casos de garantia ou penhora insuficientes a execução prossiga.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 Porém, como é corolário dessa conexão e decorre dos princípios constitucionais da necessidade e proporcionalidade (artigo. 18º e 266º, nº 2, da CRP), o prosseguimento da execução deverá limitar-se ao necessário, abrangendo apenas diligências tendentes à cobrança da parte da divida que não está coberta pela garantia ou penhora.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III - Isto é, em situações em que não seja efectuado reforço da garantia (como é o caso), a execução deverá prosseguir apenas tendo em vista penhorar bens necessários para assegurar o pagamento da parte da divida que não está garantida e, efectuada essa penhora em bens suficientes, a execução deverá ficar suspensa até à decisão do pleito </w:t>
      </w:r>
      <w:r w:rsidRPr="000C2B9C">
        <w:rPr>
          <w:rFonts w:ascii="Arial" w:eastAsia="Calibri" w:hAnsi="Arial" w:cs="Arial"/>
          <w:i/>
        </w:rPr>
        <w:lastRenderedPageBreak/>
        <w:t>em que se aprecie a legalidade da liquidação da exequenda, pois estará assegurado o pagamento global da divida.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IV - Mas, apenas para esta penhora de novos bens e actos com ela conexionados deverá prosseguir a execução, não podendo prosseguir, designadamente, com venda dos bens já penhorados, ou no caso, hipotecados."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verifica o acórdão no seu número I, afirma que quando a garantia é constituída, caso seja insuficiente, o processo de execução fiscal não suspende e segue a sua tramitação normal. Levantamos aqui uma vez mais a questão, e no reforço de garantia?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número II, o coletivo de juízes alerta para o princípio constitucional da proporcionalidade e aqui a questão tem de ser colocado nos casos de reforço de garantia como nos parece mais do que elementar.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acórdão e para o caso concreto nele versado em que não é pedido o reforço da garantia, é considerado pelo coletivo de juízes de que a penhora deverá ir até ao limite máximo, para assegurar a dívida, mas que não deve ir para além desse valor limite.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Ainda mais interessante o acórdão do STA, proferido no processo nº 0301/16, de 6 de abril de 2016, que não admite acréscimo, aquando de um possível reforço e aqui está algo de verdadeiramente importante e significativo, a nosso ver, porque, nos dá uma indicação, ainda que não de uma forma matemática.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"Aliás, a jurisprudência apontada pela recorrente(() Os acs. do STA de 9/1/2013, proc. nº 631/13 e de 8/5/2013, proc. nº 1369/12.E no mesmo sentido, pode ver-se, igualmente, o ac. de 16/12/2015, proc. nº 1366/15.) na Conclusão K das alegações de recurso (apesar de, como ela própria reconhece, a questão ali apreciada não ser a mesma que aqui se suscita) também considera que «(…) a garantia é prestada pelo valor da dívida exequenda, juros de mora contados até ao termo do prazo de pagamento voluntário ou à data do pedido, quando posterior, com o limite de cinco anos, e custas na totalidade, acrescida de 25% da soma daqueles valores (cfr. o n.º 6 do artigo 199.º do CPPT), sendo que tal acréscimo tem em vista assegurar o pagamento dos juros que se vão vencendo durante a pendência do processo (neste sentido, JORGE LOPES DE SOUSA, Código de Procedimento e de Processo Tributário anotado e Comentado, Volume III, 6.ª ed., 2011, Lisboa, Áreas Editora, p. 417- nota 17, in fine, ao artigo. 199.º do CPPT). Ora, se o acréscimo de 25% ao montante global da dívida exequenda, juros de mora e custas tem em vista assegurar o pagamento dos juros de mora que se vão vencendo durante a pendência do processo, das duas uma: ou não haverá lugar ao pretendido recálculo de juros de mora para efeitos de reforço de garantia durante a pendência do(s) processo(s) ou, admitindo-se a possibilidade de tal recálculo de juros de juros de mora </w:t>
      </w:r>
      <w:r w:rsidRPr="000C2B9C">
        <w:rPr>
          <w:rFonts w:ascii="Arial" w:eastAsia="Calibri" w:hAnsi="Arial" w:cs="Arial"/>
          <w:i/>
        </w:rPr>
        <w:lastRenderedPageBreak/>
        <w:t>na pendência do processo, não haverá, então, justificação para que no reforço da garantia se inclua qualquer acréscimo»"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a conclusão parece-nos dotada de grande lógica e como refere Jorge Lopes de Sousa o acréscimo dos 25% serve para assegurar o pagamento de juros de mora. Mais ainda o acórdão citado no processo nº 631/13, do STA, vem dar consistência à ideia da necessidade de reforçar que a garantia, apenas e só quando esta se torne manifestamente insuficiente.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A administração tributária pode exigir ao executado o reforço da garantia no caso de esta se tornar manifestamente insuficiente para o pagamento da dívida exequenda e acrescido».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 No caso dos autos, em que a garantia não se tornou insuficiente para o pagamento da dívida exequenda e acrescido, nem houve “diminuição significativa do valor dos bens que constituem a garantia”, pois que em causa está uma garantia bancária, não já fundamento legal para exigir o seu reforço."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a propósito da desvalorização da garantia o Acórdão do Tribunal Central Administrativo Sul, número 09241/15, de 18 de fevereiro de 2016, refere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"Carece de fundamentação, devendo ser anulado, o acto do órgão de execução fiscal que determine o reforço de prestação de garantia, se o processo de execução se encontra suspenso, por acto anterior que considerou a cobrança da dívida garantida, através da penhora de um imóvel, sem nada se dizer, no novo acto, quanto a ter ocorrido a desvalorização desse imóvel em medida que torne a garantia insuficiente."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 na nossa análise da jurisprudência existente terminamos com o acórdão do STA processo número 0375/16, de 13 de abril de 2016, que consideramos ser um bom corolário do que se foi desenvolvendo ao longo deste sub capítulo,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 - Ocorrendo insuficiência da garantia prestada pode a Administração Fiscal solicitar ao executado o seu reforço.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 O acréscimo de 25º previsto no artigo 199º nº 6 do CPPT tem em vista assegurar o pagamento dos juros que se vão vencendo durante a pendência do processo.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 Assim, ou não haverá lugar ao pretendido recálculo de juros de mora para efeitos de reforço de garantia durante a pendência do(s) processo(s) ou, admitindo-se a possibilidade de tal recálculo de juros de juros de mora na pendência do processo, não haverá, então, justificação para que no reforço da garantia se inclua qualquer acréscimo."</w:t>
      </w:r>
      <w:r w:rsidRPr="000C2B9C">
        <w:rPr>
          <w:rFonts w:ascii="Arial" w:eastAsia="Calibri" w:hAnsi="Arial" w:cs="Arial"/>
          <w:i/>
        </w:rPr>
        <w:tab/>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Uma vez mais o acréscimo no cálculo de um reforço de garantia não é considerado razoável pelo tribunal.</w:t>
      </w:r>
    </w:p>
    <w:p w:rsidR="00AA63F1" w:rsidRPr="000C2B9C" w:rsidRDefault="00AA63F1" w:rsidP="000C2B9C">
      <w:pPr>
        <w:spacing w:before="120" w:after="120" w:line="360" w:lineRule="auto"/>
        <w:jc w:val="both"/>
        <w:rPr>
          <w:rFonts w:ascii="Arial" w:eastAsia="Calibri" w:hAnsi="Arial" w:cs="Arial"/>
        </w:rPr>
      </w:pPr>
    </w:p>
    <w:p w:rsidR="000C2B9C" w:rsidRPr="00977223" w:rsidRDefault="00E56AF6" w:rsidP="00977223">
      <w:pPr>
        <w:pStyle w:val="Ttulo2"/>
        <w:rPr>
          <w:rFonts w:eastAsia="Calibri"/>
        </w:rPr>
      </w:pPr>
      <w:bookmarkStart w:id="81" w:name="_Hlk495529871"/>
      <w:bookmarkStart w:id="82" w:name="_Toc500109648"/>
      <w:r>
        <w:rPr>
          <w:rFonts w:eastAsia="Calibri"/>
        </w:rPr>
        <w:t xml:space="preserve">7.1.4 </w:t>
      </w:r>
      <w:r w:rsidR="000C2B9C" w:rsidRPr="00977223">
        <w:rPr>
          <w:rFonts w:eastAsia="Calibri"/>
        </w:rPr>
        <w:t>Um caso real</w:t>
      </w:r>
      <w:bookmarkEnd w:id="82"/>
    </w:p>
    <w:bookmarkEnd w:id="81"/>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Fruto do trabalho desenvolvido na AT, apresentamos um caso concreto e verídico para ilustrar a dificuldade de aferição da matéria de reforço da garantia em processos de execução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Este caso remonta a 2015 e começamos por analisar a informação do órgão de execução fiscal.</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Estávamos perante um processo de execução fiscal instaurado em março de 2009. A liquidação no valor aproximado de 168.000,00€</w:t>
      </w:r>
      <w:r w:rsidRPr="000C2B9C">
        <w:rPr>
          <w:rFonts w:ascii="Arial" w:eastAsia="Calibri" w:hAnsi="Arial" w:cs="Arial"/>
          <w:vertAlign w:val="superscript"/>
        </w:rPr>
        <w:footnoteReference w:id="75"/>
      </w:r>
      <w:r w:rsidRPr="000C2B9C">
        <w:rPr>
          <w:rFonts w:ascii="Arial" w:eastAsia="Calibri" w:hAnsi="Arial" w:cs="Arial"/>
        </w:rPr>
        <w:t xml:space="preserve"> tinha sido impugnada. Ainda antes da instauração do processo de execução fiscal foi apresentada garantia bancária no valor aproximado de 201.000,00€, que correspondia grosso modo à quantia das liquidações, acrescidas de 25%, nos termos do nº 6 do artigo 199º do CPPT. Assim sendo a garantia prestada à data não tinha sido influenciada pelos juros de mora e pelas custas do processo. Considerado o cálculo dos juros de mora com a redução de 50%, prevista pelo nº 3, do artigo 3º, do DL </w:t>
      </w:r>
      <w:r w:rsidR="00024F68">
        <w:rPr>
          <w:rFonts w:ascii="Arial" w:eastAsia="Calibri" w:hAnsi="Arial" w:cs="Arial"/>
        </w:rPr>
        <w:t xml:space="preserve">nº </w:t>
      </w:r>
      <w:r w:rsidRPr="000C2B9C">
        <w:rPr>
          <w:rFonts w:ascii="Arial" w:eastAsia="Calibri" w:hAnsi="Arial" w:cs="Arial"/>
        </w:rPr>
        <w:t>73/99</w:t>
      </w:r>
      <w:r w:rsidRPr="000C2B9C">
        <w:rPr>
          <w:rFonts w:ascii="Arial" w:eastAsia="Calibri" w:hAnsi="Arial" w:cs="Arial"/>
          <w:vertAlign w:val="superscript"/>
        </w:rPr>
        <w:footnoteReference w:id="76"/>
      </w:r>
      <w:r w:rsidR="00024F68">
        <w:rPr>
          <w:rFonts w:ascii="Arial" w:eastAsia="Calibri" w:hAnsi="Arial" w:cs="Arial"/>
        </w:rPr>
        <w:t>, de 16 de março</w:t>
      </w:r>
      <w:r w:rsidRPr="000C2B9C">
        <w:rPr>
          <w:rFonts w:ascii="Arial" w:eastAsia="Calibri" w:hAnsi="Arial" w:cs="Arial"/>
        </w:rPr>
        <w:t>, o órgão de execução fiscal chegava a um valor de dívida atualizado em 2015, de cerca de 203.000,00€. Por este facto a garantia tornou-se insuficiente, pelo que havia motivos para levantar a suspensão do processo de execução fiscal e notificar o devedor em conformidade com o nº 8 do artigo 199º do CPPT. A insuficiência da garantia cifrava-se em cerca de 2.200,00€, tendo optado o órgão de execução fiscal (e por falta de apoio, técnico, hierárquico e normativo, no nosso entender) por optar por aplicar o disposto no nº 7 do artigo 199º do CPPT, em que prevê que se acresça ao cálculo do valor da garantia, mais três meses, tendo conjugado com o nº 6 do mesmo artigo e acrescido ainda 25%. Conclusão, feitos os cálculos foi o contribuinte notificado para o reforço da garantia em cerca de 5.500,00€. Ou em</w:t>
      </w:r>
      <w:r w:rsidR="00024F68">
        <w:rPr>
          <w:rFonts w:ascii="Arial" w:eastAsia="Calibri" w:hAnsi="Arial" w:cs="Arial"/>
        </w:rPr>
        <w:t>,</w:t>
      </w:r>
      <w:r w:rsidRPr="000C2B9C">
        <w:rPr>
          <w:rFonts w:ascii="Arial" w:eastAsia="Calibri" w:hAnsi="Arial" w:cs="Arial"/>
        </w:rPr>
        <w:t xml:space="preserve"> alternativa, constituir uma nova por cerca de 207.000,00€.</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unidade de apoio ao órgão de execução fiscal, proferiu a seguinte informação</w:t>
      </w:r>
      <w:r w:rsidRPr="000C2B9C">
        <w:rPr>
          <w:rFonts w:ascii="Arial" w:eastAsia="Calibri" w:hAnsi="Arial" w:cs="Arial"/>
          <w:vertAlign w:val="superscript"/>
        </w:rPr>
        <w:footnoteReference w:id="77"/>
      </w:r>
      <w:r w:rsidRPr="000C2B9C">
        <w:rPr>
          <w:rFonts w:ascii="Arial" w:eastAsia="Calibri" w:hAnsi="Arial" w:cs="Arial"/>
        </w:rPr>
        <w: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w:t>
      </w:r>
      <w:r w:rsidRPr="000C2B9C">
        <w:rPr>
          <w:rFonts w:ascii="Arial" w:eastAsia="Calibri" w:hAnsi="Arial" w:cs="Arial"/>
          <w:i/>
        </w:rPr>
        <w:tab/>
        <w:t>A presente informação visa enquadrar e aclarar o preceituado no nº 8 do artigo 169º do CPPT, no que diz respeito à insuficiência de garantia prestada.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2.</w:t>
      </w:r>
      <w:r w:rsidRPr="000C2B9C">
        <w:rPr>
          <w:rFonts w:ascii="Arial" w:eastAsia="Calibri" w:hAnsi="Arial" w:cs="Arial"/>
          <w:i/>
        </w:rPr>
        <w:tab/>
        <w:t>As garantias prestadas pelos sujeitos passivos, no âmbito dos processos de execução fiscal não obstante tudo o que está preceituado no ofício circulado 60094, da Direção de Serviços de Gestão de Créditos Tributários (DSGCT), de 2013-03-12, obedecem às regras impostas pelos artigos 195º e 199º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3.</w:t>
      </w:r>
      <w:r w:rsidRPr="000C2B9C">
        <w:rPr>
          <w:rFonts w:ascii="Arial" w:eastAsia="Calibri" w:hAnsi="Arial" w:cs="Arial"/>
          <w:i/>
        </w:rPr>
        <w:tab/>
        <w:t>Mais concretamente importa aqui verificar a suficiência das garantias prestadas, nomeadamente as bancárias, no momento em que ultrapassado o valor calculado inicialmente, nos termos do nº 6 do artigo 199º do CPPT, que a seguir se transcreve: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garantia é prestada pelo valor da dívida exequenda, juros de mora contados até ao termo do prazo de pagamento voluntário ou à data do pedido, quando posterior, com o limite de cinco anos, e custas na totalidade, acrescida de 25 % da soma daqueles valores, sem prejuízo do disposto no n.º 13 do artigo 169.º. (Redação da Lei n.º 66-B/2012, de 31 de dezembro)”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4.</w:t>
      </w:r>
      <w:r w:rsidRPr="000C2B9C">
        <w:rPr>
          <w:rFonts w:ascii="Arial" w:eastAsia="Calibri" w:hAnsi="Arial" w:cs="Arial"/>
          <w:i/>
        </w:rPr>
        <w:tab/>
        <w:t>O ofício circulado 60094, supra referenciado diz no final do seu número 1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“Em todos os casos, o valor da garantia a prestar pelo executado deverá obedecer ao cálculo previsto no nº 6 do artigoº 199º do CPPT, que impõe um acréscimo de 25% ao valor em dívida (dívida exequenda, juros de mora, com limite de cinco anos, e custas na totalidade).”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e no último § do nº 3:</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garantia deve corresponder sempre a uma segurança do órgão de execução fiscal de que efectuará a cobrança da dívida, mesmo no caso de incumprimento do devedor e independentemente da vontade deste, pelo que impende permanentemente sobre os serviços um dever de vigilância da sua validade e idoneidade, notificando o executado para proceder ao seu reforço, sempre que necessário.”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5.</w:t>
      </w:r>
      <w:r w:rsidRPr="000C2B9C">
        <w:rPr>
          <w:rFonts w:ascii="Arial" w:eastAsia="Calibri" w:hAnsi="Arial" w:cs="Arial"/>
          <w:i/>
        </w:rPr>
        <w:tab/>
        <w:t>Ora o que importa aqui perceber é que quando uma garantia tenha sido prestada nos termos do artigo 199º do CPPT, e aceite pela entidade competente, mas que se verifique que o valor do PEF é superior à garantia prestada, poder-se-á considerar que ela é insuficiente, deverá haver reforço de garantia e em caso afirmativo, qual é a sua base de cálculo para o reforço dessa mesma garantia?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8.</w:t>
      </w:r>
      <w:r w:rsidRPr="000C2B9C">
        <w:rPr>
          <w:rFonts w:ascii="Arial" w:eastAsia="Calibri" w:hAnsi="Arial" w:cs="Arial"/>
          <w:i/>
        </w:rPr>
        <w:tab/>
        <w:t>Na data do pedido e conforme despacho do Chefe de Finanças, de 2009-02-17, a garantia foi calculada de forma correcta (nos termos do artigo 199º nº 5, actualmente nº6, do CPPT) (...), uma vez que a garantia foi apresentada antes da instauração do PEF, em 2009-03-25.</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9.</w:t>
      </w:r>
      <w:r w:rsidRPr="000C2B9C">
        <w:rPr>
          <w:rFonts w:ascii="Arial" w:eastAsia="Calibri" w:hAnsi="Arial" w:cs="Arial"/>
          <w:i/>
        </w:rPr>
        <w:tab/>
        <w:t>A referida garantia foi prestada com contagem de juros a iniciar-se em Março de 2009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w:t>
      </w:r>
      <w:r w:rsidRPr="000C2B9C">
        <w:rPr>
          <w:rFonts w:ascii="Arial" w:eastAsia="Calibri" w:hAnsi="Arial" w:cs="Arial"/>
          <w:i/>
        </w:rPr>
        <w:tab/>
        <w:t>A redução de juros a que se refere a última coluna do quadro acima, é efectuada de acordo com o nº3 do artigo 3º do DL nº 73/99, de 16 de Março – “3 - A taxa referida no n.º 1 é reduzida a 0,5% para as dívidas cobertas por garantias reais constituídas por iniciativa da entidade credora ou por ela aceites e para as dívidas cobertas por garantia bancária.”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w:t>
      </w:r>
      <w:r w:rsidRPr="000C2B9C">
        <w:rPr>
          <w:rFonts w:ascii="Arial" w:eastAsia="Calibri" w:hAnsi="Arial" w:cs="Arial"/>
          <w:i/>
        </w:rPr>
        <w:tab/>
        <w:t>Os juros de mora foram calculados com base nos diferentes avisos que alteraram as taxas ao longo do tempo.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11.</w:t>
      </w:r>
      <w:r w:rsidRPr="000C2B9C">
        <w:rPr>
          <w:rFonts w:ascii="Arial" w:eastAsia="Calibri" w:hAnsi="Arial" w:cs="Arial"/>
          <w:i/>
        </w:rPr>
        <w:tab/>
        <w:t>Ora sendo a garantia de (...) se subtrairmos os (...) teremos (...). Assim sendo este é o valor dos juros de mora a partir do qual o valor da dívida total, iguala o valor da garantia prestada. Deste modo comprova-se que o valor da garantia bancária é inferior ao valor actualmente em dívida.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12.</w:t>
      </w:r>
      <w:r w:rsidRPr="000C2B9C">
        <w:rPr>
          <w:rFonts w:ascii="Arial" w:eastAsia="Calibri" w:hAnsi="Arial" w:cs="Arial"/>
          <w:i/>
        </w:rPr>
        <w:tab/>
        <w:t>Coloca-se também a questão se se deve considerar o valor em absoluto da dívida face à garantia acrescido de 25% a todo o tempo ou apenas e só o remanescente, isto é, a diferença entre o valor da dívida em cada momento e o valor da garantia prestada. Se assim fosse colocar-se-ia todos os meses a necessidade de reforço de garantia, o que se nos afigura pouco prático quer para o órgão de execução fiscal, quer para o sujeito passivo, que incorreria em custos suplementares avultados.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13.</w:t>
      </w:r>
      <w:r w:rsidRPr="000C2B9C">
        <w:rPr>
          <w:rFonts w:ascii="Arial" w:eastAsia="Calibri" w:hAnsi="Arial" w:cs="Arial"/>
          <w:i/>
        </w:rPr>
        <w:tab/>
        <w:t>Por tudo isto seria de extrema importância entender-se o que o legislador pretende quando fala em insuficiente no nº 8 do artigo 169º e nº 5 do artigoº 199º, ambos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14.</w:t>
      </w:r>
      <w:r w:rsidRPr="000C2B9C">
        <w:rPr>
          <w:rFonts w:ascii="Arial" w:eastAsia="Calibri" w:hAnsi="Arial" w:cs="Arial"/>
          <w:i/>
        </w:rPr>
        <w:tab/>
        <w:t>Atente-se, por exemplo, ao acórdão do STA, de 08-05-2015, Processo 0631/13</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“Decorre do n.º 2 do artigo 183.º do CPPT que a garantia prestada para suspender a execução fiscal mantém-se até ao trânsito em julgado de decisão favorável ao garantido, salvo no caso de pagamento, só podendo ser levantada (oficiosamente ou a requerimento de quem a haja prestado) após esse trânsito ou após pagamento.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Daí que, no cálculo do valor da garantia a prestar para obter o efeito suspensivo da execução fiscal, a lei preveja que a garantia é prestada pelo valor da dívida exequenda, juros de mora contados até ao termo do prazo de pagamento voluntário ou à data do pedido, quando posterior, com o limite de cinco anos, e custas na totalidade, acrescida de 25% da soma daqueles valores (cfr. o n.º 6 do artigo 199.º do CPPT), sendo que tal acréscimo tem em vista assegurar o pagamento dos juros que se vão vencendo durante </w:t>
      </w:r>
      <w:r w:rsidRPr="000C2B9C">
        <w:rPr>
          <w:rFonts w:ascii="Arial" w:eastAsia="Calibri" w:hAnsi="Arial" w:cs="Arial"/>
          <w:i/>
        </w:rPr>
        <w:lastRenderedPageBreak/>
        <w:t>a pendência do processo (neste sentido, JORGE LOPES DE SOUSA, Código de Procedimento e de Processo Tributário anotado e Comentado, Volume III, 6.ª ed., 2011, Lisboa, Áreas Editora, p. 417 – nota 17, in fine, ao artigo. 199.º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Ora, se o acréscimo de 25% ao montante global da dívida exequenda, juros de mora e custas tem em vista assegurar o pagamento dos juros de mora que se vão vencendo durante a pendência do processo, das duas uma: ou não haverá lugar ao pretendido recálculo de juros de mora para efeitos de reforço de garantia durante a pendência do(s) processo(s) ou, admitindo-se a possibilidade de tal recálculo de juros de juros de mora na pendência do processo, não haverá, então, justificação para que no reforço da garantia se inclua qualquer acréscimo.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Daí que Supremo Tribunal</w:t>
      </w:r>
      <w:r w:rsidR="00024F68">
        <w:rPr>
          <w:rFonts w:ascii="Arial" w:eastAsia="Calibri" w:hAnsi="Arial" w:cs="Arial"/>
          <w:i/>
        </w:rPr>
        <w:t xml:space="preserve"> Administrativo</w:t>
      </w:r>
      <w:r w:rsidRPr="000C2B9C">
        <w:rPr>
          <w:rFonts w:ascii="Arial" w:eastAsia="Calibri" w:hAnsi="Arial" w:cs="Arial"/>
          <w:i/>
        </w:rPr>
        <w:t xml:space="preserve"> tenha já entendido – cfr. o Acórdão de 9 de Janeiro de 2013, proferido no recurso n.º 1396/12, por nós subscrito como 1.ª Adjunta –, que tratando-se da necessidade de um reforço, a nova garantia nunca poderia ascender ao montante total (…), mas tão só à diferença entre o valor da garantia já prestada e que se mantém válida (…) e o acréscimo do valor de juros que se impunha actualizar e reforçar para efeitos de manutenção da suspensão do processo executivo.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Resulta do próprio despacho reclamado que a garantia prestada é mais do que suficiente para cobrir o montante da dívida exequenda e juros moratórios calculados pela própria Administração fiscal (e isso não obstante no cálculo dos juros não se ter, indevidamente, observado o disposto no n.º 3 do artigo 3.º do Decreto-Lei n.º 73/99, de 16 de Março – redução a metade da taxa de juro das dívidas ao Estado garantidas por garantia bancária -, nem, a partir de 1 de Janeiro de 2011 e para o período de tempo considerado relativo a este ano, a nova redacção do n.º 1 do mesmo artigo, que lhe foi conferida pela Lei n.º 55-A/2010, de 31/12 – OE/2011 –, completada, para o ano de 2011, pelo Aviso n.º 27831-F/2010, que a fixou, naquele ano, em 6,351% ao ano), porquanto a garantia prestada foi no valor de 426.489,29€ (cfr. a alínea C) do probatório fixado), e, segundo os cálculos da Administração tributária (cfr. informação reproduzida na alínea C) do probatório fixado), a quantia exequenda, juros de mora e custas perfaziam à data do pedido de reforço da garantia o valor de 398.655,42€.</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Estabelece o n.º 3 do artigo 52.º da Lei Geral Tributária que: «A administração tributária pode exigir ao executado o reforço da garantia no caso de esta se tornar manifestamente insuficiente para o pagamento da dívida exequenda e acrescido».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No caso dos autos, a garantia não se tornou insuficiente para o pagamento da dívida exequenda e acrescido - entendido este como os juros de mora e custas -, menos ainda, obviamente, manifestamente insuficiente, como exige a lei.</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E também não ocorreu diminuição significativa do valor dos bens que constituem a garantia, caso em que, nos termos do n.º 10 do artigo 199.º do CPPT, era lícito requerer o seu reforço ou substituição, pois que a garantia prestada foi uma garantia bancária (cfr. a alínea C) do probatório), não sujeita a depreciação.”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15.</w:t>
      </w:r>
      <w:r w:rsidRPr="000C2B9C">
        <w:rPr>
          <w:rFonts w:ascii="Arial" w:eastAsia="Calibri" w:hAnsi="Arial" w:cs="Arial"/>
          <w:i/>
        </w:rPr>
        <w:tab/>
        <w:t>Uma hipótese para cálculo do reforço da garantia que se poderia ponderar seria a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Considerando o previsto pelos artigos 52º</w:t>
      </w:r>
      <w:r w:rsidR="00024F68">
        <w:rPr>
          <w:rFonts w:ascii="Arial" w:eastAsia="Calibri" w:hAnsi="Arial" w:cs="Arial"/>
          <w:i/>
        </w:rPr>
        <w:t>,</w:t>
      </w:r>
      <w:r w:rsidRPr="000C2B9C">
        <w:rPr>
          <w:rFonts w:ascii="Arial" w:eastAsia="Calibri" w:hAnsi="Arial" w:cs="Arial"/>
          <w:i/>
        </w:rPr>
        <w:t xml:space="preserve"> nº</w:t>
      </w:r>
      <w:r w:rsidR="00024F68">
        <w:rPr>
          <w:rFonts w:ascii="Arial" w:eastAsia="Calibri" w:hAnsi="Arial" w:cs="Arial"/>
          <w:i/>
        </w:rPr>
        <w:t xml:space="preserve"> </w:t>
      </w:r>
      <w:r w:rsidRPr="000C2B9C">
        <w:rPr>
          <w:rFonts w:ascii="Arial" w:eastAsia="Calibri" w:hAnsi="Arial" w:cs="Arial"/>
          <w:i/>
        </w:rPr>
        <w:t>2, da LGT e 169º, nº</w:t>
      </w:r>
      <w:r w:rsidR="00024F68">
        <w:rPr>
          <w:rFonts w:ascii="Arial" w:eastAsia="Calibri" w:hAnsi="Arial" w:cs="Arial"/>
          <w:i/>
        </w:rPr>
        <w:t xml:space="preserve"> </w:t>
      </w:r>
      <w:r w:rsidRPr="000C2B9C">
        <w:rPr>
          <w:rFonts w:ascii="Arial" w:eastAsia="Calibri" w:hAnsi="Arial" w:cs="Arial"/>
          <w:i/>
        </w:rPr>
        <w:t xml:space="preserve">1 do CPPT, nos termos que se estabelece, para determinação do valor da garantia para efeitos de suspensão da execução fiscal o mesmo regime previsto pelo artigo 199º do CPPT, para o pagamento em prestações: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Calculando-se inicialmente a diferença entre o valor actual da dívida e o valor da garantia prestada;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Seguidamente o previsto no nº 7 do referido artigo 199º, do CPPT, que projecta/acresce em 3 meses o cálculo dos juros para efeitos de determinação da garantia (com o limite geral máximo total de 5 anos);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Finalmente o acréscimo de 25% sobre aquele valor previsto pelo também já mencionado nº 6 do artigo 199º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 CONCLUSÃO: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Face ao exposto e uma vez que a lei nada diz quanto ao cálculo do reforço de garantia nas situações em que não se coloca a questão da diminuição significativa de valor dos bens, por se tratar de uma garantia bancária, afigura-se pertinente aferir da necessidade de se reforçar as garantias nos casos em que o valor da dívida esteja acima do valor prestado como garantia – mesmo que esta tenha sido calculada com o limite máximo dos 5 anos previsto no nº 6 do artigo 199º do CPPT.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Mais ainda, o ofício-circulado 60014, de 08/03/2001, da Direcção de Serviços de Justiça Tributária refere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redacção do artigo 199º do C.P.P.T., visou a introdução de um limite, e não a ampliação do montante dos juros de mora abrangidos pelo dever de prestação de garantia, donde o valor da mesma terá que ser calculado apenas com o montante dos juros já vencidos à data do pedido com o limite máximo de cinco anos.”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Pelo anteriormente referido, subsiste a questão de saber se existe o dever de notificação, para o caso em concreto, e se deverá ser pedido reforço de garantia?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O acto da aceitação de garantia não fixa o valor até ao trânsito em julgado?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O valor da garantia fixado inicialmente deverá manter-se igual até à decisão do pleito?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E se for necessário calcular a garantia, como deve esta ser calculada?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Pelo que parece-nos pertinente solicitar esclarecimento à DSGCT no sentido de saber se no caso em apreço deverá ser efectuada notificação para reforço da garantia pelo órgão de execução fiscal e em caso afirmativo qual a forma de cálculo do reforço dessa mesma garantia, porém superiormente melhor se decidirá."</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Finalmente os serviços centrais da AT proferiram o seguinte despacho: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 Numa primeira fase, para determinar da necessidade de reforço de garantia bancária, o órgão da execução fiscal deve apurar se existe ou não insuficiência dessa garantia. A apreciação da necessidade de reforço faz-se por comparação entre o valor da garantia existente e o montante da dívida executiva atual.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a. Deste modo, e atendendo a que se trata de uma garantia bancária, como tal insuscetível de depreciação, só deverá proceder-se à notificação  para reforço (ou substituição por nova garantia idónea) se o valor da garantia bancária existente for inferior ao valor da dívida executiva atual.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Para este efeito, o valor da dívida executiva atual deve ser determinado mediante inclusão da dívida exequenda, dos juros de mora vencidos à data da apreciação da necessidade de reforço, com o limite máximo dos cinco anos anteriores a esta data, reduzidos a metade nos períodos de cobertura da dívida por bancária ou real, e com contagem das custas pela totalidade (ou seja, com contagem dos encargos em dívida à data de apreciação da necessidade de reforço, e da taxa de justiça sem qualquer redução).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b. De atentar que o recurso ao limite máximo, referente aos últimos cinco anos de juros de mora, só se verifica se estiverem vencidos mais do que cinco anos desses juros. Quando assim seja, o órgão da execução fiscal só pode considerar o valor dos juros de mora, correspondentes aos cinco anos anteriores à data da apreciação. Ou seja, trata-se de um teto ou limite máximo no que se refere aos juros de mora que é possível incluir para cálculo do reforço da garantia. Tal limite máximo só se aplica para efeitos de prestação ou reforço de garantia. Não se aplica à responsabilidade pela dívida de juros de mora, uma vez que atualmente o devedor é responsável por todos os juros de mora vencidos entre o termo do prazo de pagamento voluntário e a data do pagamento da dívida (cf. n.º 2 do artigo. 44.º da LGT, na redação da LOE 2012).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c. Para aferir da insuficiência da garantia, e da consequente necessidade de reforço, torna-se necessário proceder ao efetivo cálculo dos juros de mora devidos (com </w:t>
      </w:r>
      <w:r w:rsidRPr="000C2B9C">
        <w:rPr>
          <w:rFonts w:ascii="Arial" w:eastAsia="Calibri" w:hAnsi="Arial" w:cs="Arial"/>
          <w:i/>
        </w:rPr>
        <w:lastRenderedPageBreak/>
        <w:t>aplicação ou não do limite de cinco anos, conforme já se tenham, ou ainda não se tenham vencido mais do que cinco anos destes juros). Esta necessidade, deve-se à circunstância de, a partir de 01-01-2011, terem passado a vigorar anualmente taxas de juros de mora diferentes (cf. n.º 1 do artigo. 3.º do Decreto-Lei n.º 73/99, de 16 de Março, na redação da Lei n.º 3-B/2010, de 28 de Abril – LOE 2010);</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d. A redução a metade dos juros de mora, nos períodos em que a dívida esteve coberta por garantia bancária ou real, é efetuada nos termos do n.º 4 do artigo. 3.º do DL 73/99, na redação da LOE 2010.</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 Caso na primeira fase se apure da necessidade de reforço, por se ter constatado a insuficiência do valor da garantia face ao montante da dívida exequenda e acrescido, deverá proceder-se, numa segunda fase, à notificação do interessado para que este proceda ao reforço (ou, em alternativa, à prestação de nova garantia idónea). Caso não se apure esta insuficiência, deverá o órgão da execução abster-se de efetuar esta notificação. Caso se determine haver necessidade de reforço, deverá a respetiva notificação ser efetuada o mais rápido possível, para que os valores apurados, designadamente respeitantes aos juros de mora, não fiquem desatualizados.</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O acréscimo de 25%, referido no n.º 6 do artigo. 199.º do CPPT, só opera nesta segunda fase. Consequentemente, nos casos de notificação para reforço de garantia (ou sua substituição), deverá o órgão da execução fiscal incluir na notificação o valor do reforço (ou da nova garantia) a prestar, com consideração do acréscimo de 25% da soma da quantia exequenda, juros de mora contados à data de apreciação da necessidade do reforço (com o limite máximo de cinco anos, referido em I.- a.) e custas na totalidade (também com o sentido referido em I.- a.). O fundamento do acréscimo de 25% é o de assegurar o pagamento dos juros de mora que se vão vencendo no processo. A precaução de assegurar a suficiência da garantia, por um período mais ou menos longo, mediante este acréscimo, justifica-se especialmente nos casos de apresentação de contencioso, ou de manifestação da intenção de o vir a apresentar, por ser mais indefinido e incerto o período de suspensão processual;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b. O valor do reforço (ou da nova garantia) contido na notificação só é válido se o reforço (ou a prestação de nova garantia) for efetuado no prazo de 15 dias após a efetuação dessa notificação ao interessado. Caso a prestação do reforço (ou de nova garantia) for feita posteriormente a este prazo, a data relevante para o cálculo do valor do reforço/nova garantia é a da sua efetiva prestação. Neste sentido, a alínea C) do ponto 1. do ofício circulado n.º 60.094, de 2013-03-12, desta Direção de Serviços. Daqui decorre uma exceção à regra, referida em I – a. supra, segundo a qual a data relevante </w:t>
      </w:r>
      <w:r w:rsidRPr="000C2B9C">
        <w:rPr>
          <w:rFonts w:ascii="Arial" w:eastAsia="Calibri" w:hAnsi="Arial" w:cs="Arial"/>
          <w:i/>
        </w:rPr>
        <w:lastRenderedPageBreak/>
        <w:t>para a contagem dos juros de mora e dos encargos é a data da apreciação da necessidade de reforço pelo órgão da execução fiscal. Deste modo, em caso de inobservância do prazo da notificação, haverá necessidade de recálculo do valor do reforço/nova garantia. O interessado deve ser alertado disto na notificação;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 Nas situações de suspensão previstas nos n.ºs 1 e 2 do artigo. 169.º do CPPT, o cálculo da garantia a prestar inicialmente, ou para efeitos de reforço, não deve ser sujeito ao acréscimo de 3 meses referido no n.º 7 do artigo. 199.º do CPPT, por esta disposição apenas fazer sentido no âmbito dos planos de pagamento em prestações. Nas situações do n.ºs 1 e 2 do artigo. 169.º do CPPT, a manutenção da validade da garantia até à formação do caso decidido (contencioso administrativo) ou do trânsito em julgado (contencioso judicial), acrescido de três meses, não faz sentido nem tem qualquer repercussão no cálculo do valor da garantia ou do reforço a prestar. E isto porque, na data relevante para esse cálculo o contencioso tem uma duração indeterminável. Neste sentido, o segundo parágrafo do ponto 3. do ofício circulado n.º 60.094, desta Direção de Serviços, que estabelece que «(…) a garantia não deve estar sujeita a um prazo de validade, quando associada a contencioso».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III. Convocando agora o caso concreto exposto na informação da DF de Lisboa, e aplicando-lhe o referido supra, entendemos que o órgão da execução fiscal deverá proceder ao envio da notificação para reforço da garantia, caso se determine que a garantia existente, (...), é inferior ao valor da dívida executiva atual, com cálculo deste valor mediante: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a inclusão da dívida exequenda;</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b. a contabilização dos juros de mora correspondentes aos cinco anos anteriores à data em que o órgão da execução proceder à apreciação da necessidade de reforço (...) com redução a metade desses juros nos períodos em que a dívida esteve coberta por garantia bancária ou real;</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c.  a contabilização das custas processuais pela totalidade (ou seja, com contagem dos encargos em dívida à data de apreciação da necessidade de reforço, e da taxa de justiça sem qualquer redução).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Pelo contrário, caso o valor da dívida executiva, calculada deste modo, seja inferior (...), deverá o órgão da execução fiscal abster-se de promover o reforço.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Esta comparação entre a garantia existente e a dívida executiva atual, para efeitos de determinar se é ou não necessário proceder ao reforço, deve fazer-se sem acrescer o montante de 25%, referido no n.º 6 do artigo. 199.º do CPPT, e sem sujeição ao acréscimo de 3 meses, referido no n.º 7 do artigo. 199.º do CPPT.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lastRenderedPageBreak/>
        <w:t xml:space="preserve">Caso se determine que é necessário proceder ao reforço da garantia, deverá indicar-se na notificação o valor do reforço a efetuar (ou da nova garantia a prestar), de modo a que a garantia passe a corresponder à soma dos valores indicados em a., b. e c. supra, acrescidos de 25% dessa soma.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IV. Por tudo o que foi referido supra, pensamos já estar dada implicitamente resposta às questões sobre se o ato de aceitação de garantia fixa o seu valor até ao trânsito em julgado, e se o valor inicial da garantia será de manter até à decisão do pleito. </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primeira questão merece resposta negativa, sobretudo atendendo à possibilidade de diminuição do valor dos bens que constituem a garantia, após a sua aceitação pelo órgão da execução fiscal e antes do trânsito em julgado, e que originam a necessidade do seu reforço, cf. resulta do n.º 10 do artigo. 199.º do CPPT. Tal não se verifica nos casos de garantia bancária, caução, ou seguro-caução, que são insuscetíveis de depreciação, mas pode ocorrer por ex. nos casos de penhor, penhora ou hipoteca. Caso ocorra essa depreciação, a lei determina que haja lugar ao reforço, pelo que é evidente que não foi intenção do legislador considerar o valor da garantia como fixado pelo ato da sua aceitação.</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A resposta à segunda questão é também negativa. A lei estabelece o dever de reforço, quando o valor da garantia se torne insuficiente, seja por depreciação dos bens que a constituem, seja por desatualização do valor da garantia face ao vencimento contínuo de juros de mora e custas (hipótese abordada na presente informação). Além disso, estabelece ainda a possibilidade de redução, quando o valor da garantia se tenha tornado excessivo (cf. n.º 8 do artigo. 52.º da LGT e n.º 11 do artigo. 199.º do CPPT). Desta forma, decorre da própria lei tributária a existência de situações em que o valor da garantia prestada inicialmente não é de manter até à decisão do pleito, por poder ocorrer o seu reforço ou redução."</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Como se pode verificar por este caso real, e é neste ponto que nos queremos focar, é a primeira vez que encontramos algo de concreto e que pode eventualmente responder à nossa pergunta de partida. Reforçar em quanto? O despacho aqui citado dá uma resposta com alguma precisão, no entanto se compararmos com tudo o que tinha sido analisado na jurisprudência, este despacho vem no sentido contrário, uma vez que a jurisprudência apela a que, se se reforçar a garantia, pelo menos que não se aplique qualquer acréscimo.</w:t>
      </w:r>
    </w:p>
    <w:p w:rsidR="00AA63F1" w:rsidRPr="000C2B9C" w:rsidRDefault="00AA63F1" w:rsidP="000C2B9C">
      <w:pPr>
        <w:spacing w:before="120" w:after="120" w:line="360" w:lineRule="auto"/>
        <w:jc w:val="both"/>
        <w:rPr>
          <w:rFonts w:ascii="Arial" w:eastAsia="Calibri" w:hAnsi="Arial" w:cs="Arial"/>
        </w:rPr>
      </w:pPr>
    </w:p>
    <w:p w:rsidR="000C2B9C" w:rsidRPr="00977223" w:rsidRDefault="00E56AF6" w:rsidP="00977223">
      <w:pPr>
        <w:pStyle w:val="Ttulo2"/>
        <w:rPr>
          <w:rFonts w:eastAsia="Calibri"/>
        </w:rPr>
      </w:pPr>
      <w:bookmarkStart w:id="83" w:name="_Toc500109649"/>
      <w:r>
        <w:rPr>
          <w:rFonts w:eastAsia="Calibri"/>
        </w:rPr>
        <w:lastRenderedPageBreak/>
        <w:t>7.1.5</w:t>
      </w:r>
      <w:r w:rsidR="000C2B9C" w:rsidRPr="00977223">
        <w:rPr>
          <w:rFonts w:eastAsia="Calibri"/>
        </w:rPr>
        <w:t xml:space="preserve"> </w:t>
      </w:r>
      <w:bookmarkStart w:id="84" w:name="_Hlk495529938"/>
      <w:r w:rsidR="000C2B9C" w:rsidRPr="00977223">
        <w:rPr>
          <w:rFonts w:eastAsia="Calibri"/>
        </w:rPr>
        <w:t>De uma crítica, a uma proposta</w:t>
      </w:r>
      <w:bookmarkEnd w:id="84"/>
      <w:bookmarkEnd w:id="83"/>
    </w:p>
    <w:p w:rsidR="00AA63F1" w:rsidRDefault="00AA63F1" w:rsidP="000C2B9C">
      <w:pPr>
        <w:spacing w:before="120" w:after="120" w:line="360" w:lineRule="auto"/>
        <w:rPr>
          <w:rFonts w:ascii="Arial" w:eastAsia="Calibri" w:hAnsi="Arial" w:cs="Arial"/>
        </w:rPr>
      </w:pPr>
    </w:p>
    <w:p w:rsidR="000C2B9C" w:rsidRPr="000C2B9C" w:rsidRDefault="000C2B9C" w:rsidP="000C2B9C">
      <w:pPr>
        <w:spacing w:before="120" w:after="120" w:line="360" w:lineRule="auto"/>
        <w:rPr>
          <w:rFonts w:ascii="Arial" w:eastAsia="Calibri" w:hAnsi="Arial" w:cs="Arial"/>
        </w:rPr>
      </w:pPr>
      <w:r w:rsidRPr="000C2B9C">
        <w:rPr>
          <w:rFonts w:ascii="Arial" w:eastAsia="Calibri" w:hAnsi="Arial" w:cs="Arial"/>
        </w:rPr>
        <w:t xml:space="preserve">Apresentámos no início do capítulo uma pergunta, que era - </w:t>
      </w:r>
      <w:r w:rsidRPr="000C2B9C">
        <w:rPr>
          <w:rFonts w:ascii="Arial" w:eastAsia="Calibri" w:hAnsi="Arial" w:cs="Arial"/>
          <w:b/>
        </w:rPr>
        <w:t xml:space="preserve">No caso de a garantia apresentada se tornar insuficiente, a mesma deve ser reforçada em quanto? </w:t>
      </w:r>
      <w:r w:rsidRPr="000C2B9C">
        <w:rPr>
          <w:rFonts w:ascii="Arial" w:eastAsia="Calibri" w:hAnsi="Arial" w:cs="Arial"/>
        </w:rPr>
        <w:t>– e que nos propusemos responder, pelo que iremos tentar fazer esse exercício.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Começamos por fazer uma crítica. Primeiro que tudo às normas existentes e que carecem de quantificação e objetividade. Defendemos a nossa posição, porque existem normas dentro do próprio artigo 199º do CPPT, que são perfeitamente quantificáveis. Se não vejamos, o nº 6 do citado artigo, quando determina o acréscimo de 25% à quantia exequenda, juros de mora e custas, define concretamente o valor a calcular, sem margem para dúvida. Mais recentemente o número 14 do mesmo artigo refere que " </w:t>
      </w:r>
      <w:r w:rsidRPr="000C2B9C">
        <w:rPr>
          <w:rFonts w:ascii="Arial" w:eastAsia="Calibri" w:hAnsi="Arial" w:cs="Arial"/>
          <w:i/>
        </w:rPr>
        <w:t xml:space="preserve">As garantias constituídas à data de autorização dos pagamentos em prestações referidos no número anterior mantêm-se até ao limite máximo da quantia exequenda, sendo reduzidas anualmente no dobro do montante efetivamente pago em prestações ao abrigo daqueles planos de pagamentos, (...)", </w:t>
      </w:r>
      <w:r w:rsidRPr="000C2B9C">
        <w:rPr>
          <w:rFonts w:ascii="Arial" w:eastAsia="Calibri" w:hAnsi="Arial" w:cs="Arial"/>
        </w:rPr>
        <w:t>ora uma vez mais o conceito é definido e objetivo.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Então porque os conceitos e normas do nº3 do artigo 52º da LGT e nº10 do artigo 199º do CPPT, são abstratos? Fala-se, no caso de se tornar manifestamente insuficiente ou em caso de diminuição significativa.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segunda crítica, fazemos à falta de instruções administrativas concretas e objetivas, por parte da AT, que poderia dentro do quadro legal, determinar um conceito, quer para o que se considera manifestamente insuficiente, ou de diminuição de garantia.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 terceira crítica vai para a jurisprudência, dos tribunais superiores, que apesar de, na maioria dos casos</w:t>
      </w:r>
      <w:r w:rsidR="00024F68">
        <w:rPr>
          <w:rFonts w:ascii="Arial" w:eastAsia="Calibri" w:hAnsi="Arial" w:cs="Arial"/>
        </w:rPr>
        <w:t>,</w:t>
      </w:r>
      <w:r w:rsidRPr="000C2B9C">
        <w:rPr>
          <w:rFonts w:ascii="Arial" w:eastAsia="Calibri" w:hAnsi="Arial" w:cs="Arial"/>
        </w:rPr>
        <w:t xml:space="preserve"> fundamentarem muito bem as suas posições e procurando naturalmente o sentido de justiça, quando por exemplo propõem o reforço, não indicam objetivamente qualquer caminho. Dir-se-á, que também, não é a função dos tribunais, mas perante uma norma com um elevado grau de subjetividade, seria positivo, que numa ideia de bom senso e justiça houvesse uma proposta concreta.</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Perante o exposto, passamos assim a formular uma hipótese, que pretendemos transformar em proposta. Esta consiste em duas ideias chave,</w:t>
      </w:r>
    </w:p>
    <w:p w:rsidR="000C2B9C" w:rsidRPr="000C2B9C" w:rsidRDefault="000C2B9C" w:rsidP="000C2B9C">
      <w:pPr>
        <w:numPr>
          <w:ilvl w:val="0"/>
          <w:numId w:val="25"/>
        </w:numPr>
        <w:spacing w:before="120" w:after="120" w:line="360" w:lineRule="auto"/>
        <w:contextualSpacing/>
        <w:jc w:val="both"/>
        <w:rPr>
          <w:rFonts w:ascii="Arial" w:eastAsia="Calibri" w:hAnsi="Arial" w:cs="Arial"/>
        </w:rPr>
      </w:pPr>
      <w:r w:rsidRPr="000C2B9C">
        <w:rPr>
          <w:rFonts w:ascii="Arial" w:eastAsia="Calibri" w:hAnsi="Arial" w:cs="Arial"/>
        </w:rPr>
        <w:t>O conceito indeterminado na lei, de manifestamente insuficiente, ou diminuição significativa;</w:t>
      </w:r>
    </w:p>
    <w:p w:rsidR="000C2B9C" w:rsidRPr="000C2B9C" w:rsidRDefault="000C2B9C" w:rsidP="000C2B9C">
      <w:pPr>
        <w:numPr>
          <w:ilvl w:val="0"/>
          <w:numId w:val="25"/>
        </w:numPr>
        <w:spacing w:before="120" w:after="120" w:line="360" w:lineRule="auto"/>
        <w:contextualSpacing/>
        <w:jc w:val="both"/>
        <w:rPr>
          <w:rFonts w:ascii="Arial" w:eastAsia="Calibri" w:hAnsi="Arial" w:cs="Arial"/>
        </w:rPr>
      </w:pPr>
      <w:r w:rsidRPr="000C2B9C">
        <w:rPr>
          <w:rFonts w:ascii="Arial" w:eastAsia="Calibri" w:hAnsi="Arial" w:cs="Arial"/>
        </w:rPr>
        <w:t>Ao reforçar, qual o valor a calcular.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Partindo da premissa inicial, do nº 6 do artigo 199º do CPPT, aquando da constituição da garantia, cujo acréscimo é de 25%, à quantia exequenda, juros de mora e custas, consideramos que o conceito de manifesta insuficiência, se pode fixar em 10%. Duas razões para este valor, uma que tem a ver com a questão prática e que consideramos que os custos associados à notificação do contribuinte para o reforço da garantia, não podem ser marginais e que um diferencial de 10%, parece-nos um valor ajustado para pedir um reforço de garantia. A segunda razão prende-se com o facto de que o valor não deve ser demasiado elevado, nem afastado do interesse do credor, para assim não frustrar as suas expetativas de boa cobrança das dívidas fiscais.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No entanto, existe já no ordenamento jurídico uma disposição, que apareceu como disposição transitória no âmbito do CPPT, através da Lei nº 7-A/2016, de 30 de Março</w:t>
      </w:r>
      <w:r w:rsidRPr="000C2B9C">
        <w:rPr>
          <w:rFonts w:ascii="Arial" w:eastAsia="Calibri" w:hAnsi="Arial" w:cs="Arial"/>
          <w:vertAlign w:val="superscript"/>
        </w:rPr>
        <w:footnoteReference w:id="78"/>
      </w:r>
      <w:r w:rsidRPr="000C2B9C">
        <w:rPr>
          <w:rFonts w:ascii="Arial" w:eastAsia="Calibri" w:hAnsi="Arial" w:cs="Arial"/>
        </w:rPr>
        <w:t xml:space="preserve"> e que no número 1 do artigo 177º, profere o seguinte:</w:t>
      </w:r>
    </w:p>
    <w:p w:rsidR="000C2B9C" w:rsidRPr="000C2B9C" w:rsidRDefault="000C2B9C" w:rsidP="000C2B9C">
      <w:pPr>
        <w:spacing w:before="120" w:after="120" w:line="360" w:lineRule="auto"/>
        <w:jc w:val="both"/>
        <w:rPr>
          <w:rFonts w:ascii="Arial" w:eastAsia="Calibri" w:hAnsi="Arial" w:cs="Arial"/>
          <w:i/>
        </w:rPr>
      </w:pPr>
      <w:r w:rsidRPr="000C2B9C">
        <w:rPr>
          <w:rFonts w:ascii="Arial" w:eastAsia="Calibri" w:hAnsi="Arial" w:cs="Arial"/>
          <w:i/>
        </w:rPr>
        <w:t xml:space="preserve">"1 - O artigo 199.º-A, aditado ao CPPT pela presente lei, tem aplicação imediata às garantias que tenham sido aceites até à data da entrada em vigor da presente lei, mas esta avaliação só determina o reforço ou a substituição dessas garantias quando </w:t>
      </w:r>
      <w:bookmarkStart w:id="85" w:name="_Hlk495422318"/>
      <w:r w:rsidRPr="000C2B9C">
        <w:rPr>
          <w:rFonts w:ascii="Arial" w:eastAsia="Calibri" w:hAnsi="Arial" w:cs="Arial"/>
          <w:i/>
        </w:rPr>
        <w:t xml:space="preserve">o valor apurado seja inferior a 80% do valor resultante da aplicação do n.º6 </w:t>
      </w:r>
      <w:bookmarkEnd w:id="85"/>
      <w:r w:rsidRPr="000C2B9C">
        <w:rPr>
          <w:rFonts w:ascii="Arial" w:eastAsia="Calibri" w:hAnsi="Arial" w:cs="Arial"/>
          <w:i/>
        </w:rPr>
        <w:t>do mesmo artigo."</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Uma dúvida, assinalamos nós, a esta norma e que se prende com o seguinte, "</w:t>
      </w:r>
      <w:r w:rsidRPr="000C2B9C">
        <w:rPr>
          <w:rFonts w:ascii="Arial" w:eastAsia="Calibri" w:hAnsi="Arial" w:cs="Arial"/>
          <w:i/>
        </w:rPr>
        <w:t xml:space="preserve"> o valor apurado seja inferior a 80% do valor resultante da aplicação do n.º6", </w:t>
      </w:r>
      <w:r w:rsidRPr="000C2B9C">
        <w:rPr>
          <w:rFonts w:ascii="Arial" w:eastAsia="Calibri" w:hAnsi="Arial" w:cs="Arial"/>
        </w:rPr>
        <w:t>refere o legislador ao momento da constituição ou do cálculo para reforço? Consideramos que fará mais sentido que se refira ao momento da constituição e não ao do cálculo do reforço da garantia, até porque não existe qualquer menção ao nº 10 do artigo 199º do CPPT.</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Finalizando esta questão, optamos por referir esta disposição transitória, depois de expor a nossa posição, para com isto salientar que a nossa proposta não está influenciada por tal norma. Mais ainda que o legislador proponha uma desvalorização de 20%, a qual é o dobro da nossa, continuamos a considerar, independentemente de saudarmos a norma objetiva e matemática, que é uma desvalorização muito acentuada. No entanto poderá ter sido intenção do legislador reduzir para valores residuais as possibilidades de reforço das garantias.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Em suma, apesar de ser muito benvinda esta norma e de poder esclarecer algumas das dúvidas anteriormente levantadas, subsiste a nossa dúvida principal e se se reforçar, em quanto o faremos?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No que respeita ao valor a calcular para reforço, comecemos por analisar, ou melhor voltar a analisar, as posições existentes. Começando por ver a posição da AT, não </w:t>
      </w:r>
      <w:r w:rsidRPr="000C2B9C">
        <w:rPr>
          <w:rFonts w:ascii="Arial" w:eastAsia="Calibri" w:hAnsi="Arial" w:cs="Arial"/>
        </w:rPr>
        <w:lastRenderedPageBreak/>
        <w:t>podemos considerar que um reforço de garantia com todos os cálculos associados, acrescido de 25% é muito penalizador para o devedor, que já o tinha feito no mesmo diferencial anteriormente, quando constituiu a garantia. A posição jurisprudencial maioritária, não se manifestando contra o reforço da garantia, é relutante ao acréscimo dos 25%.</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O que propomos é o seguinte, tentando não penalizar demasiado os contribuintes, uma vez que, quando a questão do reforço da garantia, se coloca, normalmente, já há muitos anos os devedores estão a suportar encargos com garantias; mas também não frustrando as possibilidades e expetativas do credor público, tem de ser encontrado um equilíbrio.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Assim, como consideramos que esse equilíbrio é fundamental e o reforço da garantia tem de refletir esse mesmo equilíbrio, fundamentamos a nossa hipótese em critérios que possam ser o mais objetivos possíveis.</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Tendo em conta a taxa de juro atual e que ronda os 5% (4,966%), este valor é a base da nossa proposta. E porquê? Para além do referencial da taxa de juro, este valor. </w:t>
      </w:r>
    </w:p>
    <w:p w:rsidR="000C2B9C" w:rsidRPr="000C2B9C" w:rsidRDefault="000C2B9C" w:rsidP="000C2B9C">
      <w:pPr>
        <w:spacing w:before="120" w:after="120" w:line="360" w:lineRule="auto"/>
        <w:jc w:val="both"/>
        <w:rPr>
          <w:rFonts w:ascii="Arial" w:eastAsia="Calibri" w:hAnsi="Arial" w:cs="Arial"/>
          <w:b/>
        </w:rPr>
      </w:pPr>
      <w:r w:rsidRPr="000C2B9C">
        <w:rPr>
          <w:rFonts w:ascii="Arial" w:eastAsia="Calibri" w:hAnsi="Arial" w:cs="Arial"/>
          <w:b/>
        </w:rPr>
        <w:t>É este valor suficientemente baixo para o devedor e suficientemente alto para o credor?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Consideramos que sim, senão vejamos, para o devedor que já tinha tido que garantir com um acréscimo inicial de 25%, este valor sendo um quinto desse já é muito menos penalizador. Já no caso do credor público este valor assegura-lhe pelo prazo aproximado de um ano o acréscimo que os juros de mora vão ter sobre o processo. Consideramos este prazo de uma no razoável para ambas as partes. Para o devedor cuja penalização dos juros não ultrapassará o limite da razoabilidade, já para o credor, permite-lhe um conforto de mais um ano, que nos parece perfeitamente adequado, até porque terminando esse prazo poderá notificar de novo o contribuinte. Não esquecendo no entanto que com a norma transitória supra citada da lei do OE de 2016, no nº1 do artigo 177º, só com uma desvalorização para 80%, é que o reforço deve ser solicitado. Até por força desta norma, consideramos que no momento da decisão de notificar o contribuinte para o reforço da garantia, faz todo o sentido que haja um acréscimo, que na nossa proposta é de 5%, para que este mecanismo seja necessário, o menor número de vezes possível.</w:t>
      </w: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977223">
      <w:pPr>
        <w:pStyle w:val="Ttulo1"/>
        <w:rPr>
          <w:rFonts w:eastAsia="Calibri"/>
        </w:rPr>
      </w:pPr>
      <w:bookmarkStart w:id="86" w:name="_Toc500109650"/>
      <w:r w:rsidRPr="000C2B9C">
        <w:rPr>
          <w:rFonts w:eastAsia="Calibri"/>
        </w:rPr>
        <w:t>Capitulo 8</w:t>
      </w:r>
      <w:bookmarkEnd w:id="86"/>
    </w:p>
    <w:p w:rsidR="000C2B9C" w:rsidRPr="000C2B9C" w:rsidRDefault="00E56AF6" w:rsidP="00977223">
      <w:pPr>
        <w:pStyle w:val="Ttulo1"/>
        <w:rPr>
          <w:rFonts w:eastAsia="Calibri"/>
        </w:rPr>
      </w:pPr>
      <w:bookmarkStart w:id="87" w:name="_Toc500109651"/>
      <w:r>
        <w:rPr>
          <w:rFonts w:eastAsia="Calibri"/>
        </w:rPr>
        <w:t xml:space="preserve">8.1 </w:t>
      </w:r>
      <w:r w:rsidR="000C2B9C" w:rsidRPr="000C2B9C">
        <w:rPr>
          <w:rFonts w:eastAsia="Calibri"/>
        </w:rPr>
        <w:t>Conclusões</w:t>
      </w:r>
      <w:bookmarkEnd w:id="87"/>
    </w:p>
    <w:p w:rsidR="000C2B9C" w:rsidRPr="000C2B9C" w:rsidRDefault="000C2B9C" w:rsidP="000C2B9C">
      <w:pPr>
        <w:spacing w:before="120" w:after="120" w:line="360" w:lineRule="auto"/>
        <w:jc w:val="both"/>
        <w:rPr>
          <w:rFonts w:ascii="Arial" w:eastAsia="Calibri" w:hAnsi="Arial" w:cs="Arial"/>
        </w:rPr>
      </w:pP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 xml:space="preserve">No início deste trabalho de investigação começamos por definir a natureza da relação jurídica tributária e das garantias dos créditos tributários. Definimos que o sujeito passivo tem ao seu dispor uma prazo estabelecido por lei para cumprir de forma voluntária, o dever de entrega da prestação tributária. O artigo 50º da Lei Geral tributária (LGT), consagra a garantia dos créditos tributários, dizendo o que constitui esse mesmo direito e que meios a administração tributária tem ao seu dispor para fazer valer esse direito. </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Estabelecidos estes princípios da relação jurídica tributária, partimos para a forma geral existente na lei para a suspensão dos processos de execução fiscal, que pode ser obtida com uma garantia, quando se apresenta contencioso, para discutir a legalidade das liquidações, ou a legitimidade dos executados, e para os pagamentos em regimes de prestações, que como vimos ao longo do trabalho, nomeadamente no capítulo 4, nem sempre essa garantia é necessária. Subsequentemente verificámos que existem regimes diferenciados para os pagamentos em prestações, podendo afirmar-se que nos planos prestacionais de baixo valor, bem como nos planos de valores elevados em que as dificuldades dos contribuintes, são notórias, como é o caso dos processos de insolvência e de revitalização (PER e SIREVE).</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Constatamos também as condições em que os processos de execução fiscal, com contencioso associado, podem ser suspensos, bem como os tipos de garantias possíveis a prestar.</w:t>
      </w:r>
    </w:p>
    <w:p w:rsidR="000C2B9C" w:rsidRP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t>Na parte final do nosso trabalho, nos dois últimos capítulos, destacamos a abordagem a dois temas relacionados, e do qual achamos pertinentes, ainda que com perspectivas diferentes.</w:t>
      </w:r>
    </w:p>
    <w:p w:rsidR="000C2B9C" w:rsidRPr="000C2B9C" w:rsidRDefault="007B3444" w:rsidP="000C2B9C">
      <w:pPr>
        <w:spacing w:before="120" w:after="120" w:line="360" w:lineRule="auto"/>
        <w:jc w:val="both"/>
        <w:rPr>
          <w:rFonts w:ascii="Arial" w:eastAsia="Calibri" w:hAnsi="Arial" w:cs="Arial"/>
        </w:rPr>
      </w:pPr>
      <w:r>
        <w:rPr>
          <w:rFonts w:ascii="Arial" w:eastAsia="Calibri" w:hAnsi="Arial" w:cs="Arial"/>
        </w:rPr>
        <w:t>Procedemos a um estudo comparativo</w:t>
      </w:r>
      <w:r w:rsidR="000C2B9C" w:rsidRPr="000C2B9C">
        <w:rPr>
          <w:rFonts w:ascii="Arial" w:eastAsia="Calibri" w:hAnsi="Arial" w:cs="Arial"/>
        </w:rPr>
        <w:t xml:space="preserve"> relativamente </w:t>
      </w:r>
      <w:r>
        <w:rPr>
          <w:rFonts w:ascii="Arial" w:eastAsia="Calibri" w:hAnsi="Arial" w:cs="Arial"/>
        </w:rPr>
        <w:t>ao procedimento de</w:t>
      </w:r>
      <w:r w:rsidR="000C2B9C" w:rsidRPr="000C2B9C">
        <w:rPr>
          <w:rFonts w:ascii="Arial" w:eastAsia="Calibri" w:hAnsi="Arial" w:cs="Arial"/>
        </w:rPr>
        <w:t xml:space="preserve"> pagamento em prestações, e sua suspensão em dois ordenamentos jurídicos, a Espanha e o Brasil, e apontámos as suas semelhanças e as diferenças em comparação com a lei portuguesa. Com menor profundidade estudámos os casos do Estados Unidos da América do Norte e da Austrália, que são semelhantes e abordamos os regimes de pagamentos em prestações on-line. </w:t>
      </w:r>
    </w:p>
    <w:p w:rsidR="000C2B9C" w:rsidRDefault="000C2B9C" w:rsidP="000C2B9C">
      <w:pPr>
        <w:spacing w:before="120" w:after="120" w:line="360" w:lineRule="auto"/>
        <w:jc w:val="both"/>
        <w:rPr>
          <w:rFonts w:ascii="Arial" w:eastAsia="Calibri" w:hAnsi="Arial" w:cs="Arial"/>
        </w:rPr>
      </w:pPr>
      <w:r w:rsidRPr="000C2B9C">
        <w:rPr>
          <w:rFonts w:ascii="Arial" w:eastAsia="Calibri" w:hAnsi="Arial" w:cs="Arial"/>
        </w:rPr>
        <w:lastRenderedPageBreak/>
        <w:t xml:space="preserve">Terminámos o nosso estudo com uma proposta, que pretende ser primeiro uma reflexão para algumas lacunas da lei, essas lacunas prendem-se essencialmente com falta de objetividade das normas. O rigor que reclamamos, é um rigor essencialmente científico, algo em que a lei deve munir-se de fórmulas matemáticas (que até são simples), para que quando da sua aplicação, não surjam dúvidas a qualquer dos atores no procedimento tributário. Recorremo-nos da observação, no terreno como método de investigação científica, fruto da experiência, apresentamos um caso prático, que na nossa opinião ilustra bem, a dificuldade de na prática existe em lidar, com as questões relacionadas com o reforço das garantias. Pretendemos com a nossa proposta dar um contributo para a discussão e simultaneamente apontar um caminho. Naturalmente que este caminho </w:t>
      </w:r>
      <w:r w:rsidR="007B3444">
        <w:rPr>
          <w:rFonts w:ascii="Arial" w:eastAsia="Calibri" w:hAnsi="Arial" w:cs="Arial"/>
        </w:rPr>
        <w:t>representa a noss prespetiva</w:t>
      </w:r>
      <w:r w:rsidRPr="000C2B9C">
        <w:rPr>
          <w:rFonts w:ascii="Arial" w:eastAsia="Calibri" w:hAnsi="Arial" w:cs="Arial"/>
        </w:rPr>
        <w:t xml:space="preserve"> </w:t>
      </w:r>
      <w:r w:rsidR="007B3444">
        <w:rPr>
          <w:rFonts w:ascii="Arial" w:eastAsia="Calibri" w:hAnsi="Arial" w:cs="Arial"/>
        </w:rPr>
        <w:t>e</w:t>
      </w:r>
      <w:r w:rsidRPr="000C2B9C">
        <w:rPr>
          <w:rFonts w:ascii="Arial" w:eastAsia="Calibri" w:hAnsi="Arial" w:cs="Arial"/>
        </w:rPr>
        <w:t xml:space="preserve"> se baseia na experiência </w:t>
      </w:r>
      <w:r w:rsidR="007B3444">
        <w:rPr>
          <w:rFonts w:ascii="Arial" w:eastAsia="Calibri" w:hAnsi="Arial" w:cs="Arial"/>
        </w:rPr>
        <w:t>obtida através da aplicação das normas existentes</w:t>
      </w:r>
      <w:r w:rsidRPr="000C2B9C">
        <w:rPr>
          <w:rFonts w:ascii="Arial" w:eastAsia="Calibri" w:hAnsi="Arial" w:cs="Arial"/>
        </w:rPr>
        <w:t xml:space="preserve">, </w:t>
      </w:r>
      <w:r w:rsidR="007B3444">
        <w:rPr>
          <w:rFonts w:ascii="Arial" w:eastAsia="Calibri" w:hAnsi="Arial" w:cs="Arial"/>
        </w:rPr>
        <w:t xml:space="preserve">sendo calibrada com </w:t>
      </w:r>
      <w:r w:rsidRPr="000C2B9C">
        <w:rPr>
          <w:rFonts w:ascii="Arial" w:eastAsia="Calibri" w:hAnsi="Arial" w:cs="Arial"/>
        </w:rPr>
        <w:t>critérios de bom senso. Poder-se-á afirmar que também o bom senso é subjetivo, será sempre tendencialmente verdade, no entanto</w:t>
      </w:r>
      <w:r w:rsidR="007B3444">
        <w:rPr>
          <w:rFonts w:ascii="Arial" w:eastAsia="Calibri" w:hAnsi="Arial" w:cs="Arial"/>
        </w:rPr>
        <w:t>,</w:t>
      </w:r>
      <w:r w:rsidRPr="000C2B9C">
        <w:rPr>
          <w:rFonts w:ascii="Arial" w:eastAsia="Calibri" w:hAnsi="Arial" w:cs="Arial"/>
        </w:rPr>
        <w:t xml:space="preserve"> se pensarmos que esse bom senso tem como principal alicerce o equilíbrio, então teremos uma consistente base de partida</w:t>
      </w:r>
      <w:r w:rsidR="007B3444">
        <w:rPr>
          <w:rFonts w:ascii="Arial" w:eastAsia="Calibri" w:hAnsi="Arial" w:cs="Arial"/>
        </w:rPr>
        <w:t xml:space="preserve"> para determinar a solução técnica correta.</w:t>
      </w:r>
      <w:r w:rsidRPr="000C2B9C">
        <w:rPr>
          <w:rFonts w:ascii="Arial" w:eastAsia="Calibri" w:hAnsi="Arial" w:cs="Arial"/>
        </w:rPr>
        <w:t xml:space="preserve">  </w:t>
      </w: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2B6C63" w:rsidRPr="002B6C63" w:rsidRDefault="002B6C63" w:rsidP="00977223">
      <w:pPr>
        <w:pStyle w:val="Ttulo1"/>
        <w:rPr>
          <w:rFonts w:eastAsia="Calibri"/>
        </w:rPr>
      </w:pPr>
      <w:bookmarkStart w:id="88" w:name="_Toc500109652"/>
      <w:r w:rsidRPr="002B6C63">
        <w:rPr>
          <w:rFonts w:eastAsia="Calibri"/>
        </w:rPr>
        <w:lastRenderedPageBreak/>
        <w:t>Referências Bibliográficas</w:t>
      </w:r>
      <w:bookmarkEnd w:id="88"/>
    </w:p>
    <w:p w:rsidR="002B6C63" w:rsidRPr="002B6C63" w:rsidRDefault="002B6C63" w:rsidP="002B6C63">
      <w:pPr>
        <w:spacing w:before="120" w:after="120" w:line="360" w:lineRule="auto"/>
        <w:jc w:val="center"/>
        <w:rPr>
          <w:rFonts w:ascii="Arial" w:eastAsia="Calibri" w:hAnsi="Arial" w:cs="Arial"/>
        </w:rPr>
      </w:pPr>
    </w:p>
    <w:p w:rsidR="002B6C63" w:rsidRPr="002B6C63" w:rsidRDefault="002B6C63" w:rsidP="002B6C63">
      <w:pPr>
        <w:spacing w:before="120" w:after="120" w:line="360" w:lineRule="auto"/>
        <w:jc w:val="both"/>
        <w:rPr>
          <w:rFonts w:ascii="Arial" w:eastAsia="Calibri" w:hAnsi="Arial" w:cs="Arial"/>
        </w:rPr>
      </w:pP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Barbosa,A. (2017). A prestação e a constituição de garantias no procedimento e no processo tributário. Coimbra: Almedina.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Campos, D. L.; Rodrigues, B.S., Lopes de Sousa, J. (2012). Lei Geral Tributária - Anotada e Comentada. Lisboa: Encontro da Escrita.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 xml:space="preserve">Epifânio,M.R. (2011). Manual de direito da insolvência. 3ª Ed. Coimbra: Almedina.  </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Lopes de Sousa,J. (2003). Código de Procedimento e Processo Tributário. Lisboa Vislis Editores).</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Lopes de Sousa,J. (2010). Sobre a prescrição da obrigação tributária. 2ª Ed. Lisboa Áreas Editora).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Lopes de Sousa,J (2011). Código de Procedimento e de Processo Tributário - Volume I a IV- Anotado e Comentado. Lisboa: Áreas Editora.</w:t>
      </w:r>
    </w:p>
    <w:p w:rsid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Machado,E.M. Machado; Nogueira da Costa,P. (2009). Curso de direito tributário. Coimbra. Coimbra Editora.</w:t>
      </w:r>
    </w:p>
    <w:p w:rsidR="003647E0" w:rsidRPr="002B6C63" w:rsidRDefault="003647E0" w:rsidP="002B6C63">
      <w:pPr>
        <w:spacing w:before="120" w:after="120" w:line="360" w:lineRule="auto"/>
        <w:jc w:val="both"/>
        <w:rPr>
          <w:rFonts w:ascii="Arial" w:eastAsia="Calibri" w:hAnsi="Arial" w:cs="Arial"/>
        </w:rPr>
      </w:pPr>
      <w:r>
        <w:rPr>
          <w:rFonts w:ascii="Arial" w:eastAsia="Calibri" w:hAnsi="Arial" w:cs="Arial"/>
        </w:rPr>
        <w:t>Machado,J.; Nogueira da Costa,P. (2017). Manual de direito fiscal – Perspetiva multinível. Coimbra. Almedina.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Marques,P. (2012). Crime de abuso de confiança. 2ª Ed.  Coimbra. Coimbra Editora.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Marques,P. (2009). Os direitos reais na actividade tributária – volume II – Grarantias reais das obrigações. Lisboa. Ministério das Finanças e da Admininistração Pública – Direcção Geral dos Impostos. (Centro de Formação).</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Marreiros, J.M. (2015). Sistema Fiscal Português. Lisboa: 11ª Ed. Áreas Editora.</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Martins,J. A. (2007). As providências cautelares e as outra garantias dos créditos tributários. Lisboa: Edições Direcção Geral dos Impostos.</w:t>
      </w:r>
    </w:p>
    <w:p w:rsid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Martins,J. A.; Alves,J. C. (2016). Procedimento e Processo Tributário – Uma perspectiva prática. Coimbra: Almedina.</w:t>
      </w:r>
    </w:p>
    <w:p w:rsidR="00105A19" w:rsidRPr="002B6C63" w:rsidRDefault="00105A19" w:rsidP="002B6C63">
      <w:pPr>
        <w:spacing w:before="120" w:after="120" w:line="360" w:lineRule="auto"/>
        <w:jc w:val="both"/>
        <w:rPr>
          <w:rFonts w:ascii="Arial" w:eastAsia="Calibri" w:hAnsi="Arial" w:cs="Arial"/>
        </w:rPr>
      </w:pPr>
      <w:r>
        <w:rPr>
          <w:rFonts w:ascii="Arial" w:eastAsia="Calibri" w:hAnsi="Arial" w:cs="Arial"/>
        </w:rPr>
        <w:t>Nabais</w:t>
      </w:r>
      <w:r w:rsidR="007A7594">
        <w:rPr>
          <w:rFonts w:ascii="Arial" w:eastAsia="Calibri" w:hAnsi="Arial" w:cs="Arial"/>
        </w:rPr>
        <w:t>,J.C. (2017). Direito Fiscal. Coimbra. Almedina.</w:t>
      </w:r>
    </w:p>
    <w:p w:rsidR="00A325AA" w:rsidRDefault="00A325AA" w:rsidP="002B6C63">
      <w:pPr>
        <w:spacing w:before="120" w:after="120" w:line="360" w:lineRule="auto"/>
        <w:jc w:val="both"/>
        <w:rPr>
          <w:rFonts w:ascii="Arial" w:eastAsia="Calibri" w:hAnsi="Arial" w:cs="Arial"/>
        </w:rPr>
      </w:pPr>
      <w:bookmarkStart w:id="89" w:name="_Hlk500105879"/>
      <w:r>
        <w:rPr>
          <w:rFonts w:ascii="Arial" w:eastAsia="Calibri" w:hAnsi="Arial" w:cs="Arial"/>
        </w:rPr>
        <w:t>Neto,S.C.; Trindade, C.C. (2017). Procedimento, Princípios e Garantias</w:t>
      </w:r>
    </w:p>
    <w:p w:rsidR="002B6C63" w:rsidRP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t>Sabbag,E. (2017). Manual de direito tributário. São Paulo: Saraiva.</w:t>
      </w:r>
      <w:r w:rsidR="0002555B">
        <w:rPr>
          <w:rFonts w:ascii="Arial" w:eastAsia="Calibri" w:hAnsi="Arial" w:cs="Arial"/>
        </w:rPr>
        <w:t xml:space="preserve"> </w:t>
      </w:r>
      <w:r w:rsidR="0002555B" w:rsidRPr="0002555B">
        <w:rPr>
          <w:rFonts w:ascii="Arial" w:eastAsia="Calibri" w:hAnsi="Arial" w:cs="Arial"/>
        </w:rPr>
        <w:t>Coimbra: Almedina.</w:t>
      </w:r>
    </w:p>
    <w:bookmarkEnd w:id="89"/>
    <w:p w:rsidR="002B6C63" w:rsidRDefault="002B6C63" w:rsidP="002B6C63">
      <w:pPr>
        <w:spacing w:before="120" w:after="120" w:line="360" w:lineRule="auto"/>
        <w:jc w:val="both"/>
        <w:rPr>
          <w:rFonts w:ascii="Arial" w:eastAsia="Calibri" w:hAnsi="Arial" w:cs="Arial"/>
        </w:rPr>
      </w:pPr>
      <w:r w:rsidRPr="002B6C63">
        <w:rPr>
          <w:rFonts w:ascii="Arial" w:eastAsia="Calibri" w:hAnsi="Arial" w:cs="Arial"/>
        </w:rPr>
        <w:lastRenderedPageBreak/>
        <w:t>Saldanha Sanches,J.L. (2007). Manual de direito fiscal. 3ª Ed. Coimbra. Coimbra Editora.</w:t>
      </w:r>
    </w:p>
    <w:p w:rsidR="007A7594" w:rsidRPr="002B6C63" w:rsidRDefault="007A7594" w:rsidP="002B6C63">
      <w:pPr>
        <w:spacing w:before="120" w:after="120" w:line="360" w:lineRule="auto"/>
        <w:jc w:val="both"/>
        <w:rPr>
          <w:rFonts w:ascii="Arial" w:eastAsia="Calibri" w:hAnsi="Arial" w:cs="Arial"/>
        </w:rPr>
      </w:pPr>
      <w:r>
        <w:rPr>
          <w:rFonts w:ascii="Arial" w:eastAsia="Calibri" w:hAnsi="Arial" w:cs="Arial"/>
        </w:rPr>
        <w:t>Teixeira,G; Azevedo,P. A.; Videira,S.; Duarte, V. (2017). Contencioso tributário: CPPT e RCPITA. Porto. Lexit.</w:t>
      </w:r>
    </w:p>
    <w:p w:rsidR="002B6C63" w:rsidRDefault="002B6C63" w:rsidP="000C2B9C">
      <w:pPr>
        <w:spacing w:before="120" w:after="120" w:line="360" w:lineRule="auto"/>
        <w:jc w:val="both"/>
        <w:rPr>
          <w:rFonts w:ascii="Arial" w:eastAsia="Calibri" w:hAnsi="Arial" w:cs="Arial"/>
        </w:rPr>
      </w:pPr>
    </w:p>
    <w:p w:rsidR="002B6C63" w:rsidRDefault="002B6C63"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02555B" w:rsidRDefault="0002555B" w:rsidP="000C2B9C">
      <w:pPr>
        <w:spacing w:before="120" w:after="120" w:line="360" w:lineRule="auto"/>
        <w:jc w:val="both"/>
        <w:rPr>
          <w:rFonts w:ascii="Arial" w:eastAsia="Calibri" w:hAnsi="Arial" w:cs="Arial"/>
        </w:rPr>
      </w:pPr>
    </w:p>
    <w:p w:rsidR="002B6C63" w:rsidRPr="000C2B9C" w:rsidRDefault="002B6C63" w:rsidP="000C2B9C">
      <w:pPr>
        <w:spacing w:before="120" w:after="120" w:line="360" w:lineRule="auto"/>
        <w:jc w:val="both"/>
        <w:rPr>
          <w:rFonts w:ascii="Arial" w:eastAsia="Calibri" w:hAnsi="Arial" w:cs="Arial"/>
        </w:rPr>
      </w:pPr>
    </w:p>
    <w:p w:rsidR="00287C01" w:rsidRPr="00287C01" w:rsidRDefault="000C2B9C" w:rsidP="00287C01">
      <w:pPr>
        <w:pStyle w:val="Ttulo1"/>
        <w:rPr>
          <w:rFonts w:eastAsia="Calibri"/>
        </w:rPr>
      </w:pPr>
      <w:r w:rsidRPr="000C2B9C">
        <w:rPr>
          <w:rFonts w:eastAsia="Calibri"/>
        </w:rPr>
        <w:lastRenderedPageBreak/>
        <w:t xml:space="preserve"> </w:t>
      </w:r>
      <w:bookmarkStart w:id="90" w:name="_Toc500109653"/>
      <w:r w:rsidR="00287C01" w:rsidRPr="00287C01">
        <w:rPr>
          <w:rFonts w:eastAsia="Calibri"/>
        </w:rPr>
        <w:t>ANEXO 1</w:t>
      </w:r>
      <w:bookmarkEnd w:id="90"/>
    </w:p>
    <w:p w:rsidR="00287C01" w:rsidRPr="00287C01" w:rsidRDefault="00287C01" w:rsidP="00287C01">
      <w:pPr>
        <w:spacing w:before="120" w:after="120" w:line="360" w:lineRule="auto"/>
        <w:rPr>
          <w:rFonts w:ascii="Arial" w:eastAsia="Calibri" w:hAnsi="Arial" w:cs="Arial"/>
        </w:rPr>
      </w:pPr>
      <w:r w:rsidRPr="00287C01">
        <w:rPr>
          <w:rFonts w:ascii="Arial" w:eastAsia="Calibri" w:hAnsi="Arial" w:cs="Arial"/>
        </w:rPr>
        <w:t>Artigo 178.º do OE de 2016</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Dispensa de prestação de garantia em pagamentos até 12 prestações</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1 - É dispensada a prestação de garantia nos pagamentos em prestações a que se refere o artigo 196.º do CPPT, quando, à data do pedido, o devedor tenha dívidas exigíveis em execução fiscal, legalmente não suspensas, desde que o requerimento de dispensa seja apresentado pelo executado juntamente com o pedido de pagamento em prestações, o plano de pagamento seja autorizado com o máximo de 12 prestações, e se, durante o período da sua vigência, o executado, cumulativamente: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a) Proceder ao pagamento atempado das prestações;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b) Não ceder, locar, alienar ou por qualquer modo onerar, no todo ou em parte, os bens que integram o seu património, com salvaguarda dos atos indispensáveis à atividade profissional exercida por pessoas singulares, ou constante do objeto da pessoa coletiva;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c) Regularizar as novas dívidas que sejam suscetíveis de cobrança coerciva mediante execução fiscal, no prazo máximo de 90 dias a contar da respetiva data de vencimento.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2 - Durante o período de vigência da dispensa de garantia referida no número anterior, a taxa dos juros de mora aplicáveis às dívidas tributárias corresponde ao dobro da referida no n.º 1 do artigo 3.º do Decreto-Lei n.º 73/99, de 16 de março, alterado pelas Leis n.os 3-B/2010, de 28 de abril, 55-A/2010, de 31 de dezembro, e 32/2012, de 13 de fevereiro.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3 - O incumprimento de qualquer das condições referidas nas várias alíneas do n.º 1 determina a revogação da dispensa de prestação de garantia aí prevista, devendo o executado prestar garantia no prazo de 15 dias a contar do facto determinante da revogação, sob pena de levantamento da suspensão do processo de execução fiscal, nos termos e para os efeitos do n.º 8 do artigo 199.º do CPPT.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4 - A falta de pagamento de uma prestação importa o vencimento imediato das seguintes, prosseguindo o processo de execução fiscal os seus termos.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 xml:space="preserve">5 - A dispensa de prestação de garantia prevista neste regime determina a suspensão da execução fiscal das dívidas abrangidas pelo plano de pagamento em prestações, considerando-se que o devedor tem a situação tributária regularizada relativamente às mesmas dívidas, enquanto estiver vigente o plano prestacional. </w:t>
      </w:r>
    </w:p>
    <w:p w:rsidR="00287C01" w:rsidRPr="00287C01" w:rsidRDefault="00287C01" w:rsidP="00287C01">
      <w:pPr>
        <w:spacing w:before="120" w:after="120" w:line="360" w:lineRule="auto"/>
        <w:jc w:val="both"/>
        <w:rPr>
          <w:rFonts w:ascii="Arial" w:eastAsia="Calibri" w:hAnsi="Arial" w:cs="Arial"/>
        </w:rPr>
      </w:pPr>
      <w:r w:rsidRPr="00287C01">
        <w:rPr>
          <w:rFonts w:ascii="Arial" w:eastAsia="Calibri" w:hAnsi="Arial" w:cs="Arial"/>
        </w:rPr>
        <w:t>6 - O presente regime é aplicável aos pedidos de pagamentos em prestações apresentados até 31 de dezembro de 2016.</w:t>
      </w:r>
    </w:p>
    <w:p w:rsidR="000C2B9C" w:rsidRPr="008327E1" w:rsidRDefault="008327E1" w:rsidP="006223F8">
      <w:pPr>
        <w:pStyle w:val="Ttulo1"/>
        <w:rPr>
          <w:rFonts w:eastAsia="Calibri"/>
        </w:rPr>
      </w:pPr>
      <w:bookmarkStart w:id="91" w:name="_Toc500109654"/>
      <w:r w:rsidRPr="008327E1">
        <w:rPr>
          <w:rFonts w:eastAsia="Calibri"/>
        </w:rPr>
        <w:lastRenderedPageBreak/>
        <w:t>Anexo 2</w:t>
      </w:r>
      <w:bookmarkEnd w:id="91"/>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Lei n.º 100/2017, de 28 de agosto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Altera o Decreto-Lei n.º 433/99, de 26 de outubro, o Código de Procedimento e de Processo Tributário, e o Decreto-Lei n.º 6/2013, de 17 de janeiro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Assembleia da República decreta, nos termos da alínea c) do artigo 161.º da Constituição, o seguinte: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1.º</w:t>
      </w:r>
      <w:r>
        <w:rPr>
          <w:rFonts w:ascii="Arial" w:eastAsia="Calibri" w:hAnsi="Arial" w:cs="Arial"/>
        </w:rPr>
        <w:t xml:space="preserve"> </w:t>
      </w:r>
      <w:r w:rsidRPr="006223F8">
        <w:rPr>
          <w:rFonts w:ascii="Arial" w:eastAsia="Calibri" w:hAnsi="Arial" w:cs="Arial"/>
        </w:rPr>
        <w:t>Objeto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presente lei procede à alteração do: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Decreto-Lei n.º 433/99, de 26 de outubro, que aprova o Código de Procedimento e de Processo Tributário;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b) Código de Procedimento e de Processo Tributário (CPPT), aprovado pelo Decreto-Lei n.º 433/99, de 26 de outubro;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c) Decreto-Lei n.º 6/2013, de 17 de janeiro, que aprova alterações à legislação tributária, de modo a garantir o adequado funcionamento da Unidade dos Grandes Contribuintes no âmbito da Autoridade Tributária e Aduaneira.</w:t>
      </w:r>
    </w:p>
    <w:p w:rsidR="006223F8" w:rsidRPr="006223F8" w:rsidRDefault="006223F8" w:rsidP="006223F8">
      <w:pPr>
        <w:spacing w:after="120" w:line="360" w:lineRule="auto"/>
        <w:jc w:val="both"/>
        <w:rPr>
          <w:rFonts w:ascii="Arial" w:eastAsia="Calibri" w:hAnsi="Arial" w:cs="Arial"/>
        </w:rPr>
      </w:pP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2.º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Alteração ao Decreto-Lei n.º 433/99, de 26 de outubro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Os artigos 6.º e 7.º do Decreto-Lei n.º 433/99, de 26 de outubro, passam a ter a seguinte redação: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6.º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Consideram-se órgãos periféricos locais, para efeitos do código aprovado pelo presente decreto-lei, os serviços de finanças, delegações aduaneiras e postos aduaneiros da Autoridade Tributária e Aduaneira (AT).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Na execução fiscal consideram-se órgãos periféricos regionais as direções de finanças ou quaisquer outros órgãos da administração tributária a quem lei especial atribua as competências destas no processo.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Consideram-se órgãos periféricos regionais, para efeitos do código aprovado pelo presente decreto-lei, as direções de finanças e as alfândegas da AT.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4 - As competências que o código aprovado pelo presente decreto-lei atribui aos órgãos periféricos regionais e aos órgãos periféricos locais da administração tributária para o procedimento e processo tributário são exercidas, relativamente às pessoas singulares ou coletivas que, nos termos da lei, sejam qualificadas como grandes contribuintes, pelo órgão do serviço central da AT a quem, organicamente, seja cometida, como atribuição específica, o respetivo acompanhamento e gestão tributárias, com exceção dos impostos aduaneiros e especiais de consumo.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5 - Excecionam-se das competências atribuídas ao órgão do serviço central da AT a que se refere o número anterior, as competências atribuídas aos órgãos periféricos locais previstas no Código do Imposto Municipal sobre Imóveis.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6 -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7.º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As competências atribuídas no código aprovado pelo presente decreto-lei a órgãos periféricos locais ou, no que respeita às competências de execução fiscal, a órgãos periféricos regionais, são exercidas pelas autarquias quanto aos tributos por elas administrados.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4 -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3.º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Alteração ao Código de Procedimento e de Processo Tributário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Os artigos 12.º, 80.º, 88.º, 91.º, 138.º, 150.º, 181.º, 196.º, 199.º, 228.º e 241.º do CPPT, aprovado pelo Decreto-Lei n.º 433/99, de 26 de outubro, passam a ter a seguinte redação: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12.º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Os processos da competência dos tribunais tributários são julgados em 1.ª instância pelo tribunal da área do serviço periférico local onde se praticou o ato objeto da impugnação ou no caso da execução fiscal, no tribunal da área do domicílio ou sede do executado.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Artigo 80.º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Salvo nos casos expressamente previstos na lei, em processo de execução que não tenha natureza tributária, é obrigatoriamente citado o diretor do órgão periférico regional da área do domicílio fiscal ou da sede do executado, para apresentar, no prazo de 15 dias, certidão de quaisquer dívidas de tributos à Fazenda Pública imputadas ao executado que possam ser objeto de reclamação de créditos, sob pena de nulidade dos atos posteriores à data em que a citação devia ter sido efetuada.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88.º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5 - As certidões de dívida servem de base à instauração do processo de execução fiscal.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6 -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91.º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Para beneficiar dos efeitos da sub-rogação, o terceiro que pretender pagar antes de instaurada a execução deve requerê-lo ao dirigente do órgão periférico regional da administração tributária competente, que decide no próprio requerimento, caso se prove o interesse legítimo ou a autorização do devedor, indicando o montante da dívida a pagar e respetivos juros de mora.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138.º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Tem competência para o arresto o tribunal tributário de 1.ª instância da área do domicílio ou sede do executado.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150.º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Na falta de designação referida no número anterior, a instauração e os atos da execução são praticados no órgão periférico regional da área do domicílio ou sede do devedor.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5 - O dirigente máximo do órgão periférico regional onde deva correr a execução fiscal pode delegar a competência na execução fiscal em qualquer órgão periférico local da sua área de competência territorial.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181.º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Deveres tributários do administrador judicial da insolvência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(Revogado.)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196.º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O pagamento em prestações se inclua em plano de recuperação no âmbito de processo de insolvência ou de processo especial de revitalização, ou em acordo sujeito ao regime extrajudicial de recuperação de empresas em execução ou em negociação, e decorra do plano ou do acordo, consoante o caso, a imprescindibilidade da medida, podendo neste caso haver lugar a dispensa da obrigação de substituição dos administradores ou gerentes, se tal for tido como adequado pela entidade competente para autorizar o plano; ou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b)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5 -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6 - Quando, para efeitos de plano de recuperação a aprovar no âmbito de processo de insolvência ou de processo especial de revitalização, ou de acordo a sujeitar ao regime extrajudicial de recuperação de empresas do qual a administração tributária seja parte, se demonstre a indispensabilidade da medida,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número anterior.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7 - Quando o executado esteja a cumprir plano de recuperação aprovado no âmbito de processo de insolvência ou de processo especial de revitalização, ou acordo sujeito ao regime extrajudicial de recuperação de empresas, e demonstre a indispensabilidade de acordar um plano prestacional relativo a dívida exigível em processo executivo não incluída no plano ou acordo em execução, mas respeitante a facto tributário anterior à data de aprovação do plano ou de celebração do acordo, e ainda quando os riscos inerentes à recuperação dos créditos o tornem recomendável, a administração tributária pode estabelecer que o regime prestacional seja alargado, até ao limite máximo de 150 prestações, com a observância das condições previstas na parte final do n.º 5.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8 - (Anterior n.º 7.)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9 - (Anterior n.º 8.)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10 - (Anterior n.º 9.)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11 - (Anterior n.º 10.)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12 - (Anterior n.º 11.)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13 - (Anterior n.º 12.)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199.º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4 -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5 -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6 -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7 -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8 -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9 -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10 -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12 -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13 - Os pagamentos em prestações ao abrigo de plano de recuperação no âmbito de processo de insolvência ou de processo especial de revitalização ou em acordo sujeito ao regime extrajudicial de recuperação de empresas em execução ou em negociação que decorra do plano ou do acordo não dependem da prestação de quaisquer garantias adicionais.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14 - As garantias constituídas à data de autorização dos pagamentos em prestações referidos no número anterior mantêm-se até ao limite máximo da quantia exequenda, sendo reduzidas anualmente no dobro do montante efetivamente pago em prestações ao abrigo daqueles planos de pagamentos, desde que não se verifique, consoante os casos, a existência de novas dívidas fiscais em cobrança coerciva cuja execução não esteja legalmente suspensa ou cujos prazos de reclamação ou impugnação estejam a decorrer.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15 - Os n.os 13 e 14 são correspondentemente aplicáveis, com as necessárias adaptações, aos planos de pagamentos em prestações aprovados ao abrigo do n.º 7 do artigo 196.º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228.º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As importâncias vencidas serão depositadas em operações de tesouraria, à ordem do órgão da execução fiscal.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241.º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1 - Se não se verificarem as circunstâncias do n.º 3 do artigo anterior, são citados os diretores dos órgãos periféricos regionais da área do domicílio fiscal da pessoa a quem foram penhorados os bens onde não corra o processo para, no prazo de 15 dias, apresentarem certidão das dívidas que devam ser reclamadas.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Se a certidão tiver de ser passada pelo órgão periférico regional da administração tributária onde correr o processo, será junto a este, sem mais formalidades, no prazo de 10 dias a contar da penhora.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3 -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4.º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Alteração ao Decreto-Lei n.º 6/2013, de 17 de janeiro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O artigo 9.º do Decreto-Lei n.º 6/2013, de 17 de janeiro, passa a ter a seguinte redação: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«Artigo 9.º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Consideram-se reportadas ao diretor da Unidade dos Grandes Contribuintes da Autoridade Tributária e Aduaneira, relativamente aos grandes contribuintes, as competências que os códigos tributários e demais legislação não aduaneira remetam, expressa ou implicitamente, para os chefes de finanças, para os diretores de finanças e para o diretor dos Serviços de Inspeção Tributária, designadamente, as remetidas nos diplomas legais seguintes: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b)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c)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d)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e) (Revogada.)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f)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g)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h) ...;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i) Estatuto dos Benefícios Fiscais, aprovado pelo Decreto-Lei n.º 215/89, de 1 de julho, exceto no que se refere aos benefícios associados ao imposto regulado pelo Código do Imposto Municipal sobre os Imóveis.»</w:t>
      </w:r>
    </w:p>
    <w:p w:rsidR="006223F8" w:rsidRPr="006223F8" w:rsidRDefault="006223F8" w:rsidP="006223F8">
      <w:pPr>
        <w:spacing w:after="120" w:line="360" w:lineRule="auto"/>
        <w:jc w:val="both"/>
        <w:rPr>
          <w:rFonts w:ascii="Arial" w:eastAsia="Calibri" w:hAnsi="Arial" w:cs="Arial"/>
        </w:rPr>
      </w:pP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lastRenderedPageBreak/>
        <w:t xml:space="preserve">  Artigo 5.º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Balcão único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É regulada por decreto-lei a possibilidade de criação de um balcão único para a gestão articulada dos créditos da segurança social e da Autoridade Tributária e Aduaneira sobre empresas no âmbito do processo de insolvência, do processo especial de revitalização ou em acordo sujeito ao regime extrajudicial de recuperação de empresas em execução.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6.º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Aplicação no tempo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1 - Os artigos 12.º e 138.º do CPPT, na redação dada pela presente lei, aplicam-se apenas aos processos iniciados após 1 de janeiro de 2018.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2 - Os artigos 80.º, 88.º, 91.º, 150.º, 170.º, 181.º, 197.º, 228.º e 241.º do CPPT, bem como os n.os 2 e 5 do artigo 6.º e o artigo 7.º do Decreto-Lei n.º 433/99, de 26 de outubro, na redação dada pela presente lei, entram em vigor no dia 1 de janeiro de 2018, aplicando-se aos processos pendentes.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3 - O n.º 4 do artigo 6.º do Decreto-Lei n.º 433/99, de 26 de outubro, na redação dada pela presente lei, entra em vigor no dia 1 de janeiro de 2018 e aplica-se aos procedimentos instaurados após a data da sua entrada em vigor.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4 - Os n.os 1 e 3 do artigo 6.º do Decreto-Lei n.º 433/99, de 26 de outubro, na redação dada pela presente lei, aplicam-se aos processos pendentes.</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7.º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Norma revogatória</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São revogados: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O n.º 5 do artigo 170.º, o n.º 1 do artigo 181.º e o n.º 2 do artigo 197.º do CPPT; </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b) A alínea d) do artigo 9.º do Decreto-Lei n.º 6/2013, de 17 de janeiro.</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  Artigo 8.º</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Entrada em vigor</w:t>
      </w:r>
    </w:p>
    <w:p w:rsidR="006223F8" w:rsidRPr="006223F8" w:rsidRDefault="006223F8" w:rsidP="006223F8">
      <w:pPr>
        <w:spacing w:after="120" w:line="360" w:lineRule="auto"/>
        <w:jc w:val="both"/>
        <w:rPr>
          <w:rFonts w:ascii="Arial" w:eastAsia="Calibri" w:hAnsi="Arial" w:cs="Arial"/>
        </w:rPr>
      </w:pPr>
      <w:r w:rsidRPr="006223F8">
        <w:rPr>
          <w:rFonts w:ascii="Arial" w:eastAsia="Calibri" w:hAnsi="Arial" w:cs="Arial"/>
        </w:rPr>
        <w:t xml:space="preserve">A presente lei entra em vigor no dia seguinte ao da sua publicação, sem prejuízo do disposto no artigo 6.º </w:t>
      </w:r>
    </w:p>
    <w:p w:rsidR="006223F8" w:rsidRPr="006223F8" w:rsidRDefault="006223F8" w:rsidP="006223F8">
      <w:pPr>
        <w:spacing w:after="120" w:line="360" w:lineRule="auto"/>
        <w:jc w:val="both"/>
        <w:rPr>
          <w:rFonts w:ascii="Arial" w:eastAsia="Calibri" w:hAnsi="Arial" w:cs="Arial"/>
        </w:rPr>
      </w:pPr>
    </w:p>
    <w:p w:rsidR="000C2B9C" w:rsidRPr="000C2B9C" w:rsidRDefault="006223F8" w:rsidP="006223F8">
      <w:pPr>
        <w:spacing w:after="120" w:line="360" w:lineRule="auto"/>
        <w:jc w:val="both"/>
        <w:rPr>
          <w:rFonts w:ascii="Arial" w:eastAsia="Calibri" w:hAnsi="Arial" w:cs="Arial"/>
        </w:rPr>
      </w:pPr>
      <w:r w:rsidRPr="006223F8">
        <w:rPr>
          <w:rFonts w:ascii="Arial" w:eastAsia="Calibri" w:hAnsi="Arial" w:cs="Arial"/>
        </w:rPr>
        <w:t>Aprovada em 19 de julho de 2017.</w:t>
      </w:r>
    </w:p>
    <w:p w:rsidR="0082242E" w:rsidRDefault="0082242E" w:rsidP="0082242E">
      <w:pPr>
        <w:spacing w:before="120" w:after="120" w:line="360" w:lineRule="auto"/>
        <w:jc w:val="center"/>
        <w:rPr>
          <w:rFonts w:ascii="Arial" w:eastAsia="Calibri" w:hAnsi="Arial" w:cs="Arial"/>
        </w:rPr>
      </w:pPr>
    </w:p>
    <w:p w:rsidR="0082242E" w:rsidRPr="006223F8" w:rsidRDefault="006223F8" w:rsidP="00F62231">
      <w:pPr>
        <w:pStyle w:val="Ttulo1"/>
        <w:rPr>
          <w:rFonts w:eastAsia="Calibri"/>
        </w:rPr>
      </w:pPr>
      <w:bookmarkStart w:id="92" w:name="_Toc500109655"/>
      <w:r>
        <w:rPr>
          <w:rFonts w:eastAsia="Calibri"/>
        </w:rPr>
        <w:lastRenderedPageBreak/>
        <w:t>ANEXO 3</w:t>
      </w:r>
      <w:bookmarkEnd w:id="92"/>
    </w:p>
    <w:p w:rsidR="006223F8" w:rsidRDefault="006223F8" w:rsidP="006223F8">
      <w:pPr>
        <w:jc w:val="both"/>
      </w:pPr>
      <w:r>
        <w:t xml:space="preserve">Assunto: CONDIÇOES A OBSERVAR PARA CONCESSÃO DE DISPENSA/ISENÇÃO DE GARANTIA IDÓNEA EM PROCESSO DE EXECUÇÃO FISCAL </w:t>
      </w:r>
    </w:p>
    <w:p w:rsidR="00F62231" w:rsidRDefault="006223F8" w:rsidP="006223F8">
      <w:pPr>
        <w:jc w:val="both"/>
      </w:pPr>
      <w:r>
        <w:t xml:space="preserve">O presente Ofício-Circulado visa uniformizar os procedimentos e práticas dos Serviços da DGCI à face da lei vigente em matéria de dispensa ou isenção de </w:t>
      </w:r>
      <w:r w:rsidR="00F62231">
        <w:t>prestação de</w:t>
      </w:r>
      <w:r>
        <w:t xml:space="preserve"> garantia em processo de execução fiscal [artigos 52.°, n.os 1 e 4 da Lei Geral Tributária (LGT) e 170. ° do Código de Procedimento e Processo Tributário (CPPT)], bem como a salvaguarda do interesse público de cobrança dos créditos tributários. Os Serviços desconcentrados da DGCI têm revelado algumas dúvidas no que respeita à interpretação dos pressupostos da dispensa de garantia, o que se tem traduzido na coexistência de entendimentos e procedimentos diferenciados, e por vezes contraditórios, sobre esta questão, nomeadamente no que respeita aos despachos de deferimento/indeferimento de isenção de garantia. Daí a necessidade de proceder à presente uniformização de procedimentos dos Serviços, a qual tem também em vista a garantia da efectividade dos princípios da igualdade entre todos os contribuintes, desta forma se eliminando eventuais factores de discricionariedade. Nesse sentido, foi sancionado por despacho do EX.mo Senhor Director-Geral, de 2010-07 -29, a divulgação do seguinte entendimento, relativo aos pressupostos, requerimento e ónus da prova da dispensa de garantia em processo de execução fiscal. </w:t>
      </w:r>
    </w:p>
    <w:p w:rsidR="00F62231" w:rsidRDefault="006223F8" w:rsidP="006223F8">
      <w:pPr>
        <w:jc w:val="both"/>
      </w:pPr>
      <w:r>
        <w:t xml:space="preserve">1, PRESSUPOSTOS DE CUJA VERIFICAÇÃO DEPENDE A DISPENSA DE PRESTAÇÃO DE GARANTIA  A concessão de dispensa da prestação de garantia pelos serviços da Administração {/ Tributária, para efeitos de suspensão da execução fiscal quando haja lugar a pagamento em prestações, reclamação, recurso, . impugnação, ou oposlçao à execução depende da verificação dos seguintes pressupostos [arts. 52.°, nOs 1, 2 e 4 da Lei Geral Tributária (LGT) e 169.° do Código de Procedimento e Processo Tributário (CPPT)] : 1 - A prestação de garantia deve ser causa de um prejuízo irreparável para o contribuinte executado ou; 2 - A prestação de garantia deve ser causa da manifesta falta de meios económicos, revelada pela insuficiência de bens penhoráveis para pagamento da dívida exequenda e acrescido; 3 - Quer se baseie no pressuposto 1. quer no pressuposto 2., torna-se necessário que o executado não seja responsável pela situação de insuficiência ou inexistência de bens. Nestes termos, os pressupostos referidos em 1. e 2. são alternativos, ou seja basta que se verifique um ou outro, enquanto que o pressuposto referido em 3. é sempre de verificação necessária. Na aplicação dos preceitos legais antes referidos, devem os serviços ter em conta a seguinte densificação dos respectivos conceitos: 1.1. PREJuízo IRREPARÁVEL o carácter irreparável dos prejuízos deve traduzir-se numa situação de diminuição dos proveitos resultantes da actividade desenvolvida pelo executado. Este, em resultado dos encargos financeiros impostos pela prestação da garantia, deixa de poder fazer face aos compromissos económico-financeiros de que depende a manutenção e desenvolvimento da actividade económica por si levada a cabo, o que ocasiona um dano resultante do decréscimo ou interrupção dessa actividade. 1.2. MANIFESTA FALTA DE MEIOS ECONÓMICOS REVELADA PELA INSUFICIÊNCIA DE BENS PENHORÁVEIS ) A Neste caso, a prestação de garantia gera a existência de uma situação de carência U conómica do executado, de tal modo que este deixa de ter à sua disposição os meios financeiros necessários à satisfação das necessidades básicas, ou seja, é posta em causa a própria subsistência do executado, quer este seja pessoa singular ou colectiva. A situação de 2/4 DIRECÇÃO DE SERViÇOS DE GESTÃO DOS CRÉDITOS TRIBUTÁRIOS insuficiência material de bens penhoráveis é o indício revelador mais forte de uma possível falta de meios económicos, razão pela qual a lei lhe faz expressa referência. No entanto, a verificação da insuficiência destes bens, por si só, não determina necessariamente uma situação de </w:t>
      </w:r>
      <w:r>
        <w:lastRenderedPageBreak/>
        <w:t xml:space="preserve">manifesta falta de meios económicos, devendo ainda ser possível estabelecer um nexo de causalidade adequada entre a situação de manifesta carência económica e a insuficiência de bens verificada. 1.3. IRRESPONSABILIDADE DO EXECUTADO PELA SITUAÇÃO DE INSUFICIÊNCIA/INEXISTÊNCIA DE BENS o executado não deve ter sido responsável pela eventual situação de insuficiência ou inexistência de bens, que originou a diminuição ou o desaparecimento da garantia patrimonial da dívida executiva. Para que este pressuposto se verifique deve ser feita prova pelo executado de que não lhe é imputável a insuficiência ou ausência de bens do seu património. No caso de se tratar de pessoas singulares, deve considerar-se verificado este pressuposto se o executado demonstrar a existência de alguma causa de insuficiência ou inexistência de bens que não seja imputável de qualquer forma à sua conduta e se, além disso, não for feita qualquer prova pela Fazenda Pública de que a sua actuação contribuiu de alguma forma para a situação de inexistência ou insuficiência de bens penhoráveis. No caso específico das pessoas colectivas, apenas se deve considerar verificado este pressuposto nos casos em que a insuficiência ou inexistência de património não possa resultar da actuação empresarial, ou seja, apenas quando a dissipação dos bens esteja na absoluta indisponibilidade da empresa ou da administração que a representava ou representa, como seja, por exemplo, o caso de catástrofe natural ou humana imprevisível. Fora destes casos, existirá sempre uma responsabilidade da empresa pelo destino dado aos bens que fazem parte do património colectivo/empresarial, baseada na actuação gestionária dos seus administradores ou gerentes, pelo que, em tais situações, não se poderá considerar verificado este pressuposto de dispensa. _ 012. REQUERIMENTO DE DISPENSA DE PRESTAÇÃO DE GARANTIA </w:t>
      </w:r>
      <w:r w:rsidR="00F62231">
        <w:t>O</w:t>
      </w:r>
      <w:r>
        <w:t xml:space="preserve"> pedido de dispensa deve ser efectuado mediante requerimento dirigido ao órgão da execução fiscal, no prazo de 15 dias a contar da notificação enviada ao executado para prestação da garantia (artigos 52.°, n.o 4 da LGT e 170.°, n.o 1 do CPPT), a menos que o fundamento da dispensa se verifique após os mesmos 15 dias, caso em que a dispensa deve ser requerida no prazo de 30 dias após a ocorrência desse fundamento (artigo 170.°, n. ° 2 do CPPT). 3. ÓNUS DA PROVA DOS PRESSUPOSTOS DA DISPENSA o ónus da prova da verificação dos factos constitutivos dos direitos dos contribuintes recai sobre quem os invoque (art. 74.°, n.o 1 da LGT, art. 342. ° do Código Civil), neste caso sobre o contribuinte executado. Deste modo, o requerimento apresentado pelo interessado deve estar devidamente fundamentado, tanto de facto como de direito, e instruído com toda a prova documental necessária para a apreciação da sua pretensão, ou seja, com todos os elementos documentais comprovativos da verificação dos pressupostos de que depende a concessão da dispensa (art. 170.°, n.o 3 do CPPT) e que constam do ponto 1. deste Ofício-Circulado.</w:t>
      </w:r>
    </w:p>
    <w:p w:rsidR="00B6501B" w:rsidRDefault="006223F8" w:rsidP="006223F8">
      <w:pPr>
        <w:jc w:val="both"/>
        <w:rPr>
          <w:rFonts w:ascii="Arial" w:hAnsi="Arial" w:cs="Arial"/>
        </w:rPr>
      </w:pPr>
      <w:r>
        <w:t xml:space="preserve"> O Subdirector-Geral Alberto A. Pimenta P droso</w:t>
      </w:r>
    </w:p>
    <w:p w:rsidR="006223F8" w:rsidRPr="00B6501B" w:rsidRDefault="006223F8" w:rsidP="006223F8">
      <w:pPr>
        <w:jc w:val="both"/>
        <w:rPr>
          <w:rFonts w:ascii="Arial" w:hAnsi="Arial" w:cs="Arial"/>
        </w:rPr>
      </w:pPr>
    </w:p>
    <w:sectPr w:rsidR="006223F8" w:rsidRPr="00B6501B" w:rsidSect="00BD76F2">
      <w:footerReference w:type="default" r:id="rId12"/>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7BE8" w:rsidRDefault="00687BE8" w:rsidP="000C2B9C">
      <w:pPr>
        <w:spacing w:after="0" w:line="240" w:lineRule="auto"/>
      </w:pPr>
      <w:r>
        <w:separator/>
      </w:r>
    </w:p>
  </w:endnote>
  <w:endnote w:type="continuationSeparator" w:id="0">
    <w:p w:rsidR="00687BE8" w:rsidRDefault="00687BE8" w:rsidP="000C2B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7BE8" w:rsidRDefault="00687BE8">
    <w:pPr>
      <w:pStyle w:val="Rodap"/>
      <w:jc w:val="right"/>
    </w:pPr>
  </w:p>
  <w:p w:rsidR="00687BE8" w:rsidRDefault="00687BE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4939188"/>
      <w:docPartObj>
        <w:docPartGallery w:val="Page Numbers (Bottom of Page)"/>
        <w:docPartUnique/>
      </w:docPartObj>
    </w:sdtPr>
    <w:sdtContent>
      <w:p w:rsidR="00687BE8" w:rsidRDefault="00687BE8">
        <w:pPr>
          <w:pStyle w:val="Rodap"/>
          <w:jc w:val="right"/>
        </w:pPr>
        <w:r>
          <w:fldChar w:fldCharType="begin"/>
        </w:r>
        <w:r>
          <w:instrText>PAGE   \* MERGEFORMAT</w:instrText>
        </w:r>
        <w:r>
          <w:fldChar w:fldCharType="separate"/>
        </w:r>
        <w:r w:rsidR="0002555B" w:rsidRPr="0002555B">
          <w:rPr>
            <w:noProof/>
            <w:lang w:val="pt-BR"/>
          </w:rPr>
          <w:t>10</w:t>
        </w:r>
        <w:r>
          <w:fldChar w:fldCharType="end"/>
        </w:r>
      </w:p>
    </w:sdtContent>
  </w:sdt>
  <w:p w:rsidR="00687BE8" w:rsidRDefault="00687BE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7BE8" w:rsidRDefault="00687BE8" w:rsidP="000C2B9C">
      <w:pPr>
        <w:spacing w:after="0" w:line="240" w:lineRule="auto"/>
      </w:pPr>
      <w:r>
        <w:separator/>
      </w:r>
    </w:p>
  </w:footnote>
  <w:footnote w:type="continuationSeparator" w:id="0">
    <w:p w:rsidR="00687BE8" w:rsidRDefault="00687BE8" w:rsidP="000C2B9C">
      <w:pPr>
        <w:spacing w:after="0" w:line="240" w:lineRule="auto"/>
      </w:pPr>
      <w:r>
        <w:continuationSeparator/>
      </w:r>
    </w:p>
  </w:footnote>
  <w:footnote w:id="1">
    <w:p w:rsidR="00687BE8" w:rsidRDefault="00687BE8" w:rsidP="000C2B9C">
      <w:pPr>
        <w:pStyle w:val="Textodenotaderodap"/>
      </w:pPr>
      <w:r>
        <w:rPr>
          <w:rStyle w:val="Refdenotaderodap"/>
        </w:rPr>
        <w:footnoteRef/>
      </w:r>
      <w:r>
        <w:t xml:space="preserve"> </w:t>
      </w:r>
      <w:r w:rsidRPr="00CB61C4">
        <w:rPr>
          <w:sz w:val="18"/>
          <w:szCs w:val="18"/>
        </w:rPr>
        <w:t>O Peres foi aprovado pelo Decreto</w:t>
      </w:r>
      <w:r>
        <w:rPr>
          <w:sz w:val="18"/>
          <w:szCs w:val="18"/>
        </w:rPr>
        <w:t>-</w:t>
      </w:r>
      <w:r w:rsidRPr="00CB61C4">
        <w:rPr>
          <w:sz w:val="18"/>
          <w:szCs w:val="18"/>
        </w:rPr>
        <w:t>Lei n.º 67/2016, de 3 de novembro .</w:t>
      </w:r>
    </w:p>
  </w:footnote>
  <w:footnote w:id="2">
    <w:p w:rsidR="00687BE8" w:rsidRDefault="00687BE8" w:rsidP="000C2B9C">
      <w:pPr>
        <w:pStyle w:val="Textodenotaderodap"/>
        <w:jc w:val="both"/>
      </w:pPr>
      <w:r>
        <w:rPr>
          <w:rStyle w:val="Refdenotaderodap"/>
        </w:rPr>
        <w:footnoteRef/>
      </w:r>
      <w:r>
        <w:t xml:space="preserve"> A Lei nº 100/2017, de 28 de agosto, alterou o nº 3 do artigo 150º do CPPT passando o órgão de execução fiscal a ser o órgão periférico regional (Diretor de Finanças), não obstante o nº 5 do mesmo artigo permitir </w:t>
      </w:r>
      <w:r w:rsidRPr="000D5AB6">
        <w:t xml:space="preserve"> delegar a competência </w:t>
      </w:r>
      <w:r>
        <w:t>d</w:t>
      </w:r>
      <w:r w:rsidRPr="000D5AB6">
        <w:t>a execução fiscal em qualquer órgão periférico local da área de competência territorial</w:t>
      </w:r>
      <w:r>
        <w:t xml:space="preserve"> do Diretor de Finanças.</w:t>
      </w:r>
    </w:p>
  </w:footnote>
  <w:footnote w:id="3">
    <w:p w:rsidR="00687BE8" w:rsidRDefault="00687BE8" w:rsidP="000C2B9C">
      <w:pPr>
        <w:pStyle w:val="Textodenotaderodap"/>
      </w:pPr>
      <w:r>
        <w:rPr>
          <w:rStyle w:val="Refdenotaderodap"/>
        </w:rPr>
        <w:footnoteRef/>
      </w:r>
      <w:r>
        <w:t xml:space="preserve"> </w:t>
      </w:r>
      <w:r w:rsidRPr="0089206D">
        <w:rPr>
          <w:sz w:val="18"/>
          <w:szCs w:val="18"/>
        </w:rPr>
        <w:t>Valor atual da unidade de conta UC 102,00€</w:t>
      </w:r>
    </w:p>
  </w:footnote>
  <w:footnote w:id="4">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Preâmbulo do DL</w:t>
      </w:r>
      <w:r>
        <w:rPr>
          <w:sz w:val="18"/>
          <w:szCs w:val="18"/>
        </w:rPr>
        <w:t xml:space="preserve"> nº</w:t>
      </w:r>
      <w:r w:rsidRPr="0089206D">
        <w:rPr>
          <w:sz w:val="18"/>
          <w:szCs w:val="18"/>
        </w:rPr>
        <w:t xml:space="preserve"> 67/2016, de 3 de Junho.</w:t>
      </w:r>
    </w:p>
  </w:footnote>
  <w:footnote w:id="5">
    <w:p w:rsidR="00687BE8" w:rsidRDefault="00687BE8" w:rsidP="000C2B9C">
      <w:pPr>
        <w:pStyle w:val="Textodenotaderodap"/>
      </w:pPr>
      <w:r w:rsidRPr="0089206D">
        <w:rPr>
          <w:rStyle w:val="Refdenotaderodap"/>
          <w:sz w:val="18"/>
          <w:szCs w:val="18"/>
        </w:rPr>
        <w:footnoteRef/>
      </w:r>
      <w:r w:rsidRPr="0089206D">
        <w:rPr>
          <w:sz w:val="18"/>
          <w:szCs w:val="18"/>
        </w:rPr>
        <w:t xml:space="preserve"> O artigo 5º diz respeito às dívidas fiscais e o 8º às dívidas à Segurança Social.</w:t>
      </w:r>
    </w:p>
  </w:footnote>
  <w:footnote w:id="6">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Refira-se que o pagamento não impedia a continuação do curso dos processos judiciais.</w:t>
      </w:r>
    </w:p>
  </w:footnote>
  <w:footnote w:id="7">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Este artigo encontra-se no anexo 1 do presente trabalho.</w:t>
      </w:r>
    </w:p>
  </w:footnote>
  <w:footnote w:id="8">
    <w:p w:rsidR="00687BE8" w:rsidRDefault="00687BE8" w:rsidP="000C2B9C">
      <w:pPr>
        <w:pStyle w:val="Textodenotaderodap"/>
      </w:pPr>
      <w:r w:rsidRPr="0089206D">
        <w:rPr>
          <w:rStyle w:val="Refdenotaderodap"/>
          <w:sz w:val="18"/>
          <w:szCs w:val="18"/>
        </w:rPr>
        <w:footnoteRef/>
      </w:r>
      <w:r w:rsidRPr="0089206D">
        <w:rPr>
          <w:sz w:val="18"/>
          <w:szCs w:val="18"/>
        </w:rPr>
        <w:t xml:space="preserve"> O OE/2016 Lei n.º 7-A/2016, é de 30 de Março por força da tardia tomada de posse do governo surgido das eleições legislativas de 4 de outubro de 2015.</w:t>
      </w:r>
      <w:r>
        <w:t xml:space="preserve"> </w:t>
      </w:r>
    </w:p>
  </w:footnote>
  <w:footnote w:id="9">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Entenda-se custos pela reclamação em si mesma, como veremos adiante podem existir custos pela constituição de garantia.</w:t>
      </w:r>
    </w:p>
  </w:footnote>
  <w:footnote w:id="10">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A constituição de um advogado para o procedimento da reclamação graciosa é facultativa.</w:t>
      </w:r>
    </w:p>
  </w:footnote>
  <w:footnote w:id="11">
    <w:p w:rsidR="00687BE8" w:rsidRDefault="00687BE8" w:rsidP="000C2B9C">
      <w:pPr>
        <w:pStyle w:val="Textodenotaderodap"/>
      </w:pPr>
      <w:r w:rsidRPr="0089206D">
        <w:rPr>
          <w:rStyle w:val="Refdenotaderodap"/>
          <w:sz w:val="18"/>
          <w:szCs w:val="18"/>
        </w:rPr>
        <w:footnoteRef/>
      </w:r>
      <w:r w:rsidRPr="0089206D">
        <w:rPr>
          <w:sz w:val="18"/>
          <w:szCs w:val="18"/>
        </w:rPr>
        <w:t xml:space="preserve"> Vulgarmente conhecido como Serviço de Finanças.</w:t>
      </w:r>
    </w:p>
  </w:footnote>
  <w:footnote w:id="12">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Refira-se que o direito à impugnação encontra-se consagrado no artigo 95º da LGT.</w:t>
      </w:r>
    </w:p>
  </w:footnote>
  <w:footnote w:id="13">
    <w:p w:rsidR="00687BE8" w:rsidRPr="0089206D" w:rsidRDefault="00687BE8" w:rsidP="000C2B9C">
      <w:pPr>
        <w:pStyle w:val="Textodenotaderodap"/>
        <w:jc w:val="both"/>
        <w:rPr>
          <w:sz w:val="18"/>
          <w:szCs w:val="18"/>
        </w:rPr>
      </w:pPr>
      <w:r w:rsidRPr="0089206D">
        <w:rPr>
          <w:rStyle w:val="Refdenotaderodap"/>
          <w:sz w:val="18"/>
          <w:szCs w:val="18"/>
        </w:rPr>
        <w:footnoteRef/>
      </w:r>
      <w:r w:rsidRPr="0089206D">
        <w:rPr>
          <w:sz w:val="18"/>
          <w:szCs w:val="18"/>
        </w:rPr>
        <w:t xml:space="preserve"> Artigo 105º da LGT - A alçada dos tribunais tributários corresponde àquela que se encontra estabelecida para os tribunais judiciais de 1.ª instância.</w:t>
      </w:r>
    </w:p>
  </w:footnote>
  <w:footnote w:id="14">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Refira-se que este DL, regula o regime jurídico da arbitragem em matéria tributária, no uso da autorização legislativa concedida pelo artigo 124.º da Lei n.º 3-B/2010, de 28 de Abril.</w:t>
      </w:r>
    </w:p>
  </w:footnote>
  <w:footnote w:id="15">
    <w:p w:rsidR="00687BE8" w:rsidRDefault="00687BE8" w:rsidP="000C2B9C">
      <w:pPr>
        <w:pStyle w:val="Textodenotaderodap"/>
        <w:jc w:val="both"/>
      </w:pPr>
      <w:r w:rsidRPr="0089206D">
        <w:rPr>
          <w:rStyle w:val="Refdenotaderodap"/>
          <w:sz w:val="18"/>
          <w:szCs w:val="18"/>
        </w:rPr>
        <w:footnoteRef/>
      </w:r>
      <w:r w:rsidRPr="0089206D">
        <w:rPr>
          <w:sz w:val="18"/>
          <w:szCs w:val="18"/>
        </w:rPr>
        <w:t xml:space="preserve"> Com o novo CPA terminou o regime da ação administrativa comum e da ação administrativa especial, passando todos os processos do contencioso administrativo que tenham uma tramitação não urgente a correr termos sob a forma única da ação administrativa.</w:t>
      </w:r>
    </w:p>
  </w:footnote>
  <w:footnote w:id="16">
    <w:p w:rsidR="00687BE8" w:rsidRPr="0089206D" w:rsidRDefault="00687BE8" w:rsidP="000C2B9C">
      <w:pPr>
        <w:pStyle w:val="Textodenotaderodap"/>
        <w:rPr>
          <w:sz w:val="18"/>
          <w:szCs w:val="18"/>
        </w:rPr>
      </w:pPr>
      <w:r w:rsidRPr="0089206D">
        <w:rPr>
          <w:rStyle w:val="Refdenotaderodap"/>
          <w:sz w:val="18"/>
          <w:szCs w:val="18"/>
        </w:rPr>
        <w:footnoteRef/>
      </w:r>
      <w:r w:rsidRPr="0089206D">
        <w:rPr>
          <w:sz w:val="18"/>
          <w:szCs w:val="18"/>
        </w:rPr>
        <w:t xml:space="preserve"> Nº da nota de rodapé.</w:t>
      </w:r>
    </w:p>
  </w:footnote>
  <w:footnote w:id="17">
    <w:p w:rsidR="00687BE8" w:rsidRDefault="00687BE8" w:rsidP="000C2B9C">
      <w:pPr>
        <w:pStyle w:val="Textodenotaderodap"/>
      </w:pPr>
      <w:r>
        <w:rPr>
          <w:rStyle w:val="Refdenotaderodap"/>
        </w:rPr>
        <w:footnoteRef/>
      </w:r>
      <w:r>
        <w:t xml:space="preserve"> Não tendo em conta considerações de desvalorização face ao fenómeno da inflação.</w:t>
      </w:r>
    </w:p>
  </w:footnote>
  <w:footnote w:id="18">
    <w:p w:rsidR="00687BE8" w:rsidRDefault="00687BE8" w:rsidP="000C2B9C">
      <w:pPr>
        <w:pStyle w:val="Textodenotaderodap"/>
      </w:pPr>
      <w:r>
        <w:rPr>
          <w:rStyle w:val="Refdenotaderodap"/>
        </w:rPr>
        <w:footnoteRef/>
      </w:r>
      <w:r>
        <w:t xml:space="preserve"> Vide ponto - </w:t>
      </w:r>
      <w:r w:rsidRPr="00CA050C">
        <w:t>3.2.2</w:t>
      </w:r>
      <w:r w:rsidRPr="00CA050C">
        <w:tab/>
        <w:t>Constituição de hipoteca legal ou penhor</w:t>
      </w:r>
      <w:r>
        <w:t>.</w:t>
      </w:r>
    </w:p>
  </w:footnote>
  <w:footnote w:id="19">
    <w:p w:rsidR="00687BE8" w:rsidRDefault="00687BE8" w:rsidP="000C2B9C">
      <w:pPr>
        <w:pStyle w:val="Textodenotaderodap"/>
      </w:pPr>
      <w:r>
        <w:rPr>
          <w:rStyle w:val="Refdenotaderodap"/>
        </w:rPr>
        <w:footnoteRef/>
      </w:r>
      <w:r>
        <w:t xml:space="preserve"> No caso dos processos de execução fiscal, em que a sua proveniência são impostos, os juros de mora incidem diretamente sobre o valor do imposto </w:t>
      </w:r>
    </w:p>
  </w:footnote>
  <w:footnote w:id="20">
    <w:p w:rsidR="00687BE8" w:rsidRDefault="00687BE8" w:rsidP="000C2B9C">
      <w:pPr>
        <w:pStyle w:val="Textodenotaderodap"/>
      </w:pPr>
      <w:r>
        <w:rPr>
          <w:rStyle w:val="Refdenotaderodap"/>
        </w:rPr>
        <w:footnoteRef/>
      </w:r>
      <w:r>
        <w:t xml:space="preserve"> No entanto há que</w:t>
      </w:r>
      <w:r w:rsidRPr="00785650">
        <w:t xml:space="preserve"> salientar que no caso das coimas provenientes de processos de contra-ordenação os jur</w:t>
      </w:r>
      <w:r>
        <w:t>os de mora incidem apenas sobre o valor</w:t>
      </w:r>
      <w:r w:rsidRPr="00785650">
        <w:t xml:space="preserve"> das custas do processo de contra-ordenação</w:t>
      </w:r>
      <w:r>
        <w:t xml:space="preserve"> e não do valor da coima fixada. </w:t>
      </w:r>
    </w:p>
  </w:footnote>
  <w:footnote w:id="21">
    <w:p w:rsidR="00687BE8" w:rsidRDefault="00687BE8" w:rsidP="000C2B9C">
      <w:pPr>
        <w:pStyle w:val="Textodenotaderodap"/>
      </w:pPr>
      <w:r>
        <w:rPr>
          <w:rStyle w:val="Refdenotaderodap"/>
        </w:rPr>
        <w:footnoteRef/>
      </w:r>
      <w:r>
        <w:t xml:space="preserve"> </w:t>
      </w:r>
      <w:r w:rsidRPr="00427A7B">
        <w:t>Código das Custas Judiciais, aprovado pelo DL n.º 224-A/96, de 26/11, o C.P.C., aprovado pelo DL n.º 44129, de 28/12/1961, o C.P.P., aprovado pelo DL n.º 78/87, de 17/2, bem como o DL n.º 29/98, de 11/2, o DL n.º 269/98, de 1/9, e o DL n.º 200/20</w:t>
      </w:r>
    </w:p>
  </w:footnote>
  <w:footnote w:id="22">
    <w:p w:rsidR="00687BE8" w:rsidRDefault="00687BE8" w:rsidP="000C2B9C">
      <w:pPr>
        <w:pStyle w:val="Textodenotaderodap"/>
      </w:pPr>
      <w:r>
        <w:rPr>
          <w:rStyle w:val="Refdenotaderodap"/>
        </w:rPr>
        <w:footnoteRef/>
      </w:r>
      <w:r>
        <w:t xml:space="preserve"> Ver artigo 7º da Lei nº 100/2017.</w:t>
      </w:r>
    </w:p>
  </w:footnote>
  <w:footnote w:id="23">
    <w:p w:rsidR="00687BE8" w:rsidRDefault="00687BE8" w:rsidP="000C2B9C">
      <w:pPr>
        <w:pStyle w:val="Textodenotaderodap"/>
      </w:pPr>
      <w:r>
        <w:rPr>
          <w:rStyle w:val="Refdenotaderodap"/>
        </w:rPr>
        <w:footnoteRef/>
      </w:r>
      <w:r>
        <w:t xml:space="preserve"> Sendo a UC=102€ - 500 UC, são 51.000€</w:t>
      </w:r>
    </w:p>
  </w:footnote>
  <w:footnote w:id="24">
    <w:p w:rsidR="00687BE8" w:rsidRPr="0089206D" w:rsidRDefault="00687BE8" w:rsidP="000C2B9C">
      <w:pPr>
        <w:pStyle w:val="Textodenotaderodap"/>
        <w:jc w:val="both"/>
        <w:rPr>
          <w:sz w:val="18"/>
          <w:szCs w:val="18"/>
        </w:rPr>
      </w:pPr>
      <w:r w:rsidRPr="0089206D">
        <w:rPr>
          <w:rStyle w:val="Refdenotaderodap"/>
          <w:sz w:val="18"/>
          <w:szCs w:val="18"/>
        </w:rPr>
        <w:footnoteRef/>
      </w:r>
      <w:r w:rsidRPr="0089206D">
        <w:rPr>
          <w:sz w:val="18"/>
          <w:szCs w:val="18"/>
        </w:rPr>
        <w:t xml:space="preserve"> Nº 3 do artigo 85º do CPPT - A concessão da moratória ou a suspensão da execução fiscal fora dos casos previstos na lei, quando dolosas, são fundamento de responsabilidade tributária subsidiária.</w:t>
      </w:r>
    </w:p>
  </w:footnote>
  <w:footnote w:id="25">
    <w:p w:rsidR="00687BE8" w:rsidRDefault="00687BE8" w:rsidP="000C2B9C">
      <w:pPr>
        <w:pStyle w:val="Textodenotaderodap"/>
      </w:pPr>
      <w:r w:rsidRPr="0089206D">
        <w:rPr>
          <w:rStyle w:val="Refdenotaderodap"/>
          <w:sz w:val="18"/>
          <w:szCs w:val="18"/>
        </w:rPr>
        <w:footnoteRef/>
      </w:r>
      <w:r w:rsidRPr="0089206D">
        <w:rPr>
          <w:sz w:val="18"/>
          <w:szCs w:val="18"/>
        </w:rPr>
        <w:t xml:space="preserve"> O atual nº 11 do artigo 169º do CPPT, </w:t>
      </w:r>
      <w:r>
        <w:rPr>
          <w:sz w:val="18"/>
          <w:szCs w:val="18"/>
        </w:rPr>
        <w:t>correspondia</w:t>
      </w:r>
      <w:r w:rsidRPr="0089206D">
        <w:rPr>
          <w:sz w:val="18"/>
          <w:szCs w:val="18"/>
        </w:rPr>
        <w:t xml:space="preserve"> à data</w:t>
      </w:r>
      <w:r>
        <w:t xml:space="preserve"> ao nº 6.</w:t>
      </w:r>
    </w:p>
  </w:footnote>
  <w:footnote w:id="26">
    <w:p w:rsidR="00687BE8" w:rsidRDefault="00687BE8" w:rsidP="000C2B9C">
      <w:pPr>
        <w:pStyle w:val="Textodenotaderodap"/>
      </w:pPr>
      <w:r>
        <w:rPr>
          <w:rStyle w:val="Refdenotaderodap"/>
        </w:rPr>
        <w:footnoteRef/>
      </w:r>
      <w:r>
        <w:t xml:space="preserve"> Plano referido no ponto 2.1 do Capítulo 2 - </w:t>
      </w:r>
      <w:r w:rsidRPr="00C166B7">
        <w:t>Decreto Lei n.º 67 / 2016, de 3 de novembro .</w:t>
      </w:r>
    </w:p>
  </w:footnote>
  <w:footnote w:id="27">
    <w:p w:rsidR="00687BE8" w:rsidRDefault="00687BE8" w:rsidP="000C2B9C">
      <w:pPr>
        <w:pStyle w:val="Textodenotaderodap"/>
      </w:pPr>
      <w:r>
        <w:rPr>
          <w:rStyle w:val="Refdenotaderodap"/>
        </w:rPr>
        <w:footnoteRef/>
      </w:r>
      <w:r>
        <w:t xml:space="preserve"> </w:t>
      </w:r>
      <w:r w:rsidRPr="00C166B7">
        <w:t xml:space="preserve">Este artigo encontra-se </w:t>
      </w:r>
      <w:r>
        <w:t>no anexo 1 do presente trabalho e referido no ponto 2.3.2, do capítulo 2</w:t>
      </w:r>
    </w:p>
  </w:footnote>
  <w:footnote w:id="28">
    <w:p w:rsidR="00687BE8" w:rsidRDefault="00687BE8" w:rsidP="000C2B9C">
      <w:pPr>
        <w:pStyle w:val="Textodenotaderodap"/>
      </w:pPr>
      <w:r>
        <w:rPr>
          <w:rStyle w:val="Refdenotaderodap"/>
        </w:rPr>
        <w:footnoteRef/>
      </w:r>
      <w:r>
        <w:t xml:space="preserve"> </w:t>
      </w:r>
      <w:r w:rsidRPr="00AC2486">
        <w:t>Orçamento do Estado para 2017</w:t>
      </w:r>
    </w:p>
  </w:footnote>
  <w:footnote w:id="29">
    <w:p w:rsidR="00687BE8" w:rsidRDefault="00687BE8" w:rsidP="000C2B9C">
      <w:pPr>
        <w:pStyle w:val="Textodenotaderodap"/>
      </w:pPr>
      <w:r>
        <w:rPr>
          <w:rStyle w:val="Refdenotaderodap"/>
        </w:rPr>
        <w:footnoteRef/>
      </w:r>
      <w:r>
        <w:t xml:space="preserve"> </w:t>
      </w:r>
      <w:r w:rsidRPr="00E60162">
        <w:t>Orçamento do Estado para 2015</w:t>
      </w:r>
    </w:p>
  </w:footnote>
  <w:footnote w:id="30">
    <w:p w:rsidR="00687BE8" w:rsidRDefault="00687BE8" w:rsidP="000C2B9C">
      <w:pPr>
        <w:pStyle w:val="Textodenotaderodap"/>
      </w:pPr>
      <w:r>
        <w:rPr>
          <w:rStyle w:val="Refdenotaderodap"/>
        </w:rPr>
        <w:footnoteRef/>
      </w:r>
      <w:r>
        <w:t xml:space="preserve"> "</w:t>
      </w:r>
      <w:r w:rsidRPr="00651445">
        <w:rPr>
          <w:i/>
        </w:rPr>
        <w:t>1 - Constitui obrigação principal do sujeito passivo efectuar o pagamento da dívida tributária.</w:t>
      </w:r>
      <w:r>
        <w:rPr>
          <w:i/>
        </w:rPr>
        <w:t>"</w:t>
      </w:r>
    </w:p>
  </w:footnote>
  <w:footnote w:id="31">
    <w:p w:rsidR="00687BE8" w:rsidRDefault="00687BE8" w:rsidP="000C2B9C">
      <w:pPr>
        <w:pStyle w:val="Textodenotaderodap"/>
        <w:jc w:val="both"/>
      </w:pPr>
      <w:r>
        <w:rPr>
          <w:rStyle w:val="Refdenotaderodap"/>
        </w:rPr>
        <w:footnoteRef/>
      </w:r>
      <w:r>
        <w:t xml:space="preserve"> Não obstante o preceituado no nº8 do artigo 196º do CPPT, que não inclui no cálculo das prestações a considerar o valor dos juros de mora. </w:t>
      </w:r>
    </w:p>
    <w:p w:rsidR="00687BE8" w:rsidRPr="009713F6" w:rsidRDefault="00687BE8" w:rsidP="000C2B9C">
      <w:pPr>
        <w:pStyle w:val="Textodenotaderodap"/>
        <w:jc w:val="both"/>
        <w:rPr>
          <w:i/>
        </w:rPr>
      </w:pPr>
      <w:r w:rsidRPr="009713F6">
        <w:rPr>
          <w:i/>
        </w:rPr>
        <w:t>"8 - A importância a dividir em prestações não compreende os juros de mora, que continuam a vencer-se em relação à dívida exequenda incluída em cada prestação e até integral pagamento, os quais serão incluídos na guia passada pelo funcionário para pagamento conjuntamente com a prestação."</w:t>
      </w:r>
    </w:p>
  </w:footnote>
  <w:footnote w:id="32">
    <w:p w:rsidR="00687BE8" w:rsidRDefault="00687BE8" w:rsidP="000C2B9C">
      <w:pPr>
        <w:pStyle w:val="Textodenotaderodap"/>
      </w:pPr>
      <w:r>
        <w:rPr>
          <w:rStyle w:val="Refdenotaderodap"/>
        </w:rPr>
        <w:footnoteRef/>
      </w:r>
      <w:r>
        <w:t xml:space="preserve"> idem</w:t>
      </w:r>
    </w:p>
  </w:footnote>
  <w:footnote w:id="33">
    <w:p w:rsidR="00687BE8" w:rsidRDefault="00687BE8" w:rsidP="000C2B9C">
      <w:pPr>
        <w:pStyle w:val="Textodenotaderodap"/>
      </w:pPr>
      <w:r>
        <w:rPr>
          <w:rStyle w:val="Refdenotaderodap"/>
        </w:rPr>
        <w:footnoteRef/>
      </w:r>
      <w:r>
        <w:t xml:space="preserve"> Sendo cada UC 102,00€.</w:t>
      </w:r>
    </w:p>
  </w:footnote>
  <w:footnote w:id="34">
    <w:p w:rsidR="00687BE8" w:rsidRDefault="00687BE8" w:rsidP="000C2B9C">
      <w:pPr>
        <w:pStyle w:val="Textodenotaderodap"/>
        <w:jc w:val="both"/>
      </w:pPr>
      <w:r>
        <w:rPr>
          <w:rStyle w:val="Refdenotaderodap"/>
        </w:rPr>
        <w:footnoteRef/>
      </w:r>
      <w:r>
        <w:t xml:space="preserve"> No âmbito do Programa de Assistência Económica e Financeira a Portugal, acordado com a União Europeia, o Fundo Monetário Internacional e o Banco Central Europeu.</w:t>
      </w:r>
    </w:p>
  </w:footnote>
  <w:footnote w:id="35">
    <w:p w:rsidR="00687BE8" w:rsidRDefault="00687BE8" w:rsidP="000C2B9C">
      <w:pPr>
        <w:pStyle w:val="Textodenotaderodap"/>
      </w:pPr>
      <w:r>
        <w:rPr>
          <w:rStyle w:val="Refdenotaderodap"/>
        </w:rPr>
        <w:footnoteRef/>
      </w:r>
      <w:r>
        <w:t xml:space="preserve"> Nº 7 do artigo 196º do CPPT, r</w:t>
      </w:r>
      <w:r w:rsidRPr="006766A8">
        <w:t>edacção dada pela  Lei n.º 3-B/2010-28/04</w:t>
      </w:r>
      <w:r>
        <w:t>.</w:t>
      </w:r>
    </w:p>
  </w:footnote>
  <w:footnote w:id="36">
    <w:p w:rsidR="00687BE8" w:rsidRDefault="00687BE8" w:rsidP="000C2B9C">
      <w:pPr>
        <w:pStyle w:val="Textodenotaderodap"/>
      </w:pPr>
      <w:r>
        <w:rPr>
          <w:rStyle w:val="Refdenotaderodap"/>
        </w:rPr>
        <w:footnoteRef/>
      </w:r>
      <w:r>
        <w:t xml:space="preserve"> Fazenda Pública conforme designado na lei.</w:t>
      </w:r>
    </w:p>
  </w:footnote>
  <w:footnote w:id="37">
    <w:p w:rsidR="00687BE8" w:rsidRDefault="00687BE8" w:rsidP="000C2B9C">
      <w:pPr>
        <w:pStyle w:val="Textodenotaderodap"/>
      </w:pPr>
      <w:r>
        <w:rPr>
          <w:rStyle w:val="Refdenotaderodap"/>
        </w:rPr>
        <w:footnoteRef/>
      </w:r>
      <w:r>
        <w:t xml:space="preserve"> O nº2 deste artigo foi revogado.</w:t>
      </w:r>
    </w:p>
  </w:footnote>
  <w:footnote w:id="38">
    <w:p w:rsidR="00687BE8" w:rsidRDefault="00687BE8" w:rsidP="000C2B9C">
      <w:pPr>
        <w:pStyle w:val="Textodenotaderodap"/>
        <w:jc w:val="both"/>
      </w:pPr>
      <w:r>
        <w:rPr>
          <w:rStyle w:val="Refdenotaderodap"/>
        </w:rPr>
        <w:footnoteRef/>
      </w:r>
      <w:r>
        <w:t xml:space="preserve"> Este é um expediente frequentemente utilizado quer pelo insucesso de algumas negociações no âmbito do SIREVE, quer porque algumas vezes as empresas entram em processos de insolvência, solicitados por terceiros, ou às vezes pela própria empresa.</w:t>
      </w:r>
    </w:p>
  </w:footnote>
  <w:footnote w:id="39">
    <w:p w:rsidR="00687BE8" w:rsidRDefault="00687BE8" w:rsidP="000C2B9C">
      <w:pPr>
        <w:pStyle w:val="Textodenotaderodap"/>
      </w:pPr>
      <w:r>
        <w:rPr>
          <w:rStyle w:val="Refdenotaderodap"/>
        </w:rPr>
        <w:footnoteRef/>
      </w:r>
      <w:r>
        <w:t xml:space="preserve"> </w:t>
      </w:r>
      <w:r w:rsidRPr="009C0400">
        <w:t xml:space="preserve">  DL n.º 53/2004, de 18 de Março</w:t>
      </w:r>
      <w:r>
        <w:t xml:space="preserve">, com as alterações dadas pela </w:t>
      </w:r>
      <w:r w:rsidRPr="009C0400">
        <w:t>Lei n.º 16/2012, de 20/04</w:t>
      </w:r>
      <w:r>
        <w:t>.</w:t>
      </w:r>
    </w:p>
  </w:footnote>
  <w:footnote w:id="40">
    <w:p w:rsidR="00687BE8" w:rsidRDefault="00687BE8" w:rsidP="000C2B9C">
      <w:pPr>
        <w:pStyle w:val="Textodenotaderodap"/>
      </w:pPr>
      <w:r>
        <w:rPr>
          <w:rStyle w:val="Refdenotaderodap"/>
        </w:rPr>
        <w:footnoteRef/>
      </w:r>
      <w:r>
        <w:t xml:space="preserve"> Não entramos em considerações de atuações de ordem fraudulenta ou similares, por parte das empresas, por se tratar de matéria de âmbito criminal e esta estar fora do alcance deste trabalho.  </w:t>
      </w:r>
    </w:p>
  </w:footnote>
  <w:footnote w:id="41">
    <w:p w:rsidR="00687BE8" w:rsidRDefault="00687BE8" w:rsidP="000C2B9C">
      <w:pPr>
        <w:pStyle w:val="Textodenotaderodap"/>
        <w:jc w:val="both"/>
      </w:pPr>
      <w:r>
        <w:rPr>
          <w:rStyle w:val="Refdenotaderodap"/>
        </w:rPr>
        <w:footnoteRef/>
      </w:r>
      <w:r>
        <w:t xml:space="preserve"> Naturalmente muitas outras condições poderão surgir e poderíamos ser exaustivos nessa análise, mas destacámos estas três por serem das mais frequentes.</w:t>
      </w:r>
    </w:p>
  </w:footnote>
  <w:footnote w:id="42">
    <w:p w:rsidR="00687BE8" w:rsidRDefault="00687BE8" w:rsidP="000C2B9C">
      <w:pPr>
        <w:pStyle w:val="Textodenotaderodap"/>
        <w:jc w:val="both"/>
      </w:pPr>
      <w:r>
        <w:rPr>
          <w:rStyle w:val="Refdenotaderodap"/>
        </w:rPr>
        <w:footnoteRef/>
      </w:r>
      <w:r>
        <w:t xml:space="preserve"> Refira-se que quando as empresas recorrem a estes mecanismos, normalmente já não têm possibilidade de se financiar perante a banca (na maior parte dos casos os bancos apresentam-se como credores nestes processos), pelo que o recurso a garantias bancárias é uma impossibilidade.</w:t>
      </w:r>
    </w:p>
  </w:footnote>
  <w:footnote w:id="43">
    <w:p w:rsidR="00687BE8" w:rsidRDefault="00687BE8" w:rsidP="000C2B9C">
      <w:pPr>
        <w:pStyle w:val="Textodenotaderodap"/>
        <w:jc w:val="both"/>
      </w:pPr>
      <w:r>
        <w:rPr>
          <w:rStyle w:val="Refdenotaderodap"/>
        </w:rPr>
        <w:footnoteRef/>
      </w:r>
      <w:r>
        <w:t xml:space="preserve"> Resultado da nossa experiência no terreno existem os dois tipos de empresas, as que têm possibilidades de constituir hipotecas ou penhores mercantis e aquelas que nada têm, para além do seu negócio. </w:t>
      </w:r>
    </w:p>
  </w:footnote>
  <w:footnote w:id="44">
    <w:p w:rsidR="00687BE8" w:rsidRDefault="00687BE8" w:rsidP="000C2B9C">
      <w:pPr>
        <w:pStyle w:val="Textodenotaderodap"/>
      </w:pPr>
      <w:r>
        <w:rPr>
          <w:rStyle w:val="Refdenotaderodap"/>
        </w:rPr>
        <w:footnoteRef/>
      </w:r>
      <w:r>
        <w:t xml:space="preserve"> Ainda que aqui apenas nos importe o crédito tributário e o credor público, não podemos deixar de considerar que o mesmo risco se aplica aos credores privados.</w:t>
      </w:r>
    </w:p>
  </w:footnote>
  <w:footnote w:id="45">
    <w:p w:rsidR="00687BE8" w:rsidRDefault="00687BE8" w:rsidP="000C2B9C">
      <w:pPr>
        <w:pStyle w:val="Textodenotaderodap"/>
      </w:pPr>
      <w:r>
        <w:rPr>
          <w:rStyle w:val="Refdenotaderodap"/>
        </w:rPr>
        <w:footnoteRef/>
      </w:r>
      <w:r>
        <w:t xml:space="preserve"> Este segmento de texto foi elaborado na 1ª quinzena de setembro de 2017.</w:t>
      </w:r>
    </w:p>
  </w:footnote>
  <w:footnote w:id="46">
    <w:p w:rsidR="00687BE8" w:rsidRDefault="00687BE8" w:rsidP="000C2B9C">
      <w:pPr>
        <w:pStyle w:val="Textodenotaderodap"/>
      </w:pPr>
      <w:r>
        <w:rPr>
          <w:rStyle w:val="Refdenotaderodap"/>
        </w:rPr>
        <w:footnoteRef/>
      </w:r>
      <w:r>
        <w:t xml:space="preserve"> Parte final do nº5 do artigo 196º do CPPT.</w:t>
      </w:r>
    </w:p>
  </w:footnote>
  <w:footnote w:id="47">
    <w:p w:rsidR="00687BE8" w:rsidRDefault="00687BE8" w:rsidP="000C2B9C">
      <w:pPr>
        <w:pStyle w:val="Textodenotaderodap"/>
      </w:pPr>
      <w:r>
        <w:rPr>
          <w:rStyle w:val="Refdenotaderodap"/>
        </w:rPr>
        <w:footnoteRef/>
      </w:r>
      <w:r>
        <w:t xml:space="preserve"> Exceto na renumeração, uma vez que era o antigo nº 8.</w:t>
      </w:r>
    </w:p>
  </w:footnote>
  <w:footnote w:id="48">
    <w:p w:rsidR="00687BE8" w:rsidRDefault="00687BE8" w:rsidP="000C2B9C">
      <w:pPr>
        <w:pStyle w:val="Textodenotaderodap"/>
        <w:jc w:val="both"/>
      </w:pPr>
      <w:r>
        <w:rPr>
          <w:rStyle w:val="Refdenotaderodap"/>
        </w:rPr>
        <w:footnoteRef/>
      </w:r>
      <w:r>
        <w:t xml:space="preserve"> Por mera curiosidade, refira-se que quando instaurados os planos de pagamentos em prestações, no sistema informático, na 1ª prestação são calculados os juros de mora vencidos e na última prestação os juros remanescentes por calcular, sendo que as prestações intermédias têm o valor de juro de mora calculado mês a mês. </w:t>
      </w:r>
    </w:p>
  </w:footnote>
  <w:footnote w:id="49">
    <w:p w:rsidR="00687BE8" w:rsidRDefault="00687BE8" w:rsidP="000C2B9C">
      <w:pPr>
        <w:pStyle w:val="Textodenotaderodap"/>
      </w:pPr>
      <w:r>
        <w:rPr>
          <w:rStyle w:val="Refdenotaderodap"/>
        </w:rPr>
        <w:footnoteRef/>
      </w:r>
      <w:r>
        <w:t xml:space="preserve"> O ponto II, do sumário não existe no original.</w:t>
      </w:r>
    </w:p>
  </w:footnote>
  <w:footnote w:id="50">
    <w:p w:rsidR="00687BE8" w:rsidRDefault="00687BE8" w:rsidP="000C2B9C">
      <w:pPr>
        <w:pStyle w:val="Textodenotaderodap"/>
      </w:pPr>
      <w:r>
        <w:rPr>
          <w:rStyle w:val="Refdenotaderodap"/>
        </w:rPr>
        <w:footnoteRef/>
      </w:r>
      <w:r>
        <w:t xml:space="preserve"> Vide ANEXO 3, ofício circulado 60077.</w:t>
      </w:r>
    </w:p>
  </w:footnote>
  <w:footnote w:id="51">
    <w:p w:rsidR="00687BE8" w:rsidRDefault="00687BE8" w:rsidP="000C2B9C">
      <w:pPr>
        <w:pStyle w:val="Textodenotaderodap"/>
        <w:jc w:val="both"/>
      </w:pPr>
      <w:r>
        <w:rPr>
          <w:rStyle w:val="Refdenotaderodap"/>
        </w:rPr>
        <w:footnoteRef/>
      </w:r>
      <w:r>
        <w:t xml:space="preserve"> Nº da nota de rodapé do texto original que aqui transcrevemos do original do Acórdão do STA proferido no processo n.º 01499/12 de 23 de janeiro de 2013, por se tratar de grande relevância: " </w:t>
      </w:r>
      <w:r w:rsidRPr="00367B0D">
        <w:t>Para que possa ser deferida a dispensa de prestação de garantia nos termos do artigo 52º, nº 4 da Lei Geral Tributária é necessário que a prestação da garantia cause prejuízo irreparável ao executado ou que seja manifesta a sua falta de meios económicos, sendo que, em qualquer um dos casos, a lei ainda impõe que haja uma situação de inexistência de bens ou sua insuficiência para pagamento da dívida exequenda e acrescido e que essa inexistência ou insuficiência não seja imputável ao executado.</w:t>
      </w:r>
    </w:p>
  </w:footnote>
  <w:footnote w:id="52">
    <w:p w:rsidR="00687BE8" w:rsidRDefault="00687BE8" w:rsidP="000C2B9C">
      <w:pPr>
        <w:pStyle w:val="Textodenotaderodap"/>
      </w:pPr>
      <w:r>
        <w:rPr>
          <w:rStyle w:val="Refdenotaderodap"/>
        </w:rPr>
        <w:footnoteRef/>
      </w:r>
      <w:r>
        <w:t xml:space="preserve"> Lei do Orçamento de Estado para 2007.</w:t>
      </w:r>
    </w:p>
  </w:footnote>
  <w:footnote w:id="53">
    <w:p w:rsidR="00687BE8" w:rsidRDefault="00687BE8" w:rsidP="000C2B9C">
      <w:pPr>
        <w:pStyle w:val="Textodenotaderodap"/>
      </w:pPr>
      <w:r>
        <w:rPr>
          <w:rStyle w:val="Refdenotaderodap"/>
        </w:rPr>
        <w:footnoteRef/>
      </w:r>
      <w:r>
        <w:t xml:space="preserve"> Não esquecendo que a lei nº 100/2017, de 28 de agosto, veio dispensar automaticamente a prestação de garantia.</w:t>
      </w:r>
    </w:p>
  </w:footnote>
  <w:footnote w:id="54">
    <w:p w:rsidR="00687BE8" w:rsidRDefault="00687BE8" w:rsidP="000C2B9C">
      <w:pPr>
        <w:pStyle w:val="Textodenotaderodap"/>
      </w:pPr>
      <w:r>
        <w:rPr>
          <w:rStyle w:val="Refdenotaderodap"/>
        </w:rPr>
        <w:footnoteRef/>
      </w:r>
      <w:r>
        <w:t xml:space="preserve"> </w:t>
      </w:r>
      <w:r w:rsidRPr="000C3E9B">
        <w:t>Internal Revenue Service</w:t>
      </w:r>
      <w:r>
        <w:t xml:space="preserve">. Homólogo da AT nos EUA </w:t>
      </w:r>
    </w:p>
  </w:footnote>
  <w:footnote w:id="55">
    <w:p w:rsidR="00687BE8" w:rsidRDefault="00687BE8" w:rsidP="000C2B9C">
      <w:pPr>
        <w:pStyle w:val="Textodenotaderodap"/>
      </w:pPr>
      <w:r>
        <w:rPr>
          <w:rStyle w:val="Refdenotaderodap"/>
        </w:rPr>
        <w:footnoteRef/>
      </w:r>
      <w:r>
        <w:t xml:space="preserve"> Usamos esta nomenclatura para diferenciar a LGT espanhola da portuguesa.</w:t>
      </w:r>
    </w:p>
  </w:footnote>
  <w:footnote w:id="56">
    <w:p w:rsidR="00687BE8" w:rsidRDefault="00687BE8" w:rsidP="000C2B9C">
      <w:pPr>
        <w:pStyle w:val="Textodenotaderodap"/>
      </w:pPr>
      <w:r>
        <w:rPr>
          <w:rStyle w:val="Refdenotaderodap"/>
        </w:rPr>
        <w:footnoteRef/>
      </w:r>
      <w:r>
        <w:t xml:space="preserve"> </w:t>
      </w:r>
      <w:r w:rsidRPr="00431361">
        <w:t>Ley General Tributaria y sus reglamentos</w:t>
      </w:r>
    </w:p>
  </w:footnote>
  <w:footnote w:id="57">
    <w:p w:rsidR="00687BE8" w:rsidRDefault="00687BE8" w:rsidP="000C2B9C">
      <w:pPr>
        <w:pStyle w:val="Textodenotaderodap"/>
      </w:pPr>
      <w:r>
        <w:rPr>
          <w:rStyle w:val="Refdenotaderodap"/>
        </w:rPr>
        <w:footnoteRef/>
      </w:r>
      <w:r>
        <w:t xml:space="preserve"> Na leitura e tradução que fizemos, parece-nos que é cumulativo, ou seja para além do primeiro requisito que pode ser salário, crédito ou um bem, terá de se juntar uma garantia bancária.</w:t>
      </w:r>
    </w:p>
  </w:footnote>
  <w:footnote w:id="58">
    <w:p w:rsidR="00687BE8" w:rsidRDefault="00687BE8" w:rsidP="000C2B9C">
      <w:pPr>
        <w:pStyle w:val="Textodenotaderodap"/>
      </w:pPr>
      <w:r>
        <w:rPr>
          <w:rStyle w:val="Refdenotaderodap"/>
        </w:rPr>
        <w:footnoteRef/>
      </w:r>
      <w:r>
        <w:t xml:space="preserve"> Estas condições são enumeradas no artigo 52 da LGT_E</w:t>
      </w:r>
    </w:p>
  </w:footnote>
  <w:footnote w:id="59">
    <w:p w:rsidR="00687BE8" w:rsidRDefault="00687BE8" w:rsidP="000C2B9C">
      <w:pPr>
        <w:pStyle w:val="Textodenotaderodap"/>
      </w:pPr>
      <w:r>
        <w:rPr>
          <w:rStyle w:val="Refdenotaderodap"/>
        </w:rPr>
        <w:footnoteRef/>
      </w:r>
      <w:r>
        <w:t xml:space="preserve"> </w:t>
      </w:r>
      <w:r w:rsidRPr="0053024F">
        <w:t>Hacienda pública</w:t>
      </w:r>
    </w:p>
  </w:footnote>
  <w:footnote w:id="60">
    <w:p w:rsidR="00687BE8" w:rsidRDefault="00687BE8" w:rsidP="000C2B9C">
      <w:pPr>
        <w:pStyle w:val="Textodenotaderodap"/>
      </w:pPr>
      <w:r>
        <w:rPr>
          <w:rStyle w:val="Refdenotaderodap"/>
        </w:rPr>
        <w:footnoteRef/>
      </w:r>
      <w:r>
        <w:t xml:space="preserve"> Como se pode ver aproxima-se do disposto no nº 6 do artigo 199º do CPPT. Não havendo qualquer referência a eventuais custas ou ao limite dos cinco anos, tal como preceituado na norma portuguesa supra referida.</w:t>
      </w:r>
    </w:p>
  </w:footnote>
  <w:footnote w:id="61">
    <w:p w:rsidR="00687BE8" w:rsidRDefault="00687BE8" w:rsidP="000C2B9C">
      <w:pPr>
        <w:pStyle w:val="Textodenotaderodap"/>
      </w:pPr>
      <w:r>
        <w:rPr>
          <w:rStyle w:val="Refdenotaderodap"/>
        </w:rPr>
        <w:footnoteRef/>
      </w:r>
      <w:r>
        <w:t xml:space="preserve"> Não obstante as alterações da lei 100/2017, de 28 de agosto.</w:t>
      </w:r>
    </w:p>
  </w:footnote>
  <w:footnote w:id="62">
    <w:p w:rsidR="00687BE8" w:rsidRDefault="00687BE8" w:rsidP="000C2B9C">
      <w:pPr>
        <w:pStyle w:val="Textodenotaderodap"/>
      </w:pPr>
      <w:r>
        <w:rPr>
          <w:rStyle w:val="Refdenotaderodap"/>
        </w:rPr>
        <w:footnoteRef/>
      </w:r>
      <w:r>
        <w:t xml:space="preserve"> Definição do portal tributário brasileiro - </w:t>
      </w:r>
      <w:r w:rsidRPr="00A0032E">
        <w:t>http://www.portaltributario.com.br/obras/ctn.htm</w:t>
      </w:r>
    </w:p>
  </w:footnote>
  <w:footnote w:id="63">
    <w:p w:rsidR="00687BE8" w:rsidRPr="00DB6378" w:rsidRDefault="00687BE8" w:rsidP="000C2B9C">
      <w:pPr>
        <w:pStyle w:val="Textodenotaderodap"/>
      </w:pPr>
      <w:r>
        <w:rPr>
          <w:rStyle w:val="Refdenotaderodap"/>
        </w:rPr>
        <w:footnoteRef/>
      </w:r>
      <w:r>
        <w:t xml:space="preserve"> MACHADO, Hugo de Brito. </w:t>
      </w:r>
      <w:r w:rsidRPr="00DB6378">
        <w:rPr>
          <w:i/>
        </w:rPr>
        <w:t>Curso de direito tributário</w:t>
      </w:r>
      <w:r>
        <w:t>, 29.ed., p.185.</w:t>
      </w:r>
    </w:p>
  </w:footnote>
  <w:footnote w:id="64">
    <w:p w:rsidR="00687BE8" w:rsidRPr="00DB6378" w:rsidRDefault="00687BE8" w:rsidP="000C2B9C">
      <w:pPr>
        <w:pStyle w:val="Textodenotaderodap"/>
      </w:pPr>
      <w:r>
        <w:rPr>
          <w:rStyle w:val="Refdenotaderodap"/>
        </w:rPr>
        <w:footnoteRef/>
      </w:r>
      <w:r>
        <w:t xml:space="preserve"> AMARO, Luciano. </w:t>
      </w:r>
      <w:r w:rsidRPr="00DB6378">
        <w:rPr>
          <w:i/>
        </w:rPr>
        <w:t>Direito tributário brasileiro</w:t>
      </w:r>
      <w:r>
        <w:t>, 14.ed., p.381.</w:t>
      </w:r>
    </w:p>
  </w:footnote>
  <w:footnote w:id="65">
    <w:p w:rsidR="00687BE8" w:rsidRDefault="00687BE8" w:rsidP="000C2B9C">
      <w:pPr>
        <w:pStyle w:val="Textodenotaderodap"/>
      </w:pPr>
      <w:r>
        <w:rPr>
          <w:rStyle w:val="Refdenotaderodap"/>
        </w:rPr>
        <w:footnoteRef/>
      </w:r>
      <w:r>
        <w:t xml:space="preserve"> Lei Complementar</w:t>
      </w:r>
    </w:p>
  </w:footnote>
  <w:footnote w:id="66">
    <w:p w:rsidR="00687BE8" w:rsidRDefault="00687BE8" w:rsidP="000C2B9C">
      <w:pPr>
        <w:pStyle w:val="Textodenotaderodap"/>
      </w:pPr>
      <w:r>
        <w:rPr>
          <w:rStyle w:val="Refdenotaderodap"/>
        </w:rPr>
        <w:footnoteRef/>
      </w:r>
      <w:r>
        <w:t xml:space="preserve"> Nossa nota para introduzir o artigo 138º do CTN: "Art. 138. A responsabilidade é excluída pela denúncia espontânea da infração, acompanhada, se for o caso, do pagamento do tributo devido e dos juros de mora, ou do depósito da importância arbitrada pela autoridade administrativa, quando o montante do tributo dependa de apuração.</w:t>
      </w:r>
    </w:p>
    <w:p w:rsidR="00687BE8" w:rsidRDefault="00687BE8" w:rsidP="000C2B9C">
      <w:pPr>
        <w:pStyle w:val="Textodenotaderodap"/>
      </w:pPr>
    </w:p>
    <w:p w:rsidR="00687BE8" w:rsidRPr="00603109" w:rsidRDefault="00687BE8" w:rsidP="000C2B9C">
      <w:pPr>
        <w:pStyle w:val="Textodenotaderodap"/>
        <w:rPr>
          <w:i/>
        </w:rPr>
      </w:pPr>
      <w:r>
        <w:t xml:space="preserve">        Parágrafo único. Não se considera espontânea a denúncia apresentada após o início de qualquer procedimento administrativo ou medida de fiscalização, relacionados com a infração.</w:t>
      </w:r>
    </w:p>
  </w:footnote>
  <w:footnote w:id="67">
    <w:p w:rsidR="00687BE8" w:rsidRDefault="00687BE8" w:rsidP="000C2B9C">
      <w:pPr>
        <w:pStyle w:val="Textodenotaderodap"/>
      </w:pPr>
      <w:r>
        <w:rPr>
          <w:rStyle w:val="Refdenotaderodap"/>
        </w:rPr>
        <w:footnoteRef/>
      </w:r>
      <w:r>
        <w:t xml:space="preserve"> </w:t>
      </w:r>
      <w:r w:rsidRPr="007221D0">
        <w:t>(Sabbag,E. (2017: ?). Manual de direito tributário. São Paulo: Saraiva).</w:t>
      </w:r>
    </w:p>
  </w:footnote>
  <w:footnote w:id="68">
    <w:p w:rsidR="00687BE8" w:rsidRDefault="00687BE8" w:rsidP="000C2B9C">
      <w:pPr>
        <w:pStyle w:val="Textodenotaderodap"/>
      </w:pPr>
      <w:r>
        <w:rPr>
          <w:rStyle w:val="Refdenotaderodap"/>
        </w:rPr>
        <w:footnoteRef/>
      </w:r>
      <w:r>
        <w:t xml:space="preserve"> Nota nossa, </w:t>
      </w:r>
      <w:bookmarkStart w:id="67" w:name="_Hlk499677942"/>
      <w:r>
        <w:t xml:space="preserve">CF – Constituição Federal </w:t>
      </w:r>
      <w:bookmarkEnd w:id="67"/>
      <w:r>
        <w:t>(o parágrafo mencionado no texto, é o que permite ao governo federal brasileiro instituir impostos.</w:t>
      </w:r>
    </w:p>
  </w:footnote>
  <w:footnote w:id="69">
    <w:p w:rsidR="00687BE8" w:rsidRDefault="00687BE8" w:rsidP="000C2B9C">
      <w:pPr>
        <w:pStyle w:val="Textodenotaderodap"/>
      </w:pPr>
      <w:r>
        <w:rPr>
          <w:rStyle w:val="Refdenotaderodap"/>
        </w:rPr>
        <w:footnoteRef/>
      </w:r>
      <w:r>
        <w:t xml:space="preserve"> Em itálico no original</w:t>
      </w:r>
    </w:p>
  </w:footnote>
  <w:footnote w:id="70">
    <w:p w:rsidR="00687BE8" w:rsidRDefault="00687BE8" w:rsidP="000C2B9C">
      <w:pPr>
        <w:pStyle w:val="Textodenotaderodap"/>
        <w:jc w:val="both"/>
      </w:pPr>
      <w:r>
        <w:rPr>
          <w:rStyle w:val="Refdenotaderodap"/>
        </w:rPr>
        <w:footnoteRef/>
      </w:r>
      <w:r>
        <w:t xml:space="preserve"> Ainda que sigam regras diferentes da norma portuguesa, uma vez que no CPPT, só pelo simples facto de se pedir um pagamento em prestações, não implica uma taxa adicional. Ainda que a redução da taxa de justiça, nos casos de pagamento prestacional não exista, ao contrário do pagamento integral que pode ter redução da taxa de justiça.</w:t>
      </w:r>
    </w:p>
  </w:footnote>
  <w:footnote w:id="71">
    <w:p w:rsidR="00687BE8" w:rsidRDefault="00687BE8" w:rsidP="000C2B9C">
      <w:pPr>
        <w:pStyle w:val="Textodenotaderodap"/>
      </w:pPr>
      <w:r>
        <w:rPr>
          <w:rStyle w:val="Refdenotaderodap"/>
        </w:rPr>
        <w:footnoteRef/>
      </w:r>
      <w:r>
        <w:t xml:space="preserve"> No CPPT, por norma os valores a considerar para as empresas são o dobro dos contribuintes singulares</w:t>
      </w:r>
    </w:p>
  </w:footnote>
  <w:footnote w:id="72">
    <w:p w:rsidR="00687BE8" w:rsidRDefault="00687BE8" w:rsidP="000C2B9C">
      <w:pPr>
        <w:pStyle w:val="Textodenotaderodap"/>
      </w:pPr>
      <w:r>
        <w:rPr>
          <w:rStyle w:val="Refdenotaderodap"/>
        </w:rPr>
        <w:footnoteRef/>
      </w:r>
      <w:r>
        <w:t xml:space="preserve"> Estas custas poderão ter haver com registos junto das Conservatórias ou alguns casos de penhora sujeitas a uma avaliação pericial.</w:t>
      </w:r>
    </w:p>
  </w:footnote>
  <w:footnote w:id="73">
    <w:p w:rsidR="00687BE8" w:rsidRDefault="00687BE8" w:rsidP="000C2B9C">
      <w:pPr>
        <w:pStyle w:val="Textodenotaderodap"/>
      </w:pPr>
      <w:r>
        <w:rPr>
          <w:rStyle w:val="Refdenotaderodap"/>
        </w:rPr>
        <w:footnoteRef/>
      </w:r>
      <w:r>
        <w:t xml:space="preserve"> Somatório dos cinco anos de juros de mora.</w:t>
      </w:r>
    </w:p>
  </w:footnote>
  <w:footnote w:id="74">
    <w:p w:rsidR="00687BE8" w:rsidRPr="00CB6718" w:rsidRDefault="00687BE8" w:rsidP="000C2B9C">
      <w:pPr>
        <w:pStyle w:val="Textodenotaderodap"/>
        <w:jc w:val="both"/>
        <w:rPr>
          <w:i/>
        </w:rPr>
      </w:pPr>
      <w:r>
        <w:rPr>
          <w:rStyle w:val="Refdenotaderodap"/>
        </w:rPr>
        <w:footnoteRef/>
      </w:r>
      <w:r>
        <w:t xml:space="preserve"> "</w:t>
      </w:r>
      <w:r w:rsidRPr="00CB6718">
        <w:rPr>
          <w:i/>
        </w:rPr>
        <w:t>iv) No caso de o interessado prestar garantia após o decurso do prazo previsto no n.' 7 do artigo. 169.' do CPPT (15 dias após apresentação do meio de reacção), ou, quando se verifique a sua insuficiência,</w:t>
      </w:r>
      <w:r>
        <w:rPr>
          <w:i/>
        </w:rPr>
        <w:t xml:space="preserve"> </w:t>
      </w:r>
      <w:r w:rsidRPr="00CB6718">
        <w:rPr>
          <w:i/>
        </w:rPr>
        <w:t>se vier a reforçar/prestar nova garantia após o termo do prazo previsto no n.' 8 do artigo. 169.' do CPPT (15 dias após notificação enviada para o efeito, também previsto no n.' 10 do artigo. 199.' do CPPT para o pagamento em prestações), até à data da apresentação efectiva da garantia, desde que ainda se encontre pendente algum dos meios de reacção previstos no n.' 1 do artigo 169.' do CPPT, ou ainda se encontre a decorrer o plano de pagamento em prestações.</w:t>
      </w:r>
      <w:r>
        <w:rPr>
          <w:i/>
        </w:rPr>
        <w:t>"</w:t>
      </w:r>
    </w:p>
  </w:footnote>
  <w:footnote w:id="75">
    <w:p w:rsidR="00687BE8" w:rsidRDefault="00687BE8" w:rsidP="000C2B9C">
      <w:pPr>
        <w:pStyle w:val="Textodenotaderodap"/>
      </w:pPr>
      <w:r>
        <w:rPr>
          <w:rStyle w:val="Refdenotaderodap"/>
        </w:rPr>
        <w:footnoteRef/>
      </w:r>
      <w:r>
        <w:t xml:space="preserve"> Utilizamos valores aproximados e não reais para afastar qualquer possibilidade de quebra de sigilo fiscal, nos termos do artigo 64º da LGT.</w:t>
      </w:r>
    </w:p>
  </w:footnote>
  <w:footnote w:id="76">
    <w:p w:rsidR="00687BE8" w:rsidRDefault="00687BE8" w:rsidP="000C2B9C">
      <w:pPr>
        <w:pStyle w:val="Textodenotaderodap"/>
      </w:pPr>
      <w:r>
        <w:rPr>
          <w:rStyle w:val="Refdenotaderodap"/>
        </w:rPr>
        <w:footnoteRef/>
      </w:r>
      <w:r>
        <w:t xml:space="preserve"> R</w:t>
      </w:r>
      <w:r w:rsidRPr="00BD34AF">
        <w:t>egime dos juros de mora das dívidas ao Estado e outras entidades públicas</w:t>
      </w:r>
      <w:r>
        <w:t>.</w:t>
      </w:r>
    </w:p>
  </w:footnote>
  <w:footnote w:id="77">
    <w:p w:rsidR="00687BE8" w:rsidRDefault="00687BE8" w:rsidP="000C2B9C">
      <w:pPr>
        <w:pStyle w:val="Textodenotaderodap"/>
      </w:pPr>
      <w:r>
        <w:rPr>
          <w:rStyle w:val="Refdenotaderodap"/>
        </w:rPr>
        <w:footnoteRef/>
      </w:r>
      <w:r>
        <w:t xml:space="preserve"> Informação elaborada pelo autor deste trabalho.</w:t>
      </w:r>
    </w:p>
  </w:footnote>
  <w:footnote w:id="78">
    <w:p w:rsidR="00687BE8" w:rsidRDefault="00687BE8" w:rsidP="000C2B9C">
      <w:pPr>
        <w:pStyle w:val="Textodenotaderodap"/>
      </w:pPr>
      <w:r>
        <w:rPr>
          <w:rStyle w:val="Refdenotaderodap"/>
        </w:rPr>
        <w:footnoteRef/>
      </w:r>
      <w:r>
        <w:t xml:space="preserve"> Orçamento de Estado para 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C20"/>
    <w:multiLevelType w:val="multilevel"/>
    <w:tmpl w:val="8FD08E52"/>
    <w:lvl w:ilvl="0">
      <w:start w:val="7"/>
      <w:numFmt w:val="decimal"/>
      <w:lvlText w:val="%1"/>
      <w:lvlJc w:val="left"/>
      <w:pPr>
        <w:ind w:left="360" w:hanging="36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45E2AED"/>
    <w:multiLevelType w:val="hybridMultilevel"/>
    <w:tmpl w:val="60169E4E"/>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A6C082C"/>
    <w:multiLevelType w:val="multilevel"/>
    <w:tmpl w:val="F4F4FF32"/>
    <w:lvl w:ilvl="0">
      <w:start w:val="2"/>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A8C537E"/>
    <w:multiLevelType w:val="hybridMultilevel"/>
    <w:tmpl w:val="C9B830EA"/>
    <w:lvl w:ilvl="0" w:tplc="0D9EDA08">
      <w:start w:val="2"/>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0CF25610"/>
    <w:multiLevelType w:val="multilevel"/>
    <w:tmpl w:val="C486EB62"/>
    <w:lvl w:ilvl="0">
      <w:start w:val="5"/>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15:restartNumberingAfterBreak="0">
    <w:nsid w:val="121C6BC9"/>
    <w:multiLevelType w:val="multilevel"/>
    <w:tmpl w:val="96ACBF96"/>
    <w:lvl w:ilvl="0">
      <w:start w:val="3"/>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3D22530"/>
    <w:multiLevelType w:val="multilevel"/>
    <w:tmpl w:val="B0621670"/>
    <w:lvl w:ilvl="0">
      <w:start w:val="6"/>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14E82B47"/>
    <w:multiLevelType w:val="multilevel"/>
    <w:tmpl w:val="0276A65A"/>
    <w:lvl w:ilvl="0">
      <w:start w:val="7"/>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15:restartNumberingAfterBreak="0">
    <w:nsid w:val="17D44A26"/>
    <w:multiLevelType w:val="hybridMultilevel"/>
    <w:tmpl w:val="4DAC5258"/>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22CF2A20"/>
    <w:multiLevelType w:val="multilevel"/>
    <w:tmpl w:val="A8F89F4A"/>
    <w:lvl w:ilvl="0">
      <w:start w:val="3"/>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28701B90"/>
    <w:multiLevelType w:val="hybridMultilevel"/>
    <w:tmpl w:val="1B4EE90A"/>
    <w:lvl w:ilvl="0" w:tplc="0D9EDA08">
      <w:start w:val="2"/>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298059D9"/>
    <w:multiLevelType w:val="hybridMultilevel"/>
    <w:tmpl w:val="D934410C"/>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2BF335F3"/>
    <w:multiLevelType w:val="multilevel"/>
    <w:tmpl w:val="D2E665DA"/>
    <w:lvl w:ilvl="0">
      <w:start w:val="7"/>
      <w:numFmt w:val="decimal"/>
      <w:lvlText w:val="%1"/>
      <w:lvlJc w:val="left"/>
      <w:pPr>
        <w:ind w:left="360" w:hanging="360"/>
      </w:pPr>
      <w:rPr>
        <w:rFonts w:hint="default"/>
        <w:b w:val="0"/>
        <w:sz w:val="22"/>
      </w:rPr>
    </w:lvl>
    <w:lvl w:ilvl="1">
      <w:start w:val="2"/>
      <w:numFmt w:val="decimal"/>
      <w:lvlText w:val="%1.%2"/>
      <w:lvlJc w:val="left"/>
      <w:pPr>
        <w:ind w:left="1080" w:hanging="720"/>
      </w:pPr>
      <w:rPr>
        <w:rFonts w:hint="default"/>
        <w:b/>
        <w:sz w:val="22"/>
      </w:rPr>
    </w:lvl>
    <w:lvl w:ilvl="2">
      <w:start w:val="1"/>
      <w:numFmt w:val="decimal"/>
      <w:lvlText w:val="%1.%2.%3"/>
      <w:lvlJc w:val="left"/>
      <w:pPr>
        <w:ind w:left="1440" w:hanging="720"/>
      </w:pPr>
      <w:rPr>
        <w:rFonts w:hint="default"/>
        <w:b w:val="0"/>
        <w:sz w:val="22"/>
      </w:rPr>
    </w:lvl>
    <w:lvl w:ilvl="3">
      <w:start w:val="1"/>
      <w:numFmt w:val="decimal"/>
      <w:lvlText w:val="%1.%2.%3.%4"/>
      <w:lvlJc w:val="left"/>
      <w:pPr>
        <w:ind w:left="2160" w:hanging="1080"/>
      </w:pPr>
      <w:rPr>
        <w:rFonts w:hint="default"/>
        <w:b w:val="0"/>
        <w:sz w:val="22"/>
      </w:rPr>
    </w:lvl>
    <w:lvl w:ilvl="4">
      <w:start w:val="1"/>
      <w:numFmt w:val="decimal"/>
      <w:lvlText w:val="%1.%2.%3.%4.%5"/>
      <w:lvlJc w:val="left"/>
      <w:pPr>
        <w:ind w:left="2520" w:hanging="1080"/>
      </w:pPr>
      <w:rPr>
        <w:rFonts w:hint="default"/>
        <w:b w:val="0"/>
        <w:sz w:val="22"/>
      </w:rPr>
    </w:lvl>
    <w:lvl w:ilvl="5">
      <w:start w:val="1"/>
      <w:numFmt w:val="decimal"/>
      <w:lvlText w:val="%1.%2.%3.%4.%5.%6"/>
      <w:lvlJc w:val="left"/>
      <w:pPr>
        <w:ind w:left="3240" w:hanging="1440"/>
      </w:pPr>
      <w:rPr>
        <w:rFonts w:hint="default"/>
        <w:b w:val="0"/>
        <w:sz w:val="22"/>
      </w:rPr>
    </w:lvl>
    <w:lvl w:ilvl="6">
      <w:start w:val="1"/>
      <w:numFmt w:val="decimal"/>
      <w:lvlText w:val="%1.%2.%3.%4.%5.%6.%7"/>
      <w:lvlJc w:val="left"/>
      <w:pPr>
        <w:ind w:left="3960" w:hanging="1800"/>
      </w:pPr>
      <w:rPr>
        <w:rFonts w:hint="default"/>
        <w:b w:val="0"/>
        <w:sz w:val="22"/>
      </w:rPr>
    </w:lvl>
    <w:lvl w:ilvl="7">
      <w:start w:val="1"/>
      <w:numFmt w:val="decimal"/>
      <w:lvlText w:val="%1.%2.%3.%4.%5.%6.%7.%8"/>
      <w:lvlJc w:val="left"/>
      <w:pPr>
        <w:ind w:left="4320" w:hanging="1800"/>
      </w:pPr>
      <w:rPr>
        <w:rFonts w:hint="default"/>
        <w:b w:val="0"/>
        <w:sz w:val="22"/>
      </w:rPr>
    </w:lvl>
    <w:lvl w:ilvl="8">
      <w:start w:val="1"/>
      <w:numFmt w:val="decimal"/>
      <w:lvlText w:val="%1.%2.%3.%4.%5.%6.%7.%8.%9"/>
      <w:lvlJc w:val="left"/>
      <w:pPr>
        <w:ind w:left="5040" w:hanging="2160"/>
      </w:pPr>
      <w:rPr>
        <w:rFonts w:hint="default"/>
        <w:b w:val="0"/>
        <w:sz w:val="22"/>
      </w:rPr>
    </w:lvl>
  </w:abstractNum>
  <w:abstractNum w:abstractNumId="13" w15:restartNumberingAfterBreak="0">
    <w:nsid w:val="2C381494"/>
    <w:multiLevelType w:val="hybridMultilevel"/>
    <w:tmpl w:val="3F5064AC"/>
    <w:lvl w:ilvl="0" w:tplc="08160001">
      <w:start w:val="1"/>
      <w:numFmt w:val="bullet"/>
      <w:lvlText w:val=""/>
      <w:lvlJc w:val="left"/>
      <w:pPr>
        <w:ind w:left="1146" w:hanging="360"/>
      </w:pPr>
      <w:rPr>
        <w:rFonts w:ascii="Symbol" w:hAnsi="Symbol" w:hint="default"/>
      </w:rPr>
    </w:lvl>
    <w:lvl w:ilvl="1" w:tplc="08160003" w:tentative="1">
      <w:start w:val="1"/>
      <w:numFmt w:val="bullet"/>
      <w:lvlText w:val="o"/>
      <w:lvlJc w:val="left"/>
      <w:pPr>
        <w:ind w:left="1866" w:hanging="360"/>
      </w:pPr>
      <w:rPr>
        <w:rFonts w:ascii="Courier New" w:hAnsi="Courier New" w:cs="Courier New" w:hint="default"/>
      </w:rPr>
    </w:lvl>
    <w:lvl w:ilvl="2" w:tplc="08160005" w:tentative="1">
      <w:start w:val="1"/>
      <w:numFmt w:val="bullet"/>
      <w:lvlText w:val=""/>
      <w:lvlJc w:val="left"/>
      <w:pPr>
        <w:ind w:left="2586" w:hanging="360"/>
      </w:pPr>
      <w:rPr>
        <w:rFonts w:ascii="Wingdings" w:hAnsi="Wingdings" w:hint="default"/>
      </w:rPr>
    </w:lvl>
    <w:lvl w:ilvl="3" w:tplc="08160001" w:tentative="1">
      <w:start w:val="1"/>
      <w:numFmt w:val="bullet"/>
      <w:lvlText w:val=""/>
      <w:lvlJc w:val="left"/>
      <w:pPr>
        <w:ind w:left="3306" w:hanging="360"/>
      </w:pPr>
      <w:rPr>
        <w:rFonts w:ascii="Symbol" w:hAnsi="Symbol" w:hint="default"/>
      </w:rPr>
    </w:lvl>
    <w:lvl w:ilvl="4" w:tplc="08160003" w:tentative="1">
      <w:start w:val="1"/>
      <w:numFmt w:val="bullet"/>
      <w:lvlText w:val="o"/>
      <w:lvlJc w:val="left"/>
      <w:pPr>
        <w:ind w:left="4026" w:hanging="360"/>
      </w:pPr>
      <w:rPr>
        <w:rFonts w:ascii="Courier New" w:hAnsi="Courier New" w:cs="Courier New" w:hint="default"/>
      </w:rPr>
    </w:lvl>
    <w:lvl w:ilvl="5" w:tplc="08160005" w:tentative="1">
      <w:start w:val="1"/>
      <w:numFmt w:val="bullet"/>
      <w:lvlText w:val=""/>
      <w:lvlJc w:val="left"/>
      <w:pPr>
        <w:ind w:left="4746" w:hanging="360"/>
      </w:pPr>
      <w:rPr>
        <w:rFonts w:ascii="Wingdings" w:hAnsi="Wingdings" w:hint="default"/>
      </w:rPr>
    </w:lvl>
    <w:lvl w:ilvl="6" w:tplc="08160001" w:tentative="1">
      <w:start w:val="1"/>
      <w:numFmt w:val="bullet"/>
      <w:lvlText w:val=""/>
      <w:lvlJc w:val="left"/>
      <w:pPr>
        <w:ind w:left="5466" w:hanging="360"/>
      </w:pPr>
      <w:rPr>
        <w:rFonts w:ascii="Symbol" w:hAnsi="Symbol" w:hint="default"/>
      </w:rPr>
    </w:lvl>
    <w:lvl w:ilvl="7" w:tplc="08160003" w:tentative="1">
      <w:start w:val="1"/>
      <w:numFmt w:val="bullet"/>
      <w:lvlText w:val="o"/>
      <w:lvlJc w:val="left"/>
      <w:pPr>
        <w:ind w:left="6186" w:hanging="360"/>
      </w:pPr>
      <w:rPr>
        <w:rFonts w:ascii="Courier New" w:hAnsi="Courier New" w:cs="Courier New" w:hint="default"/>
      </w:rPr>
    </w:lvl>
    <w:lvl w:ilvl="8" w:tplc="08160005" w:tentative="1">
      <w:start w:val="1"/>
      <w:numFmt w:val="bullet"/>
      <w:lvlText w:val=""/>
      <w:lvlJc w:val="left"/>
      <w:pPr>
        <w:ind w:left="6906" w:hanging="360"/>
      </w:pPr>
      <w:rPr>
        <w:rFonts w:ascii="Wingdings" w:hAnsi="Wingdings" w:hint="default"/>
      </w:rPr>
    </w:lvl>
  </w:abstractNum>
  <w:abstractNum w:abstractNumId="14" w15:restartNumberingAfterBreak="0">
    <w:nsid w:val="351178A6"/>
    <w:multiLevelType w:val="multilevel"/>
    <w:tmpl w:val="758032C8"/>
    <w:lvl w:ilvl="0">
      <w:start w:val="3"/>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5490214"/>
    <w:multiLevelType w:val="hybridMultilevel"/>
    <w:tmpl w:val="BD8E8CF8"/>
    <w:lvl w:ilvl="0" w:tplc="F44478A2">
      <w:start w:val="3"/>
      <w:numFmt w:val="decimal"/>
      <w:lvlText w:val="%1.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39541671"/>
    <w:multiLevelType w:val="hybridMultilevel"/>
    <w:tmpl w:val="4314DC8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15:restartNumberingAfterBreak="0">
    <w:nsid w:val="3AED4B66"/>
    <w:multiLevelType w:val="hybridMultilevel"/>
    <w:tmpl w:val="7E167B4A"/>
    <w:lvl w:ilvl="0" w:tplc="3D7AE7BA">
      <w:start w:val="3"/>
      <w:numFmt w:val="decimal"/>
      <w:lvlText w:val="%1.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8" w15:restartNumberingAfterBreak="0">
    <w:nsid w:val="3D547B89"/>
    <w:multiLevelType w:val="multilevel"/>
    <w:tmpl w:val="2DB846DC"/>
    <w:lvl w:ilvl="0">
      <w:start w:val="6"/>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9" w15:restartNumberingAfterBreak="0">
    <w:nsid w:val="41326ADE"/>
    <w:multiLevelType w:val="hybridMultilevel"/>
    <w:tmpl w:val="44109CDE"/>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15:restartNumberingAfterBreak="0">
    <w:nsid w:val="418D0276"/>
    <w:multiLevelType w:val="multilevel"/>
    <w:tmpl w:val="1CF42BC0"/>
    <w:lvl w:ilvl="0">
      <w:start w:val="5"/>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432473D2"/>
    <w:multiLevelType w:val="hybridMultilevel"/>
    <w:tmpl w:val="33220226"/>
    <w:lvl w:ilvl="0" w:tplc="C4660F48">
      <w:start w:val="3"/>
      <w:numFmt w:val="decimal"/>
      <w:lvlText w:val="%1.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2" w15:restartNumberingAfterBreak="0">
    <w:nsid w:val="45F45C49"/>
    <w:multiLevelType w:val="multilevel"/>
    <w:tmpl w:val="66509428"/>
    <w:lvl w:ilvl="0">
      <w:start w:val="6"/>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3" w15:restartNumberingAfterBreak="0">
    <w:nsid w:val="48325CE9"/>
    <w:multiLevelType w:val="hybridMultilevel"/>
    <w:tmpl w:val="EE68934E"/>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15:restartNumberingAfterBreak="0">
    <w:nsid w:val="48616B2F"/>
    <w:multiLevelType w:val="hybridMultilevel"/>
    <w:tmpl w:val="329E5D6E"/>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5" w15:restartNumberingAfterBreak="0">
    <w:nsid w:val="540E5382"/>
    <w:multiLevelType w:val="multilevel"/>
    <w:tmpl w:val="F4F4FF32"/>
    <w:lvl w:ilvl="0">
      <w:start w:val="2"/>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56990418"/>
    <w:multiLevelType w:val="multilevel"/>
    <w:tmpl w:val="75CC74B2"/>
    <w:lvl w:ilvl="0">
      <w:start w:val="4"/>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5BE764D9"/>
    <w:multiLevelType w:val="hybridMultilevel"/>
    <w:tmpl w:val="15C8F6D4"/>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15:restartNumberingAfterBreak="0">
    <w:nsid w:val="5C185A35"/>
    <w:multiLevelType w:val="hybridMultilevel"/>
    <w:tmpl w:val="2C924D64"/>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15:restartNumberingAfterBreak="0">
    <w:nsid w:val="5E35621A"/>
    <w:multiLevelType w:val="multilevel"/>
    <w:tmpl w:val="2DB846DC"/>
    <w:lvl w:ilvl="0">
      <w:start w:val="6"/>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15:restartNumberingAfterBreak="0">
    <w:nsid w:val="665175A2"/>
    <w:multiLevelType w:val="multilevel"/>
    <w:tmpl w:val="A8F89F4A"/>
    <w:lvl w:ilvl="0">
      <w:start w:val="3"/>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67446BD0"/>
    <w:multiLevelType w:val="multilevel"/>
    <w:tmpl w:val="D6E6F3EE"/>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6B266D8C"/>
    <w:multiLevelType w:val="hybridMultilevel"/>
    <w:tmpl w:val="E2C05D8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15:restartNumberingAfterBreak="0">
    <w:nsid w:val="6D9D7B7C"/>
    <w:multiLevelType w:val="hybridMultilevel"/>
    <w:tmpl w:val="51B87EC2"/>
    <w:lvl w:ilvl="0" w:tplc="0D9EDA08">
      <w:start w:val="2"/>
      <w:numFmt w:val="decimal"/>
      <w:lvlText w:val="%1.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4" w15:restartNumberingAfterBreak="0">
    <w:nsid w:val="6ED24828"/>
    <w:multiLevelType w:val="hybridMultilevel"/>
    <w:tmpl w:val="1640D5BA"/>
    <w:lvl w:ilvl="0" w:tplc="6F22061E">
      <w:numFmt w:val="bullet"/>
      <w:lvlText w:val=""/>
      <w:lvlJc w:val="left"/>
      <w:pPr>
        <w:ind w:left="720" w:hanging="360"/>
      </w:pPr>
      <w:rPr>
        <w:rFonts w:ascii="Symbol" w:eastAsiaTheme="minorHAnsi" w:hAnsi="Symbol" w:cs="Aria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15:restartNumberingAfterBreak="0">
    <w:nsid w:val="6F612C48"/>
    <w:multiLevelType w:val="multilevel"/>
    <w:tmpl w:val="1B3C33CA"/>
    <w:lvl w:ilvl="0">
      <w:start w:val="7"/>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15:restartNumberingAfterBreak="0">
    <w:nsid w:val="727E21CB"/>
    <w:multiLevelType w:val="multilevel"/>
    <w:tmpl w:val="D6368A22"/>
    <w:lvl w:ilvl="0">
      <w:start w:val="7"/>
      <w:numFmt w:val="decimal"/>
      <w:lvlText w:val="%1"/>
      <w:lvlJc w:val="left"/>
      <w:pPr>
        <w:ind w:left="360" w:hanging="360"/>
      </w:pPr>
      <w:rPr>
        <w:rFonts w:hint="default"/>
        <w:b w:val="0"/>
        <w:sz w:val="22"/>
      </w:rPr>
    </w:lvl>
    <w:lvl w:ilvl="1">
      <w:start w:val="5"/>
      <w:numFmt w:val="decimal"/>
      <w:lvlText w:val="%1.%2"/>
      <w:lvlJc w:val="left"/>
      <w:pPr>
        <w:ind w:left="1080" w:hanging="720"/>
      </w:pPr>
      <w:rPr>
        <w:rFonts w:hint="default"/>
        <w:b/>
        <w:sz w:val="22"/>
      </w:rPr>
    </w:lvl>
    <w:lvl w:ilvl="2">
      <w:start w:val="1"/>
      <w:numFmt w:val="decimal"/>
      <w:lvlText w:val="%1.%2.%3"/>
      <w:lvlJc w:val="left"/>
      <w:pPr>
        <w:ind w:left="1440" w:hanging="720"/>
      </w:pPr>
      <w:rPr>
        <w:rFonts w:hint="default"/>
        <w:b w:val="0"/>
        <w:sz w:val="22"/>
      </w:rPr>
    </w:lvl>
    <w:lvl w:ilvl="3">
      <w:start w:val="1"/>
      <w:numFmt w:val="decimal"/>
      <w:lvlText w:val="%1.%2.%3.%4"/>
      <w:lvlJc w:val="left"/>
      <w:pPr>
        <w:ind w:left="2160" w:hanging="1080"/>
      </w:pPr>
      <w:rPr>
        <w:rFonts w:hint="default"/>
        <w:b w:val="0"/>
        <w:sz w:val="22"/>
      </w:rPr>
    </w:lvl>
    <w:lvl w:ilvl="4">
      <w:start w:val="1"/>
      <w:numFmt w:val="decimal"/>
      <w:lvlText w:val="%1.%2.%3.%4.%5"/>
      <w:lvlJc w:val="left"/>
      <w:pPr>
        <w:ind w:left="2520" w:hanging="1080"/>
      </w:pPr>
      <w:rPr>
        <w:rFonts w:hint="default"/>
        <w:b w:val="0"/>
        <w:sz w:val="22"/>
      </w:rPr>
    </w:lvl>
    <w:lvl w:ilvl="5">
      <w:start w:val="1"/>
      <w:numFmt w:val="decimal"/>
      <w:lvlText w:val="%1.%2.%3.%4.%5.%6"/>
      <w:lvlJc w:val="left"/>
      <w:pPr>
        <w:ind w:left="3240" w:hanging="1440"/>
      </w:pPr>
      <w:rPr>
        <w:rFonts w:hint="default"/>
        <w:b w:val="0"/>
        <w:sz w:val="22"/>
      </w:rPr>
    </w:lvl>
    <w:lvl w:ilvl="6">
      <w:start w:val="1"/>
      <w:numFmt w:val="decimal"/>
      <w:lvlText w:val="%1.%2.%3.%4.%5.%6.%7"/>
      <w:lvlJc w:val="left"/>
      <w:pPr>
        <w:ind w:left="3960" w:hanging="1800"/>
      </w:pPr>
      <w:rPr>
        <w:rFonts w:hint="default"/>
        <w:b w:val="0"/>
        <w:sz w:val="22"/>
      </w:rPr>
    </w:lvl>
    <w:lvl w:ilvl="7">
      <w:start w:val="1"/>
      <w:numFmt w:val="decimal"/>
      <w:lvlText w:val="%1.%2.%3.%4.%5.%6.%7.%8"/>
      <w:lvlJc w:val="left"/>
      <w:pPr>
        <w:ind w:left="4320" w:hanging="1800"/>
      </w:pPr>
      <w:rPr>
        <w:rFonts w:hint="default"/>
        <w:b w:val="0"/>
        <w:sz w:val="22"/>
      </w:rPr>
    </w:lvl>
    <w:lvl w:ilvl="8">
      <w:start w:val="1"/>
      <w:numFmt w:val="decimal"/>
      <w:lvlText w:val="%1.%2.%3.%4.%5.%6.%7.%8.%9"/>
      <w:lvlJc w:val="left"/>
      <w:pPr>
        <w:ind w:left="5040" w:hanging="2160"/>
      </w:pPr>
      <w:rPr>
        <w:rFonts w:hint="default"/>
        <w:b w:val="0"/>
        <w:sz w:val="22"/>
      </w:rPr>
    </w:lvl>
  </w:abstractNum>
  <w:num w:numId="1">
    <w:abstractNumId w:val="8"/>
  </w:num>
  <w:num w:numId="2">
    <w:abstractNumId w:val="25"/>
  </w:num>
  <w:num w:numId="3">
    <w:abstractNumId w:val="2"/>
  </w:num>
  <w:num w:numId="4">
    <w:abstractNumId w:val="9"/>
  </w:num>
  <w:num w:numId="5">
    <w:abstractNumId w:val="30"/>
  </w:num>
  <w:num w:numId="6">
    <w:abstractNumId w:val="3"/>
  </w:num>
  <w:num w:numId="7">
    <w:abstractNumId w:val="15"/>
  </w:num>
  <w:num w:numId="8">
    <w:abstractNumId w:val="10"/>
  </w:num>
  <w:num w:numId="9">
    <w:abstractNumId w:val="21"/>
  </w:num>
  <w:num w:numId="10">
    <w:abstractNumId w:val="17"/>
  </w:num>
  <w:num w:numId="11">
    <w:abstractNumId w:val="28"/>
  </w:num>
  <w:num w:numId="12">
    <w:abstractNumId w:val="34"/>
  </w:num>
  <w:num w:numId="13">
    <w:abstractNumId w:val="16"/>
  </w:num>
  <w:num w:numId="14">
    <w:abstractNumId w:val="11"/>
  </w:num>
  <w:num w:numId="15">
    <w:abstractNumId w:val="20"/>
  </w:num>
  <w:num w:numId="16">
    <w:abstractNumId w:val="24"/>
  </w:num>
  <w:num w:numId="17">
    <w:abstractNumId w:val="1"/>
  </w:num>
  <w:num w:numId="18">
    <w:abstractNumId w:val="23"/>
  </w:num>
  <w:num w:numId="19">
    <w:abstractNumId w:val="33"/>
  </w:num>
  <w:num w:numId="20">
    <w:abstractNumId w:val="27"/>
  </w:num>
  <w:num w:numId="21">
    <w:abstractNumId w:val="18"/>
  </w:num>
  <w:num w:numId="22">
    <w:abstractNumId w:val="29"/>
  </w:num>
  <w:num w:numId="23">
    <w:abstractNumId w:val="19"/>
  </w:num>
  <w:num w:numId="24">
    <w:abstractNumId w:val="12"/>
  </w:num>
  <w:num w:numId="25">
    <w:abstractNumId w:val="13"/>
  </w:num>
  <w:num w:numId="26">
    <w:abstractNumId w:val="5"/>
  </w:num>
  <w:num w:numId="27">
    <w:abstractNumId w:val="14"/>
  </w:num>
  <w:num w:numId="28">
    <w:abstractNumId w:val="32"/>
  </w:num>
  <w:num w:numId="29">
    <w:abstractNumId w:val="31"/>
  </w:num>
  <w:num w:numId="30">
    <w:abstractNumId w:val="26"/>
  </w:num>
  <w:num w:numId="31">
    <w:abstractNumId w:val="4"/>
  </w:num>
  <w:num w:numId="32">
    <w:abstractNumId w:val="6"/>
  </w:num>
  <w:num w:numId="33">
    <w:abstractNumId w:val="22"/>
  </w:num>
  <w:num w:numId="34">
    <w:abstractNumId w:val="35"/>
  </w:num>
  <w:num w:numId="35">
    <w:abstractNumId w:val="7"/>
  </w:num>
  <w:num w:numId="36">
    <w:abstractNumId w:val="0"/>
  </w:num>
  <w:num w:numId="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19AB"/>
    <w:rsid w:val="00022A2C"/>
    <w:rsid w:val="00024F68"/>
    <w:rsid w:val="0002555B"/>
    <w:rsid w:val="00030474"/>
    <w:rsid w:val="00037EE4"/>
    <w:rsid w:val="000C2B9C"/>
    <w:rsid w:val="000E208F"/>
    <w:rsid w:val="000E44B1"/>
    <w:rsid w:val="00105A19"/>
    <w:rsid w:val="0015282E"/>
    <w:rsid w:val="001E087F"/>
    <w:rsid w:val="001E56E6"/>
    <w:rsid w:val="002649C1"/>
    <w:rsid w:val="0027678B"/>
    <w:rsid w:val="00287C01"/>
    <w:rsid w:val="002948E3"/>
    <w:rsid w:val="002B6C63"/>
    <w:rsid w:val="002F0200"/>
    <w:rsid w:val="00307D48"/>
    <w:rsid w:val="003647E0"/>
    <w:rsid w:val="0038527C"/>
    <w:rsid w:val="003C444B"/>
    <w:rsid w:val="003D6B5A"/>
    <w:rsid w:val="003F2FD4"/>
    <w:rsid w:val="00401E5A"/>
    <w:rsid w:val="00414C7C"/>
    <w:rsid w:val="004845FC"/>
    <w:rsid w:val="004C5211"/>
    <w:rsid w:val="00525398"/>
    <w:rsid w:val="0054106D"/>
    <w:rsid w:val="005A0765"/>
    <w:rsid w:val="005B19AB"/>
    <w:rsid w:val="005E075A"/>
    <w:rsid w:val="005F617D"/>
    <w:rsid w:val="006223F8"/>
    <w:rsid w:val="006359D8"/>
    <w:rsid w:val="006373B7"/>
    <w:rsid w:val="00663957"/>
    <w:rsid w:val="00687BE8"/>
    <w:rsid w:val="006A49CF"/>
    <w:rsid w:val="006E1196"/>
    <w:rsid w:val="00742F39"/>
    <w:rsid w:val="007646F3"/>
    <w:rsid w:val="007A225C"/>
    <w:rsid w:val="007A7594"/>
    <w:rsid w:val="007B3444"/>
    <w:rsid w:val="007C0DDB"/>
    <w:rsid w:val="007D2ED4"/>
    <w:rsid w:val="0082242E"/>
    <w:rsid w:val="008327E1"/>
    <w:rsid w:val="008622F2"/>
    <w:rsid w:val="0087437D"/>
    <w:rsid w:val="008801AE"/>
    <w:rsid w:val="00884DD7"/>
    <w:rsid w:val="00891E4C"/>
    <w:rsid w:val="008C7AFE"/>
    <w:rsid w:val="008E6648"/>
    <w:rsid w:val="008F0F9B"/>
    <w:rsid w:val="00911A7A"/>
    <w:rsid w:val="00917CB2"/>
    <w:rsid w:val="00943550"/>
    <w:rsid w:val="00957871"/>
    <w:rsid w:val="0097124D"/>
    <w:rsid w:val="00977223"/>
    <w:rsid w:val="00A16D12"/>
    <w:rsid w:val="00A325AA"/>
    <w:rsid w:val="00A464CD"/>
    <w:rsid w:val="00A61B28"/>
    <w:rsid w:val="00A76B38"/>
    <w:rsid w:val="00AA35F4"/>
    <w:rsid w:val="00AA63F1"/>
    <w:rsid w:val="00AE2A2B"/>
    <w:rsid w:val="00B0219E"/>
    <w:rsid w:val="00B25966"/>
    <w:rsid w:val="00B6501B"/>
    <w:rsid w:val="00B711B3"/>
    <w:rsid w:val="00B746DC"/>
    <w:rsid w:val="00BA02BA"/>
    <w:rsid w:val="00BA6897"/>
    <w:rsid w:val="00BD48A6"/>
    <w:rsid w:val="00BD76F2"/>
    <w:rsid w:val="00C30264"/>
    <w:rsid w:val="00C515B5"/>
    <w:rsid w:val="00C808E6"/>
    <w:rsid w:val="00C91C72"/>
    <w:rsid w:val="00CA3780"/>
    <w:rsid w:val="00CD7432"/>
    <w:rsid w:val="00CF725F"/>
    <w:rsid w:val="00D275D6"/>
    <w:rsid w:val="00D62B89"/>
    <w:rsid w:val="00D81F73"/>
    <w:rsid w:val="00D94889"/>
    <w:rsid w:val="00DA0D22"/>
    <w:rsid w:val="00E02F5E"/>
    <w:rsid w:val="00E06B9F"/>
    <w:rsid w:val="00E105E9"/>
    <w:rsid w:val="00E30D1C"/>
    <w:rsid w:val="00E451B2"/>
    <w:rsid w:val="00E5289B"/>
    <w:rsid w:val="00E56AF6"/>
    <w:rsid w:val="00E95A11"/>
    <w:rsid w:val="00EB4269"/>
    <w:rsid w:val="00EC5DFD"/>
    <w:rsid w:val="00ED455D"/>
    <w:rsid w:val="00F05BE7"/>
    <w:rsid w:val="00F4533D"/>
    <w:rsid w:val="00F51125"/>
    <w:rsid w:val="00F62231"/>
    <w:rsid w:val="00F647B4"/>
    <w:rsid w:val="00F74F7E"/>
    <w:rsid w:val="00FD46F7"/>
    <w:rsid w:val="00FD728B"/>
    <w:rsid w:val="00FE101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C8456E"/>
  <w15:chartTrackingRefBased/>
  <w15:docId w15:val="{02108E61-023E-4268-B24A-F865F3BD0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har"/>
    <w:uiPriority w:val="9"/>
    <w:qFormat/>
    <w:rsid w:val="005E075A"/>
    <w:pPr>
      <w:keepNext/>
      <w:keepLines/>
      <w:spacing w:before="240" w:after="0"/>
      <w:outlineLvl w:val="0"/>
    </w:pPr>
    <w:rPr>
      <w:rFonts w:ascii="Arial" w:eastAsiaTheme="majorEastAsia" w:hAnsi="Arial" w:cstheme="majorBidi"/>
      <w:color w:val="000000" w:themeColor="text1"/>
      <w:sz w:val="32"/>
      <w:szCs w:val="32"/>
    </w:rPr>
  </w:style>
  <w:style w:type="paragraph" w:styleId="Ttulo2">
    <w:name w:val="heading 2"/>
    <w:basedOn w:val="Normal"/>
    <w:next w:val="Normal"/>
    <w:link w:val="Ttulo2Char"/>
    <w:uiPriority w:val="9"/>
    <w:unhideWhenUsed/>
    <w:qFormat/>
    <w:rsid w:val="005E075A"/>
    <w:pPr>
      <w:keepNext/>
      <w:keepLines/>
      <w:spacing w:before="40" w:after="0"/>
      <w:outlineLvl w:val="1"/>
    </w:pPr>
    <w:rPr>
      <w:rFonts w:ascii="Arial" w:eastAsiaTheme="majorEastAsia" w:hAnsi="Arial" w:cstheme="majorBidi"/>
      <w:color w:val="000000" w:themeColor="text1"/>
      <w:sz w:val="26"/>
      <w:szCs w:val="26"/>
    </w:rPr>
  </w:style>
  <w:style w:type="paragraph" w:styleId="Ttulo3">
    <w:name w:val="heading 3"/>
    <w:basedOn w:val="Normal"/>
    <w:next w:val="Normal"/>
    <w:link w:val="Ttulo3Char"/>
    <w:uiPriority w:val="9"/>
    <w:unhideWhenUsed/>
    <w:qFormat/>
    <w:rsid w:val="005E075A"/>
    <w:pPr>
      <w:keepNext/>
      <w:keepLines/>
      <w:spacing w:before="40" w:after="0"/>
      <w:outlineLvl w:val="2"/>
    </w:pPr>
    <w:rPr>
      <w:rFonts w:ascii="Arial" w:eastAsiaTheme="majorEastAsia" w:hAnsi="Arial" w:cstheme="majorBidi"/>
      <w:color w:val="000000" w:themeColor="text1"/>
      <w:sz w:val="24"/>
      <w:szCs w:val="24"/>
    </w:rPr>
  </w:style>
  <w:style w:type="paragraph" w:styleId="Ttulo4">
    <w:name w:val="heading 4"/>
    <w:basedOn w:val="Normal"/>
    <w:next w:val="Normal"/>
    <w:link w:val="Ttulo4Char"/>
    <w:uiPriority w:val="9"/>
    <w:unhideWhenUsed/>
    <w:qFormat/>
    <w:rsid w:val="005E075A"/>
    <w:pPr>
      <w:keepNext/>
      <w:keepLines/>
      <w:spacing w:before="40" w:after="0"/>
      <w:outlineLvl w:val="3"/>
    </w:pPr>
    <w:rPr>
      <w:rFonts w:ascii="Arial" w:eastAsiaTheme="majorEastAsia" w:hAnsi="Arial" w:cstheme="majorBidi"/>
      <w:i/>
      <w:iCs/>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numbering" w:customStyle="1" w:styleId="Semlista1">
    <w:name w:val="Sem lista1"/>
    <w:next w:val="Semlista"/>
    <w:uiPriority w:val="99"/>
    <w:semiHidden/>
    <w:unhideWhenUsed/>
    <w:rsid w:val="000C2B9C"/>
  </w:style>
  <w:style w:type="paragraph" w:styleId="Textodenotaderodap">
    <w:name w:val="footnote text"/>
    <w:basedOn w:val="Normal"/>
    <w:link w:val="TextodenotaderodapChar"/>
    <w:uiPriority w:val="99"/>
    <w:semiHidden/>
    <w:unhideWhenUsed/>
    <w:rsid w:val="000C2B9C"/>
    <w:pPr>
      <w:spacing w:after="0" w:line="240" w:lineRule="auto"/>
    </w:pPr>
    <w:rPr>
      <w:rFonts w:ascii="Arial" w:hAnsi="Arial" w:cs="Arial"/>
      <w:sz w:val="20"/>
      <w:szCs w:val="20"/>
    </w:rPr>
  </w:style>
  <w:style w:type="character" w:customStyle="1" w:styleId="TextodenotaderodapChar">
    <w:name w:val="Texto de nota de rodapé Char"/>
    <w:basedOn w:val="Fontepargpadro"/>
    <w:link w:val="Textodenotaderodap"/>
    <w:uiPriority w:val="99"/>
    <w:semiHidden/>
    <w:rsid w:val="000C2B9C"/>
    <w:rPr>
      <w:rFonts w:ascii="Arial" w:hAnsi="Arial" w:cs="Arial"/>
      <w:sz w:val="20"/>
      <w:szCs w:val="20"/>
    </w:rPr>
  </w:style>
  <w:style w:type="character" w:styleId="Refdenotaderodap">
    <w:name w:val="footnote reference"/>
    <w:basedOn w:val="Fontepargpadro"/>
    <w:uiPriority w:val="99"/>
    <w:semiHidden/>
    <w:unhideWhenUsed/>
    <w:rsid w:val="000C2B9C"/>
    <w:rPr>
      <w:vertAlign w:val="superscript"/>
    </w:rPr>
  </w:style>
  <w:style w:type="paragraph" w:styleId="PargrafodaLista">
    <w:name w:val="List Paragraph"/>
    <w:basedOn w:val="Normal"/>
    <w:uiPriority w:val="34"/>
    <w:qFormat/>
    <w:rsid w:val="000C2B9C"/>
    <w:pPr>
      <w:spacing w:before="120" w:after="120" w:line="360" w:lineRule="auto"/>
      <w:ind w:left="720"/>
      <w:contextualSpacing/>
    </w:pPr>
    <w:rPr>
      <w:rFonts w:ascii="Arial" w:hAnsi="Arial" w:cs="Arial"/>
    </w:rPr>
  </w:style>
  <w:style w:type="character" w:customStyle="1" w:styleId="Hyperlink1">
    <w:name w:val="Hyperlink1"/>
    <w:basedOn w:val="Fontepargpadro"/>
    <w:uiPriority w:val="99"/>
    <w:unhideWhenUsed/>
    <w:rsid w:val="000C2B9C"/>
    <w:rPr>
      <w:color w:val="0563C1"/>
      <w:u w:val="single"/>
    </w:rPr>
  </w:style>
  <w:style w:type="character" w:customStyle="1" w:styleId="MenoPendente1">
    <w:name w:val="Menção Pendente1"/>
    <w:basedOn w:val="Fontepargpadro"/>
    <w:uiPriority w:val="99"/>
    <w:semiHidden/>
    <w:unhideWhenUsed/>
    <w:rsid w:val="000C2B9C"/>
    <w:rPr>
      <w:color w:val="808080"/>
      <w:shd w:val="clear" w:color="auto" w:fill="E6E6E6"/>
    </w:rPr>
  </w:style>
  <w:style w:type="paragraph" w:styleId="Cabealho">
    <w:name w:val="header"/>
    <w:basedOn w:val="Normal"/>
    <w:link w:val="CabealhoChar"/>
    <w:uiPriority w:val="99"/>
    <w:unhideWhenUsed/>
    <w:rsid w:val="000C2B9C"/>
    <w:pPr>
      <w:tabs>
        <w:tab w:val="center" w:pos="4252"/>
        <w:tab w:val="right" w:pos="8504"/>
      </w:tabs>
      <w:spacing w:after="0" w:line="240" w:lineRule="auto"/>
    </w:pPr>
    <w:rPr>
      <w:rFonts w:ascii="Arial" w:hAnsi="Arial" w:cs="Arial"/>
    </w:rPr>
  </w:style>
  <w:style w:type="character" w:customStyle="1" w:styleId="CabealhoChar">
    <w:name w:val="Cabeçalho Char"/>
    <w:basedOn w:val="Fontepargpadro"/>
    <w:link w:val="Cabealho"/>
    <w:uiPriority w:val="99"/>
    <w:rsid w:val="000C2B9C"/>
    <w:rPr>
      <w:rFonts w:ascii="Arial" w:hAnsi="Arial" w:cs="Arial"/>
    </w:rPr>
  </w:style>
  <w:style w:type="paragraph" w:styleId="Rodap">
    <w:name w:val="footer"/>
    <w:basedOn w:val="Normal"/>
    <w:link w:val="RodapChar"/>
    <w:uiPriority w:val="99"/>
    <w:unhideWhenUsed/>
    <w:rsid w:val="000C2B9C"/>
    <w:pPr>
      <w:tabs>
        <w:tab w:val="center" w:pos="4252"/>
        <w:tab w:val="right" w:pos="8504"/>
      </w:tabs>
      <w:spacing w:after="0" w:line="240" w:lineRule="auto"/>
    </w:pPr>
    <w:rPr>
      <w:rFonts w:ascii="Arial" w:hAnsi="Arial" w:cs="Arial"/>
    </w:rPr>
  </w:style>
  <w:style w:type="character" w:customStyle="1" w:styleId="RodapChar">
    <w:name w:val="Rodapé Char"/>
    <w:basedOn w:val="Fontepargpadro"/>
    <w:link w:val="Rodap"/>
    <w:uiPriority w:val="99"/>
    <w:rsid w:val="000C2B9C"/>
    <w:rPr>
      <w:rFonts w:ascii="Arial" w:hAnsi="Arial" w:cs="Arial"/>
    </w:rPr>
  </w:style>
  <w:style w:type="paragraph" w:styleId="Textodebalo">
    <w:name w:val="Balloon Text"/>
    <w:basedOn w:val="Normal"/>
    <w:link w:val="TextodebaloChar"/>
    <w:uiPriority w:val="99"/>
    <w:semiHidden/>
    <w:unhideWhenUsed/>
    <w:rsid w:val="000C2B9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C2B9C"/>
    <w:rPr>
      <w:rFonts w:ascii="Tahoma" w:hAnsi="Tahoma" w:cs="Tahoma"/>
      <w:sz w:val="16"/>
      <w:szCs w:val="16"/>
    </w:rPr>
  </w:style>
  <w:style w:type="character" w:styleId="Hyperlink">
    <w:name w:val="Hyperlink"/>
    <w:basedOn w:val="Fontepargpadro"/>
    <w:uiPriority w:val="99"/>
    <w:unhideWhenUsed/>
    <w:rsid w:val="000C2B9C"/>
    <w:rPr>
      <w:color w:val="0563C1" w:themeColor="hyperlink"/>
      <w:u w:val="single"/>
    </w:rPr>
  </w:style>
  <w:style w:type="character" w:customStyle="1" w:styleId="Ttulo1Char">
    <w:name w:val="Título 1 Char"/>
    <w:basedOn w:val="Fontepargpadro"/>
    <w:link w:val="Ttulo1"/>
    <w:uiPriority w:val="9"/>
    <w:rsid w:val="005E075A"/>
    <w:rPr>
      <w:rFonts w:ascii="Arial" w:eastAsiaTheme="majorEastAsia" w:hAnsi="Arial" w:cstheme="majorBidi"/>
      <w:color w:val="000000" w:themeColor="text1"/>
      <w:sz w:val="32"/>
      <w:szCs w:val="32"/>
    </w:rPr>
  </w:style>
  <w:style w:type="character" w:customStyle="1" w:styleId="Ttulo2Char">
    <w:name w:val="Título 2 Char"/>
    <w:basedOn w:val="Fontepargpadro"/>
    <w:link w:val="Ttulo2"/>
    <w:uiPriority w:val="9"/>
    <w:rsid w:val="005E075A"/>
    <w:rPr>
      <w:rFonts w:ascii="Arial" w:eastAsiaTheme="majorEastAsia" w:hAnsi="Arial" w:cstheme="majorBidi"/>
      <w:color w:val="000000" w:themeColor="text1"/>
      <w:sz w:val="26"/>
      <w:szCs w:val="26"/>
    </w:rPr>
  </w:style>
  <w:style w:type="character" w:customStyle="1" w:styleId="Ttulo3Char">
    <w:name w:val="Título 3 Char"/>
    <w:basedOn w:val="Fontepargpadro"/>
    <w:link w:val="Ttulo3"/>
    <w:uiPriority w:val="9"/>
    <w:rsid w:val="005E075A"/>
    <w:rPr>
      <w:rFonts w:ascii="Arial" w:eastAsiaTheme="majorEastAsia" w:hAnsi="Arial" w:cstheme="majorBidi"/>
      <w:color w:val="000000" w:themeColor="text1"/>
      <w:sz w:val="24"/>
      <w:szCs w:val="24"/>
    </w:rPr>
  </w:style>
  <w:style w:type="character" w:customStyle="1" w:styleId="Ttulo4Char">
    <w:name w:val="Título 4 Char"/>
    <w:basedOn w:val="Fontepargpadro"/>
    <w:link w:val="Ttulo4"/>
    <w:uiPriority w:val="9"/>
    <w:rsid w:val="005E075A"/>
    <w:rPr>
      <w:rFonts w:ascii="Arial" w:eastAsiaTheme="majorEastAsia" w:hAnsi="Arial" w:cstheme="majorBidi"/>
      <w:i/>
      <w:iCs/>
      <w:sz w:val="24"/>
    </w:rPr>
  </w:style>
  <w:style w:type="paragraph" w:styleId="CabealhodoSumrio">
    <w:name w:val="TOC Heading"/>
    <w:basedOn w:val="Ttulo1"/>
    <w:next w:val="Normal"/>
    <w:uiPriority w:val="39"/>
    <w:unhideWhenUsed/>
    <w:qFormat/>
    <w:rsid w:val="00977223"/>
    <w:pPr>
      <w:outlineLvl w:val="9"/>
    </w:pPr>
    <w:rPr>
      <w:rFonts w:asciiTheme="majorHAnsi" w:hAnsiTheme="majorHAnsi"/>
      <w:color w:val="2E74B5" w:themeColor="accent1" w:themeShade="BF"/>
      <w:lang w:eastAsia="pt-PT"/>
    </w:rPr>
  </w:style>
  <w:style w:type="paragraph" w:styleId="Sumrio1">
    <w:name w:val="toc 1"/>
    <w:basedOn w:val="Normal"/>
    <w:next w:val="Normal"/>
    <w:autoRedefine/>
    <w:uiPriority w:val="39"/>
    <w:unhideWhenUsed/>
    <w:rsid w:val="00977223"/>
    <w:pPr>
      <w:spacing w:after="100"/>
    </w:pPr>
  </w:style>
  <w:style w:type="paragraph" w:styleId="Sumrio2">
    <w:name w:val="toc 2"/>
    <w:basedOn w:val="Normal"/>
    <w:next w:val="Normal"/>
    <w:autoRedefine/>
    <w:uiPriority w:val="39"/>
    <w:unhideWhenUsed/>
    <w:rsid w:val="00977223"/>
    <w:pPr>
      <w:spacing w:after="100"/>
      <w:ind w:left="220"/>
    </w:pPr>
  </w:style>
  <w:style w:type="paragraph" w:styleId="Sumrio3">
    <w:name w:val="toc 3"/>
    <w:basedOn w:val="Normal"/>
    <w:next w:val="Normal"/>
    <w:autoRedefine/>
    <w:uiPriority w:val="39"/>
    <w:unhideWhenUsed/>
    <w:rsid w:val="0097722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apmei.pt/getattachment/PRODUTOS-E-SERVICOS/Revitalizacao-Transmissao/Revitalizacao-Empresarial/SIREVE-Sistema-de-" TargetMode="Externa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5D486D-D967-45BB-BB56-E5F6F11D6F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993</TotalTime>
  <Pages>111</Pages>
  <Words>35517</Words>
  <Characters>191798</Characters>
  <Application>Microsoft Office Word</Application>
  <DocSecurity>0</DocSecurity>
  <Lines>1598</Lines>
  <Paragraphs>453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Morais</dc:creator>
  <cp:keywords/>
  <dc:description/>
  <cp:lastModifiedBy>JoãoLuis deMorais</cp:lastModifiedBy>
  <cp:revision>60</cp:revision>
  <dcterms:created xsi:type="dcterms:W3CDTF">2017-11-29T14:48:00Z</dcterms:created>
  <dcterms:modified xsi:type="dcterms:W3CDTF">2017-12-04T00:11:00Z</dcterms:modified>
</cp:coreProperties>
</file>